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92C96" w14:textId="77777777" w:rsidR="001F5D59" w:rsidRDefault="00AA2909">
      <w:pPr>
        <w:rPr>
          <w:rFonts w:ascii="Trebuchet MS" w:hAnsi="Trebuchet MS"/>
          <w:color w:val="3E3D40"/>
          <w:sz w:val="18"/>
          <w:szCs w:val="18"/>
        </w:rPr>
      </w:pPr>
      <w:r>
        <w:rPr>
          <w:rFonts w:ascii="Trebuchet MS" w:hAnsi="Trebuchet MS"/>
          <w:color w:val="3E3D40"/>
          <w:sz w:val="18"/>
          <w:szCs w:val="18"/>
          <w:shd w:val="clear" w:color="auto" w:fill="FFFFFF"/>
        </w:rPr>
        <w:t>The paper proposes a Hybrid-WNet model for segmenting colorectal liver metastases in CE CT. It is evaluated on two public datasets and an institutional dataset, with good accuracy on large tumors but poor on small ones.</w:t>
      </w:r>
      <w:r>
        <w:rPr>
          <w:rFonts w:ascii="Trebuchet MS" w:hAnsi="Trebuchet MS"/>
          <w:color w:val="3E3D40"/>
          <w:sz w:val="18"/>
          <w:szCs w:val="18"/>
        </w:rPr>
        <w:br/>
      </w:r>
      <w:r>
        <w:rPr>
          <w:rFonts w:ascii="Trebuchet MS" w:hAnsi="Trebuchet MS"/>
          <w:color w:val="3E3D40"/>
          <w:sz w:val="18"/>
          <w:szCs w:val="18"/>
        </w:rPr>
        <w:br/>
      </w:r>
      <w:r>
        <w:rPr>
          <w:rFonts w:ascii="Trebuchet MS" w:hAnsi="Trebuchet MS"/>
          <w:color w:val="3E3D40"/>
          <w:sz w:val="18"/>
          <w:szCs w:val="18"/>
          <w:shd w:val="clear" w:color="auto" w:fill="FFFFFF"/>
        </w:rPr>
        <w:t>Strength:</w:t>
      </w:r>
      <w:r>
        <w:rPr>
          <w:rFonts w:ascii="Trebuchet MS" w:hAnsi="Trebuchet MS"/>
          <w:color w:val="3E3D40"/>
          <w:sz w:val="18"/>
          <w:szCs w:val="18"/>
        </w:rPr>
        <w:br/>
      </w:r>
      <w:r>
        <w:rPr>
          <w:rFonts w:ascii="Trebuchet MS" w:hAnsi="Trebuchet MS"/>
          <w:color w:val="3E3D40"/>
          <w:sz w:val="18"/>
          <w:szCs w:val="18"/>
          <w:shd w:val="clear" w:color="auto" w:fill="FFFFFF"/>
        </w:rPr>
        <w:t>1. A novel Hybrid-WNet model architecture with 4-step training strategy is proposed. The model had with 98% (47/48) sensitivity on disease sites ≥15mm, with predictions in &lt;30 seconds.</w:t>
      </w:r>
      <w:r>
        <w:rPr>
          <w:rFonts w:ascii="Trebuchet MS" w:hAnsi="Trebuchet MS"/>
          <w:color w:val="3E3D40"/>
          <w:sz w:val="18"/>
          <w:szCs w:val="18"/>
        </w:rPr>
        <w:br/>
      </w:r>
      <w:r>
        <w:rPr>
          <w:rFonts w:ascii="Trebuchet MS" w:hAnsi="Trebuchet MS"/>
          <w:color w:val="3E3D40"/>
          <w:sz w:val="18"/>
          <w:szCs w:val="18"/>
          <w:shd w:val="clear" w:color="auto" w:fill="FFFFFF"/>
        </w:rPr>
        <w:t>2. Three test sets are used for evaluation, including two public ones and an institutional dataset. Within the institutional data, 84% (16/19) of the disease sites had a DSC&gt;0.76, which has been reported as the inter-observer variability for CRLM segmentation.</w:t>
      </w:r>
      <w:r>
        <w:rPr>
          <w:rFonts w:ascii="Trebuchet MS" w:hAnsi="Trebuchet MS"/>
          <w:color w:val="3E3D40"/>
          <w:sz w:val="18"/>
          <w:szCs w:val="18"/>
        </w:rPr>
        <w:br/>
      </w:r>
      <w:r>
        <w:rPr>
          <w:rFonts w:ascii="Trebuchet MS" w:hAnsi="Trebuchet MS"/>
          <w:color w:val="3E3D40"/>
          <w:sz w:val="18"/>
          <w:szCs w:val="18"/>
          <w:shd w:val="clear" w:color="auto" w:fill="FFFFFF"/>
        </w:rPr>
        <w:t>3. Detailed analysis of the prediction results were made.</w:t>
      </w:r>
      <w:r>
        <w:rPr>
          <w:rFonts w:ascii="Trebuchet MS" w:hAnsi="Trebuchet MS"/>
          <w:color w:val="3E3D40"/>
          <w:sz w:val="18"/>
          <w:szCs w:val="18"/>
        </w:rPr>
        <w:br/>
      </w:r>
      <w:r>
        <w:rPr>
          <w:rFonts w:ascii="Trebuchet MS" w:hAnsi="Trebuchet MS"/>
          <w:color w:val="3E3D40"/>
          <w:sz w:val="18"/>
          <w:szCs w:val="18"/>
        </w:rPr>
        <w:br/>
      </w:r>
      <w:r>
        <w:rPr>
          <w:rFonts w:ascii="Trebuchet MS" w:hAnsi="Trebuchet MS"/>
          <w:color w:val="3E3D40"/>
          <w:sz w:val="18"/>
          <w:szCs w:val="18"/>
          <w:shd w:val="clear" w:color="auto" w:fill="FFFFFF"/>
        </w:rPr>
        <w:t>Limitations:</w:t>
      </w:r>
      <w:r>
        <w:rPr>
          <w:rFonts w:ascii="Trebuchet MS" w:hAnsi="Trebuchet MS"/>
          <w:color w:val="3E3D40"/>
          <w:sz w:val="18"/>
          <w:szCs w:val="18"/>
        </w:rPr>
        <w:br/>
      </w:r>
      <w:r>
        <w:rPr>
          <w:rFonts w:ascii="Trebuchet MS" w:hAnsi="Trebuchet MS"/>
          <w:color w:val="3E3D40"/>
          <w:sz w:val="18"/>
          <w:szCs w:val="18"/>
          <w:shd w:val="clear" w:color="auto" w:fill="FFFFFF"/>
        </w:rPr>
        <w:t>1. Very low sensitivity and DSC for small lesions less than 15mm.</w:t>
      </w:r>
      <w:r>
        <w:rPr>
          <w:rFonts w:ascii="Trebuchet MS" w:hAnsi="Trebuchet MS"/>
          <w:color w:val="3E3D40"/>
          <w:sz w:val="18"/>
          <w:szCs w:val="18"/>
        </w:rPr>
        <w:br/>
      </w:r>
      <w:r>
        <w:rPr>
          <w:rFonts w:ascii="Trebuchet MS" w:hAnsi="Trebuchet MS"/>
          <w:color w:val="3E3D40"/>
          <w:sz w:val="18"/>
          <w:szCs w:val="18"/>
        </w:rPr>
        <w:br/>
      </w:r>
      <w:r>
        <w:rPr>
          <w:rFonts w:ascii="Trebuchet MS" w:hAnsi="Trebuchet MS"/>
          <w:color w:val="3E3D40"/>
          <w:sz w:val="18"/>
          <w:szCs w:val="18"/>
          <w:shd w:val="clear" w:color="auto" w:fill="FFFFFF"/>
        </w:rPr>
        <w:t>2. The data selection criteria is questionable. For LiTS the paper says "Each image was reviewed by XXX to remove the data showing hyper-enhancing metastases, or lacking image acquisition parameters. 92 patients remained." How do you define "lacking image acquisition parameters" and why are they removed? Why are "hyper-enhancing metastases" not included if they reflect the true data distribution of realworld CT? For 3D-IRCADb01, it is also unclear why the five cases are removed. Healthy livers and livers with various types of lesions should all be considered in training and especially in testing, if the goal is to build a robust lesion segmentation model which can adapt to diverse realworld data. Otherwise, the generalizability and application range of the model will be too limited.</w:t>
      </w:r>
      <w:r w:rsidR="001F5D59">
        <w:rPr>
          <w:rFonts w:ascii="Trebuchet MS" w:hAnsi="Trebuchet MS"/>
          <w:color w:val="3E3D40"/>
          <w:sz w:val="18"/>
          <w:szCs w:val="18"/>
        </w:rPr>
        <w:t xml:space="preserve"> </w:t>
      </w:r>
    </w:p>
    <w:p w14:paraId="07318266" w14:textId="77777777" w:rsidR="001B688D" w:rsidRDefault="001F5D59">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Thank you for the response, the vast majority of those removed were due to a lack of image acquisition parameters (slice thickness, pixel dimension). According to our interventional radiologist, almost all the CRLM ablation cases are hypo-enhancing at our institution and we wanted to be transparent about the data used to create our model in case others want to recreate the model using the publicly available data.</w:t>
      </w:r>
      <w:r w:rsidR="00AA2909">
        <w:rPr>
          <w:rFonts w:ascii="Trebuchet MS" w:hAnsi="Trebuchet MS"/>
          <w:color w:val="3E3D40"/>
          <w:sz w:val="18"/>
          <w:szCs w:val="18"/>
        </w:rPr>
        <w:br/>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3. To demonstrate the superiority of the proposed method, more comparisons with existing methods should be made, such as nnUNet and the methods in the leaderboard of LiTS.</w:t>
      </w:r>
    </w:p>
    <w:p w14:paraId="3BF6CE4E" w14:textId="77777777" w:rsidR="008F5128" w:rsidRDefault="001B688D">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 xml:space="preserve">We appreciate the response, unfortunately the nnUNet is a self-configuring model, allowed residual connections, dilated convolutions, dense connections, or cascades. To try and demonstrate a comparison to these methods, we’ve included </w:t>
      </w:r>
      <w:r w:rsidR="008F5128">
        <w:rPr>
          <w:rFonts w:ascii="Trebuchet MS" w:hAnsi="Trebuchet MS"/>
          <w:color w:val="3E3D40"/>
          <w:sz w:val="18"/>
          <w:szCs w:val="18"/>
          <w:shd w:val="clear" w:color="auto" w:fill="FFFFFF"/>
        </w:rPr>
        <w:t>a comparison to architectures, first paragraph in Results.</w:t>
      </w:r>
      <w:r w:rsidR="00AA2909">
        <w:rPr>
          <w:rFonts w:ascii="Trebuchet MS" w:hAnsi="Trebuchet MS"/>
          <w:color w:val="3E3D40"/>
          <w:sz w:val="18"/>
          <w:szCs w:val="18"/>
        </w:rPr>
        <w:br/>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4. Many methodological and experimental details are missing, with some seemingly errors.</w:t>
      </w:r>
    </w:p>
    <w:p w14:paraId="43172BF0" w14:textId="77777777" w:rsidR="00A61A26" w:rsidRDefault="008F5128">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We apologize for any errors or missing details, and will be happy to provide more details as requested.</w:t>
      </w:r>
      <w:r w:rsidR="00AA2909">
        <w:rPr>
          <w:rFonts w:ascii="Trebuchet MS" w:hAnsi="Trebuchet MS"/>
          <w:color w:val="3E3D40"/>
          <w:sz w:val="18"/>
          <w:szCs w:val="18"/>
        </w:rPr>
        <w:br/>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Detailed comments:</w:t>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1. The paper says "We resampled all training and validation images and ground-truth segmentation to 1mm slice thickness using bi-linear interpolation." What about axial plane spacing? Is it also 1mm?</w:t>
      </w:r>
    </w:p>
    <w:p w14:paraId="1015D510" w14:textId="77777777" w:rsidR="00A61A26" w:rsidRDefault="00A61A26">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Thank you for the comment! We’ve now added clarification that the images were resampled to be 0.75mm in the axial plane.</w:t>
      </w:r>
      <w:r w:rsidR="00AA2909">
        <w:rPr>
          <w:rFonts w:ascii="Trebuchet MS" w:hAnsi="Trebuchet MS"/>
          <w:color w:val="3E3D40"/>
          <w:sz w:val="18"/>
          <w:szCs w:val="18"/>
        </w:rPr>
        <w:br/>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2. Only lesions were divided into slabs and used for training. What about normal liver area? If no pure normal liver area were used in training, the network may generate FPs when a normal liver is tested.</w:t>
      </w:r>
    </w:p>
    <w:p w14:paraId="79554465" w14:textId="3A60D0BD" w:rsidR="006721F2" w:rsidRDefault="00A61A26">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 xml:space="preserve">Thank you for the comment. Large sections of normal liver are naturally included when creating a slab centered on a small disease site. We found that the model would generate more false-negatives </w:t>
      </w:r>
      <w:r w:rsidR="006721F2">
        <w:rPr>
          <w:rFonts w:ascii="Trebuchet MS" w:hAnsi="Trebuchet MS"/>
          <w:color w:val="3E3D40"/>
          <w:sz w:val="18"/>
          <w:szCs w:val="18"/>
          <w:shd w:val="clear" w:color="auto" w:fill="FFFFFF"/>
        </w:rPr>
        <w:t>since</w:t>
      </w:r>
      <w:r>
        <w:rPr>
          <w:rFonts w:ascii="Trebuchet MS" w:hAnsi="Trebuchet MS"/>
          <w:color w:val="3E3D40"/>
          <w:sz w:val="18"/>
          <w:szCs w:val="18"/>
          <w:shd w:val="clear" w:color="auto" w:fill="FFFFFF"/>
        </w:rPr>
        <w:t xml:space="preserve"> most CRLM sites are small compared to the liver overall</w:t>
      </w:r>
      <w:r w:rsidR="006721F2">
        <w:rPr>
          <w:rFonts w:ascii="Trebuchet MS" w:hAnsi="Trebuchet MS"/>
          <w:color w:val="3E3D40"/>
          <w:sz w:val="18"/>
          <w:szCs w:val="18"/>
          <w:shd w:val="clear" w:color="auto" w:fill="FFFFFF"/>
        </w:rPr>
        <w:t xml:space="preserve"> in initial training. We have included a statement in the training section to better express this</w:t>
      </w:r>
    </w:p>
    <w:p w14:paraId="5D77AB47" w14:textId="6BA98203" w:rsidR="006721F2" w:rsidRPr="006721F2" w:rsidRDefault="006721F2" w:rsidP="006721F2">
      <w:pPr>
        <w:ind w:left="720"/>
        <w:rPr>
          <w:rFonts w:ascii="Trebuchet MS" w:hAnsi="Trebuchet MS"/>
          <w:color w:val="3E3D40"/>
          <w:sz w:val="18"/>
          <w:szCs w:val="18"/>
          <w:shd w:val="clear" w:color="auto" w:fill="FFFFFF"/>
        </w:rPr>
      </w:pPr>
      <w:r w:rsidRPr="006721F2">
        <w:rPr>
          <w:rFonts w:ascii="Trebuchet MS" w:hAnsi="Trebuchet MS"/>
          <w:color w:val="3E3D40"/>
          <w:sz w:val="18"/>
          <w:szCs w:val="18"/>
          <w:shd w:val="clear" w:color="auto" w:fill="FFFFFF"/>
        </w:rPr>
        <w:t>Initial training on the entire patient liver resulted in a model which struggled to identify disease sites. We believe this is due to the disparity in class representation, being that a majority of the liver is ‘normal’ and the model could achieve a high segmentation accuracy by segmenting everything as ‘normal’. Simple class weighting would not solve this problem as it would result in the model weighing cases with extensive disease cases as more important than the less extensive disease cases.</w:t>
      </w:r>
    </w:p>
    <w:p w14:paraId="2F34C50B" w14:textId="52F2BDC0" w:rsidR="006721F2" w:rsidRDefault="006721F2" w:rsidP="006721F2">
      <w:pPr>
        <w:ind w:left="720"/>
        <w:rPr>
          <w:rFonts w:ascii="Trebuchet MS" w:hAnsi="Trebuchet MS"/>
          <w:color w:val="3E3D40"/>
          <w:sz w:val="18"/>
          <w:szCs w:val="18"/>
          <w:shd w:val="clear" w:color="auto" w:fill="FFFFFF"/>
        </w:rPr>
      </w:pPr>
      <w:r w:rsidRPr="006721F2">
        <w:rPr>
          <w:rFonts w:ascii="Trebuchet MS" w:hAnsi="Trebuchet MS"/>
          <w:color w:val="3E3D40"/>
          <w:sz w:val="18"/>
          <w:szCs w:val="18"/>
          <w:shd w:val="clear" w:color="auto" w:fill="FFFFFF"/>
        </w:rPr>
        <w:lastRenderedPageBreak/>
        <w:t>To account for disparities in class representation, where smaller structures (CRLM) are inherently “worth less” than large structures (normal liver), we distributed our training into unique “slabs”. Each independent disease site was divided into “slabs” of 32x120x120 voxels. Figure 1 illustrates several disease slabs for one patient. After extraction, the training dataset consisted of 572 unique samples.</w:t>
      </w:r>
    </w:p>
    <w:p w14:paraId="170CFFCB" w14:textId="2AD4EAA5" w:rsidR="006721F2" w:rsidRDefault="00AA2909">
      <w:pPr>
        <w:rPr>
          <w:rFonts w:ascii="Trebuchet MS" w:hAnsi="Trebuchet MS"/>
          <w:color w:val="3E3D40"/>
          <w:sz w:val="18"/>
          <w:szCs w:val="18"/>
        </w:rPr>
      </w:pPr>
      <w:r>
        <w:rPr>
          <w:rFonts w:ascii="Trebuchet MS" w:hAnsi="Trebuchet MS"/>
          <w:color w:val="3E3D40"/>
          <w:sz w:val="18"/>
          <w:szCs w:val="18"/>
        </w:rPr>
        <w:br/>
      </w:r>
      <w:r>
        <w:rPr>
          <w:rFonts w:ascii="Trebuchet MS" w:hAnsi="Trebuchet MS"/>
          <w:color w:val="3E3D40"/>
          <w:sz w:val="18"/>
          <w:szCs w:val="18"/>
          <w:shd w:val="clear" w:color="auto" w:fill="FFFFFF"/>
        </w:rPr>
        <w:t>3. What is a sparse categorial cross entropy loss? Is there a reference?</w:t>
      </w:r>
      <w:r>
        <w:rPr>
          <w:rFonts w:ascii="Trebuchet MS" w:hAnsi="Trebuchet MS"/>
          <w:color w:val="3E3D40"/>
          <w:sz w:val="18"/>
          <w:szCs w:val="18"/>
        </w:rPr>
        <w:br/>
      </w:r>
      <w:r w:rsidR="00E85FB7">
        <w:rPr>
          <w:rFonts w:ascii="Trebuchet MS" w:hAnsi="Trebuchet MS"/>
          <w:color w:val="3E3D40"/>
          <w:sz w:val="18"/>
          <w:szCs w:val="18"/>
        </w:rPr>
        <w:t xml:space="preserve">Thank you, we’ve added a reference. </w:t>
      </w:r>
      <w:r w:rsidR="006721F2">
        <w:rPr>
          <w:rFonts w:ascii="Trebuchet MS" w:hAnsi="Trebuchet MS"/>
          <w:color w:val="3E3D40"/>
          <w:sz w:val="18"/>
          <w:szCs w:val="18"/>
        </w:rPr>
        <w:t xml:space="preserve">Sparse categorical cross entropy is </w:t>
      </w:r>
      <w:r w:rsidR="00E85FB7">
        <w:rPr>
          <w:rFonts w:ascii="Trebuchet MS" w:hAnsi="Trebuchet MS"/>
          <w:color w:val="3E3D40"/>
          <w:sz w:val="18"/>
          <w:szCs w:val="18"/>
        </w:rPr>
        <w:t>simply categorical cross entropy on an an integers image, rather than a one-hot image.</w:t>
      </w:r>
    </w:p>
    <w:p w14:paraId="01258542" w14:textId="0EDC47C4" w:rsidR="006365D5" w:rsidRDefault="00AA2909" w:rsidP="00C94246">
      <w:pPr>
        <w:rPr>
          <w:rFonts w:ascii="Trebuchet MS" w:hAnsi="Trebuchet MS"/>
          <w:color w:val="3E3D40"/>
          <w:sz w:val="18"/>
          <w:szCs w:val="18"/>
          <w:shd w:val="clear" w:color="auto" w:fill="FFFFFF"/>
        </w:rPr>
      </w:pPr>
      <w:r>
        <w:rPr>
          <w:rFonts w:ascii="Trebuchet MS" w:hAnsi="Trebuchet MS"/>
          <w:color w:val="3E3D40"/>
          <w:sz w:val="18"/>
          <w:szCs w:val="18"/>
        </w:rPr>
        <w:br/>
      </w:r>
      <w:r>
        <w:rPr>
          <w:rFonts w:ascii="Trebuchet MS" w:hAnsi="Trebuchet MS"/>
          <w:color w:val="3E3D40"/>
          <w:sz w:val="18"/>
          <w:szCs w:val="18"/>
          <w:shd w:val="clear" w:color="auto" w:fill="FFFFFF"/>
        </w:rPr>
        <w:t>4. The structure of the Hybrid-WNet is not explained well. What is the structure of the decoder part of the 2D DenseNet? What is the dimension of its output 2D features? What is the structure of the 3D network? Is it the one shown in Figure 3? In Figure 3, what are the blue boxes without any notation? The blue and green arrows are not very visually distinguishable.</w:t>
      </w:r>
      <w:r>
        <w:rPr>
          <w:rFonts w:ascii="Trebuchet MS" w:hAnsi="Trebuchet MS"/>
          <w:color w:val="3E3D40"/>
          <w:sz w:val="18"/>
          <w:szCs w:val="18"/>
        </w:rPr>
        <w:br/>
      </w:r>
      <w:r>
        <w:rPr>
          <w:rFonts w:ascii="Trebuchet MS" w:hAnsi="Trebuchet MS"/>
          <w:color w:val="3E3D40"/>
          <w:sz w:val="18"/>
          <w:szCs w:val="18"/>
        </w:rPr>
        <w:br/>
      </w:r>
      <w:r>
        <w:rPr>
          <w:rFonts w:ascii="Trebuchet MS" w:hAnsi="Trebuchet MS"/>
          <w:color w:val="3E3D40"/>
          <w:sz w:val="18"/>
          <w:szCs w:val="18"/>
          <w:shd w:val="clear" w:color="auto" w:fill="FFFFFF"/>
        </w:rPr>
        <w:t>5. Training the Hybrid-WNet in four steps may increase complexity. Is there any evidence that this stepwise training provides better accuracy?</w:t>
      </w:r>
    </w:p>
    <w:p w14:paraId="0C37E232" w14:textId="058C9DFB" w:rsidR="004F7426" w:rsidRDefault="004F7426" w:rsidP="002677E0">
      <w:pPr>
        <w:rPr>
          <w:rFonts w:ascii="Trebuchet MS" w:hAnsi="Trebuchet MS"/>
          <w:color w:val="3E3D40"/>
          <w:sz w:val="18"/>
          <w:szCs w:val="18"/>
        </w:rPr>
      </w:pPr>
      <w:r>
        <w:rPr>
          <w:rFonts w:ascii="Trebuchet MS" w:hAnsi="Trebuchet MS"/>
          <w:color w:val="3E3D40"/>
          <w:sz w:val="18"/>
          <w:szCs w:val="18"/>
        </w:rPr>
        <w:t xml:space="preserve">Thank you for the comment. </w:t>
      </w:r>
      <w:r w:rsidR="006365D5">
        <w:rPr>
          <w:rFonts w:ascii="Trebuchet MS" w:hAnsi="Trebuchet MS"/>
          <w:color w:val="3E3D40"/>
          <w:sz w:val="18"/>
          <w:szCs w:val="18"/>
        </w:rPr>
        <w:t xml:space="preserve">Previous work done by the visual geometry group (VGG) has documented the </w:t>
      </w:r>
      <w:r>
        <w:rPr>
          <w:rFonts w:ascii="Trebuchet MS" w:hAnsi="Trebuchet MS"/>
          <w:color w:val="3E3D40"/>
          <w:sz w:val="18"/>
          <w:szCs w:val="18"/>
        </w:rPr>
        <w:t>benefits of a stepwise training process with ‘frozen’ layers. We similarly found that locking in the weights of each previous iteration improved the model performance on our validation set during optimization.</w:t>
      </w:r>
    </w:p>
    <w:p w14:paraId="1FB91D27" w14:textId="03E68296" w:rsidR="004F7426" w:rsidRDefault="004F7426" w:rsidP="002677E0">
      <w:pPr>
        <w:rPr>
          <w:rFonts w:ascii="Trebuchet MS" w:hAnsi="Trebuchet MS"/>
          <w:color w:val="3E3D40"/>
          <w:sz w:val="18"/>
          <w:szCs w:val="18"/>
        </w:rPr>
      </w:pPr>
      <w:r>
        <w:rPr>
          <w:rFonts w:ascii="Trebuchet MS" w:hAnsi="Trebuchet MS"/>
          <w:color w:val="3E3D40"/>
          <w:sz w:val="18"/>
          <w:szCs w:val="18"/>
        </w:rPr>
        <w:t>We’ve added the following clarification to the text</w:t>
      </w:r>
    </w:p>
    <w:p w14:paraId="299A00D1" w14:textId="0F3FA2E4" w:rsidR="00E85FB7" w:rsidRPr="002677E0" w:rsidRDefault="004F7426" w:rsidP="00311A04">
      <w:pPr>
        <w:rPr>
          <w:rFonts w:ascii="Trebuchet MS" w:hAnsi="Trebuchet MS"/>
          <w:color w:val="3E3D40"/>
          <w:sz w:val="18"/>
          <w:szCs w:val="18"/>
        </w:rPr>
      </w:pPr>
      <w:r w:rsidRPr="004F7426">
        <w:rPr>
          <w:rFonts w:ascii="Trebuchet MS" w:hAnsi="Trebuchet MS"/>
          <w:color w:val="3E3D40"/>
          <w:sz w:val="18"/>
          <w:szCs w:val="18"/>
        </w:rPr>
        <w:t>By breaking up the training process in this fashion, we ensured that we could use high learning rates without the risk of “untraining” pretrained layers, as was noticed by a marked di</w:t>
      </w:r>
      <w:r>
        <w:rPr>
          <w:rFonts w:ascii="Trebuchet MS" w:hAnsi="Trebuchet MS"/>
          <w:color w:val="3E3D40"/>
          <w:sz w:val="18"/>
          <w:szCs w:val="18"/>
        </w:rPr>
        <w:t>p</w:t>
      </w:r>
      <w:r w:rsidRPr="004F7426">
        <w:rPr>
          <w:rFonts w:ascii="Trebuchet MS" w:hAnsi="Trebuchet MS"/>
          <w:color w:val="3E3D40"/>
          <w:sz w:val="18"/>
          <w:szCs w:val="18"/>
        </w:rPr>
        <w:t xml:space="preserve"> in performance in the first iterations </w:t>
      </w:r>
      <w:r>
        <w:rPr>
          <w:rFonts w:ascii="Trebuchet MS" w:hAnsi="Trebuchet MS"/>
          <w:color w:val="3E3D40"/>
          <w:sz w:val="18"/>
          <w:szCs w:val="18"/>
        </w:rPr>
        <w:t xml:space="preserve">of subsequent training </w:t>
      </w:r>
      <w:r w:rsidRPr="004F7426">
        <w:rPr>
          <w:rFonts w:ascii="Trebuchet MS" w:hAnsi="Trebuchet MS"/>
          <w:color w:val="3E3D40"/>
          <w:sz w:val="18"/>
          <w:szCs w:val="18"/>
        </w:rPr>
        <w:t>if previous layers were not frozen.</w:t>
      </w:r>
      <w:r w:rsidR="00AA2909">
        <w:rPr>
          <w:rFonts w:ascii="Trebuchet MS" w:hAnsi="Trebuchet MS"/>
          <w:color w:val="3E3D40"/>
          <w:sz w:val="18"/>
          <w:szCs w:val="18"/>
        </w:rPr>
        <w:br/>
      </w:r>
      <w:r w:rsidR="00AA2909">
        <w:rPr>
          <w:rFonts w:ascii="Trebuchet MS" w:hAnsi="Trebuchet MS"/>
          <w:color w:val="3E3D40"/>
          <w:sz w:val="18"/>
          <w:szCs w:val="18"/>
        </w:rPr>
        <w:br/>
      </w:r>
      <w:r w:rsidR="00AA2909">
        <w:rPr>
          <w:rFonts w:ascii="Trebuchet MS" w:hAnsi="Trebuchet MS"/>
          <w:color w:val="3E3D40"/>
          <w:sz w:val="18"/>
          <w:szCs w:val="18"/>
          <w:shd w:val="clear" w:color="auto" w:fill="FFFFFF"/>
        </w:rPr>
        <w:t>6. Githb -&gt; GitHub</w:t>
      </w:r>
      <w:r w:rsidR="00AA2909">
        <w:rPr>
          <w:rFonts w:ascii="Trebuchet MS" w:hAnsi="Trebuchet MS"/>
          <w:color w:val="3E3D40"/>
          <w:sz w:val="18"/>
          <w:szCs w:val="18"/>
        </w:rPr>
        <w:br/>
      </w:r>
      <w:r w:rsidR="00E85FB7">
        <w:rPr>
          <w:rFonts w:ascii="Trebuchet MS" w:hAnsi="Trebuchet MS"/>
          <w:color w:val="3E3D40"/>
          <w:sz w:val="18"/>
          <w:szCs w:val="18"/>
        </w:rPr>
        <w:t>These have been fixed</w:t>
      </w:r>
    </w:p>
    <w:p w14:paraId="52F50B28" w14:textId="7B268B81" w:rsidR="006A1D94" w:rsidRDefault="00AA2909" w:rsidP="00311A04">
      <w:pPr>
        <w:rPr>
          <w:rFonts w:ascii="Trebuchet MS" w:hAnsi="Trebuchet MS"/>
          <w:color w:val="3E3D40"/>
          <w:sz w:val="18"/>
          <w:szCs w:val="18"/>
          <w:shd w:val="clear" w:color="auto" w:fill="FFFFFF"/>
        </w:rPr>
      </w:pPr>
      <w:r>
        <w:rPr>
          <w:rFonts w:ascii="Trebuchet MS" w:hAnsi="Trebuchet MS"/>
          <w:color w:val="3E3D40"/>
          <w:sz w:val="18"/>
          <w:szCs w:val="18"/>
        </w:rPr>
        <w:br/>
      </w:r>
      <w:r>
        <w:rPr>
          <w:rFonts w:ascii="Trebuchet MS" w:hAnsi="Trebuchet MS"/>
          <w:color w:val="3E3D40"/>
          <w:sz w:val="18"/>
          <w:szCs w:val="18"/>
          <w:shd w:val="clear" w:color="auto" w:fill="FFFFFF"/>
        </w:rPr>
        <w:t>7. In Figure 5, I did not see a blue region. I did not find Figure 6: "(Top) Likert score by each reviewer for each disease site. (Bottom) Likert score by each reviewer for each ablation site. A higher value is associated with higher quality."</w:t>
      </w:r>
    </w:p>
    <w:p w14:paraId="3204A1A2" w14:textId="5825D91A" w:rsidR="006A1D94" w:rsidRDefault="006A1D94" w:rsidP="00311A04">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Figure 5- We’re not certain how this happened, but the image does not seem to include the blue. We will try to see why that did not transmit, and thank you for your inspection.</w:t>
      </w:r>
    </w:p>
    <w:p w14:paraId="57DCAE2F" w14:textId="77777777" w:rsidR="002677E0" w:rsidRDefault="006A1D94" w:rsidP="00311A04">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Figure 6 – We apologize, this has been added, and thank you for your note!</w:t>
      </w:r>
    </w:p>
    <w:p w14:paraId="70DA3C9B" w14:textId="437AC4CC" w:rsidR="002677E0" w:rsidRDefault="00AA2909" w:rsidP="00311A04">
      <w:pPr>
        <w:rPr>
          <w:rFonts w:ascii="Trebuchet MS" w:hAnsi="Trebuchet MS"/>
          <w:color w:val="3E3D40"/>
          <w:sz w:val="18"/>
          <w:szCs w:val="18"/>
          <w:shd w:val="clear" w:color="auto" w:fill="FFFFFF"/>
        </w:rPr>
      </w:pPr>
      <w:r>
        <w:rPr>
          <w:rFonts w:ascii="Trebuchet MS" w:hAnsi="Trebuchet MS"/>
          <w:color w:val="3E3D40"/>
          <w:sz w:val="18"/>
          <w:szCs w:val="18"/>
        </w:rPr>
        <w:br/>
      </w:r>
      <w:r>
        <w:rPr>
          <w:rFonts w:ascii="Trebuchet MS" w:hAnsi="Trebuchet MS"/>
          <w:color w:val="3E3D40"/>
          <w:sz w:val="18"/>
          <w:szCs w:val="18"/>
          <w:shd w:val="clear" w:color="auto" w:fill="FFFFFF"/>
        </w:rPr>
        <w:t>8. The reference number in the text and the Table does not match, for example, Vorontsov et al is ref 8 in the text, but ref 4 in Table 5.</w:t>
      </w:r>
      <w:r>
        <w:rPr>
          <w:rFonts w:ascii="Trebuchet MS" w:hAnsi="Trebuchet MS"/>
          <w:color w:val="3E3D40"/>
          <w:sz w:val="18"/>
          <w:szCs w:val="18"/>
        </w:rPr>
        <w:br/>
      </w:r>
      <w:r>
        <w:rPr>
          <w:rFonts w:ascii="Trebuchet MS" w:hAnsi="Trebuchet MS"/>
          <w:color w:val="3E3D40"/>
          <w:sz w:val="18"/>
          <w:szCs w:val="18"/>
        </w:rPr>
        <w:br/>
      </w:r>
      <w:r>
        <w:rPr>
          <w:rFonts w:ascii="Trebuchet MS" w:hAnsi="Trebuchet MS"/>
          <w:color w:val="3E3D40"/>
          <w:sz w:val="18"/>
          <w:szCs w:val="18"/>
          <w:shd w:val="clear" w:color="auto" w:fill="FFFFFF"/>
        </w:rPr>
        <w:t>9. In Table 5, is the results of LiTS computed as patient-wise or global Dice?</w:t>
      </w:r>
    </w:p>
    <w:p w14:paraId="5A054018" w14:textId="77777777" w:rsidR="002677E0" w:rsidRDefault="002677E0" w:rsidP="00311A04">
      <w:pPr>
        <w:rPr>
          <w:rFonts w:ascii="Trebuchet MS" w:hAnsi="Trebuchet MS"/>
          <w:color w:val="3E3D40"/>
          <w:sz w:val="18"/>
          <w:szCs w:val="18"/>
          <w:shd w:val="clear" w:color="auto" w:fill="FFFFFF"/>
        </w:rPr>
      </w:pPr>
      <w:r>
        <w:rPr>
          <w:rFonts w:ascii="Trebuchet MS" w:hAnsi="Trebuchet MS"/>
          <w:color w:val="3E3D40"/>
          <w:sz w:val="18"/>
          <w:szCs w:val="18"/>
          <w:shd w:val="clear" w:color="auto" w:fill="FFFFFF"/>
        </w:rPr>
        <w:t>Thank you for the comment. In table 5 the results are patient-wise. We’ve added a clarifying statement to the main text</w:t>
      </w:r>
    </w:p>
    <w:p w14:paraId="2FAAEB39" w14:textId="73343953" w:rsidR="002677E0" w:rsidRDefault="002677E0" w:rsidP="002677E0">
      <w:pPr>
        <w:ind w:left="720"/>
        <w:rPr>
          <w:rFonts w:ascii="Trebuchet MS" w:hAnsi="Trebuchet MS"/>
          <w:color w:val="3E3D40"/>
          <w:sz w:val="18"/>
          <w:szCs w:val="18"/>
        </w:rPr>
      </w:pPr>
      <w:r>
        <w:rPr>
          <w:rFonts w:ascii="Trebuchet MS" w:hAnsi="Trebuchet MS"/>
          <w:color w:val="3E3D40"/>
          <w:sz w:val="18"/>
          <w:szCs w:val="18"/>
          <w:shd w:val="clear" w:color="auto" w:fill="FFFFFF"/>
        </w:rPr>
        <w:t>F</w:t>
      </w:r>
      <w:r w:rsidRPr="002677E0">
        <w:rPr>
          <w:rFonts w:ascii="Trebuchet MS" w:hAnsi="Trebuchet MS"/>
          <w:color w:val="3E3D40"/>
          <w:sz w:val="18"/>
          <w:szCs w:val="18"/>
          <w:shd w:val="clear" w:color="auto" w:fill="FFFFFF"/>
        </w:rPr>
        <w:t>or global DSC, all images were stacked together, this metric comes from the LiTs challenge11, otherwise DSC refers to a patient-wise evaluation</w:t>
      </w:r>
      <w:r>
        <w:rPr>
          <w:rFonts w:ascii="Trebuchet MS" w:hAnsi="Trebuchet MS"/>
          <w:color w:val="3E3D40"/>
          <w:sz w:val="18"/>
          <w:szCs w:val="18"/>
          <w:shd w:val="clear" w:color="auto" w:fill="FFFFFF"/>
        </w:rPr>
        <w:t>.</w:t>
      </w:r>
    </w:p>
    <w:p w14:paraId="4561CAC3" w14:textId="77777777" w:rsidR="00960EC0" w:rsidRDefault="00AA2909" w:rsidP="002677E0">
      <w:pPr>
        <w:rPr>
          <w:rFonts w:ascii="Trebuchet MS" w:hAnsi="Trebuchet MS"/>
          <w:color w:val="3E3D40"/>
          <w:sz w:val="18"/>
          <w:szCs w:val="18"/>
        </w:rPr>
      </w:pPr>
      <w:r>
        <w:rPr>
          <w:rFonts w:ascii="Trebuchet MS" w:hAnsi="Trebuchet MS"/>
          <w:color w:val="3E3D40"/>
          <w:sz w:val="18"/>
          <w:szCs w:val="18"/>
        </w:rPr>
        <w:br/>
      </w:r>
      <w:r>
        <w:rPr>
          <w:rFonts w:ascii="Trebuchet MS" w:hAnsi="Trebuchet MS"/>
          <w:color w:val="3E3D40"/>
          <w:sz w:val="18"/>
          <w:szCs w:val="18"/>
          <w:shd w:val="clear" w:color="auto" w:fill="FFFFFF"/>
        </w:rPr>
        <w:t>10. Although the title indicates "Colorectal Liver Metastasis", neither the LiTS dataset nor the 3D-IRCADb01 has claimed that their data are all colorectal liver metastases. It is also not clear what the patient cohort is for the institutional dataset. Please consider revise the title and the paper to match the data characteristics.</w:t>
      </w:r>
      <w:r>
        <w:rPr>
          <w:rFonts w:ascii="Trebuchet MS" w:hAnsi="Trebuchet MS"/>
          <w:color w:val="3E3D40"/>
          <w:sz w:val="18"/>
          <w:szCs w:val="18"/>
        </w:rPr>
        <w:br/>
      </w:r>
    </w:p>
    <w:p w14:paraId="18F9B453" w14:textId="1AC6BBC3" w:rsidR="005E4B0C" w:rsidRDefault="005E4B0C" w:rsidP="002677E0">
      <w:pPr>
        <w:rPr>
          <w:rFonts w:ascii="Trebuchet MS" w:hAnsi="Trebuchet MS"/>
          <w:color w:val="3E3D40"/>
          <w:sz w:val="18"/>
          <w:szCs w:val="18"/>
        </w:rPr>
      </w:pPr>
      <w:r>
        <w:rPr>
          <w:rFonts w:ascii="Trebuchet MS" w:hAnsi="Trebuchet MS"/>
          <w:color w:val="3E3D40"/>
          <w:sz w:val="18"/>
          <w:szCs w:val="18"/>
        </w:rPr>
        <w:lastRenderedPageBreak/>
        <w:t xml:space="preserve">We thank you for your opinion. We’ve decided on this title largely because this work </w:t>
      </w:r>
      <w:r w:rsidR="00960EC0">
        <w:rPr>
          <w:rFonts w:ascii="Trebuchet MS" w:hAnsi="Trebuchet MS"/>
          <w:color w:val="3E3D40"/>
          <w:sz w:val="18"/>
          <w:szCs w:val="18"/>
        </w:rPr>
        <w:t>wa</w:t>
      </w:r>
      <w:r>
        <w:rPr>
          <w:rFonts w:ascii="Trebuchet MS" w:hAnsi="Trebuchet MS"/>
          <w:color w:val="3E3D40"/>
          <w:sz w:val="18"/>
          <w:szCs w:val="18"/>
        </w:rPr>
        <w:t xml:space="preserve">s </w:t>
      </w:r>
      <w:r w:rsidR="00960EC0">
        <w:rPr>
          <w:rFonts w:ascii="Trebuchet MS" w:hAnsi="Trebuchet MS"/>
          <w:color w:val="3E3D40"/>
          <w:sz w:val="18"/>
          <w:szCs w:val="18"/>
        </w:rPr>
        <w:t>created in hopes of facilitating CRLM segmentation for radiation and ablation therapy. To try and make the model reproducible by others, we sought out any publicly available data which contained CRLM data. We agree that these data sets are not designed to present colorectal liver metastases, but we wanted to avoid relying solely on our own institutional data. Instead, we leveraged our institutional data as</w:t>
      </w:r>
      <w:r w:rsidR="00EA545E">
        <w:rPr>
          <w:rFonts w:ascii="Trebuchet MS" w:hAnsi="Trebuchet MS"/>
          <w:color w:val="3E3D40"/>
          <w:sz w:val="18"/>
          <w:szCs w:val="18"/>
        </w:rPr>
        <w:t xml:space="preserve"> an extra</w:t>
      </w:r>
      <w:r w:rsidR="00960EC0">
        <w:rPr>
          <w:rFonts w:ascii="Trebuchet MS" w:hAnsi="Trebuchet MS"/>
          <w:color w:val="3E3D40"/>
          <w:sz w:val="18"/>
          <w:szCs w:val="18"/>
        </w:rPr>
        <w:t xml:space="preserve"> evaluation set.</w:t>
      </w:r>
    </w:p>
    <w:p w14:paraId="36710014" w14:textId="60222531" w:rsidR="004A1D89" w:rsidRDefault="00AA2909" w:rsidP="002677E0">
      <w:pPr>
        <w:rPr>
          <w:rFonts w:ascii="Trebuchet MS" w:hAnsi="Trebuchet MS"/>
          <w:color w:val="3E3D40"/>
          <w:sz w:val="18"/>
          <w:szCs w:val="18"/>
          <w:shd w:val="clear" w:color="auto" w:fill="FFFFFF"/>
        </w:rPr>
      </w:pPr>
      <w:r>
        <w:rPr>
          <w:rFonts w:ascii="Trebuchet MS" w:hAnsi="Trebuchet MS"/>
          <w:color w:val="3E3D40"/>
          <w:sz w:val="18"/>
          <w:szCs w:val="18"/>
        </w:rPr>
        <w:br/>
      </w:r>
      <w:r>
        <w:rPr>
          <w:rFonts w:ascii="Trebuchet MS" w:hAnsi="Trebuchet MS"/>
          <w:color w:val="3E3D40"/>
          <w:sz w:val="18"/>
          <w:szCs w:val="18"/>
          <w:shd w:val="clear" w:color="auto" w:fill="FFFFFF"/>
        </w:rPr>
        <w:t>Overall, this paper is more on the technical side with most contents focused on method introduction and prediction accuracy analysis. Considering the preference of the journal, more medical analysis should be added.</w:t>
      </w:r>
    </w:p>
    <w:p w14:paraId="2B23EB91" w14:textId="1C10F457" w:rsidR="00311A04" w:rsidRDefault="00311A04" w:rsidP="00311A04">
      <w:pPr>
        <w:rPr>
          <w:rFonts w:ascii="Trebuchet MS" w:hAnsi="Trebuchet MS"/>
          <w:color w:val="3E3D40"/>
          <w:sz w:val="18"/>
          <w:szCs w:val="18"/>
          <w:shd w:val="clear" w:color="auto" w:fill="FFFFFF"/>
        </w:rPr>
      </w:pPr>
    </w:p>
    <w:p w14:paraId="517A7F34" w14:textId="636EC04F" w:rsidR="00311A04" w:rsidRDefault="00311A04" w:rsidP="00311A04">
      <w:pPr>
        <w:rPr>
          <w:rFonts w:ascii="Trebuchet MS" w:hAnsi="Trebuchet MS"/>
          <w:color w:val="3E3D40"/>
          <w:sz w:val="18"/>
          <w:szCs w:val="18"/>
          <w:shd w:val="clear" w:color="auto" w:fill="FFFFFF"/>
        </w:rPr>
      </w:pPr>
    </w:p>
    <w:p w14:paraId="2AD48F69" w14:textId="54392A7E" w:rsidR="00311A04" w:rsidRDefault="00311A04" w:rsidP="00311A04">
      <w:pPr>
        <w:pStyle w:val="Heading1"/>
        <w:rPr>
          <w:shd w:val="clear" w:color="auto" w:fill="FFFFFF"/>
        </w:rPr>
      </w:pPr>
      <w:r>
        <w:rPr>
          <w:shd w:val="clear" w:color="auto" w:fill="FFFFFF"/>
        </w:rPr>
        <w:t>Reviewer 2</w:t>
      </w:r>
    </w:p>
    <w:p w14:paraId="25349E9E" w14:textId="77777777" w:rsidR="00311A04" w:rsidRPr="00311A04" w:rsidRDefault="00311A04" w:rsidP="00311A04">
      <w:pPr>
        <w:spacing w:after="0" w:line="240" w:lineRule="auto"/>
        <w:rPr>
          <w:rFonts w:ascii="Times New Roman" w:eastAsia="Times New Roman" w:hAnsi="Times New Roman" w:cs="Times New Roman"/>
          <w:sz w:val="24"/>
          <w:szCs w:val="24"/>
        </w:rPr>
      </w:pPr>
      <w:r w:rsidRPr="00311A04">
        <w:rPr>
          <w:rFonts w:ascii="Times New Roman" w:eastAsia="Times New Roman" w:hAnsi="Times New Roman" w:cs="Times New Roman"/>
          <w:sz w:val="24"/>
          <w:szCs w:val="24"/>
        </w:rPr>
        <w:t>The authors proposed a segmentation framework for colorectal liver metastasis. Additional connections between convolutional layers are introduced in the proposed method, which largely leverages the architecture from [9, 10], a U-Net with Densenet as the backbone. Two datasets, i.e., 3D-IRCADb and LiTS, are employed here for the experiments and evaluation. Equivalent results of the proposed method compared with previous works [10, 16] are reported. The manuscript is overall easy to follow. However, I have several critical concerns that are listed in detail as follows:</w:t>
      </w:r>
      <w:r w:rsidRPr="00311A04">
        <w:rPr>
          <w:rFonts w:ascii="Times New Roman" w:eastAsia="Times New Roman" w:hAnsi="Times New Roman" w:cs="Times New Roman"/>
          <w:sz w:val="24"/>
          <w:szCs w:val="24"/>
        </w:rPr>
        <w:br/>
      </w:r>
      <w:r w:rsidRPr="00311A04">
        <w:rPr>
          <w:rFonts w:ascii="Times New Roman" w:eastAsia="Times New Roman" w:hAnsi="Times New Roman" w:cs="Times New Roman"/>
          <w:sz w:val="24"/>
          <w:szCs w:val="24"/>
        </w:rPr>
        <w:br/>
        <w:t>- I am not quite sure about the motivation of this study, especially the benefits of proposing the new architecture. From Table 5, a similar performance of the proposed method is reported in comparison to prior arts on the two public datasets. Thus, the proposed method is limited in technical innovation.</w:t>
      </w:r>
      <w:r w:rsidRPr="00311A04">
        <w:rPr>
          <w:rFonts w:ascii="Times New Roman" w:eastAsia="Times New Roman" w:hAnsi="Times New Roman" w:cs="Times New Roman"/>
          <w:sz w:val="24"/>
          <w:szCs w:val="24"/>
        </w:rPr>
        <w:br/>
      </w:r>
      <w:r w:rsidRPr="00311A04">
        <w:rPr>
          <w:rFonts w:ascii="Times New Roman" w:eastAsia="Times New Roman" w:hAnsi="Times New Roman" w:cs="Times New Roman"/>
          <w:sz w:val="24"/>
          <w:szCs w:val="24"/>
        </w:rPr>
        <w:br/>
        <w:t>- The subjective assessment of the predicted contours is also not well-explained and justified. How good is the contour is clinically meaningful and helpful for further examination and treatment. It will be helpful if some statistics of manually labeled contours are also provided. Therefore, the audience could better understand the performance of the proposed method.</w:t>
      </w:r>
      <w:r w:rsidRPr="00311A04">
        <w:rPr>
          <w:rFonts w:ascii="Times New Roman" w:eastAsia="Times New Roman" w:hAnsi="Times New Roman" w:cs="Times New Roman"/>
          <w:sz w:val="24"/>
          <w:szCs w:val="24"/>
        </w:rPr>
        <w:br/>
      </w:r>
      <w:r w:rsidRPr="00311A04">
        <w:rPr>
          <w:rFonts w:ascii="Times New Roman" w:eastAsia="Times New Roman" w:hAnsi="Times New Roman" w:cs="Times New Roman"/>
          <w:sz w:val="24"/>
          <w:szCs w:val="24"/>
        </w:rPr>
        <w:br/>
        <w:t>- A better comparison to previous works could also be conducted, including more baseline methods (e.g., vanilla 2D and 3D U-Net and DeepLab v3), more segmentation metrics(2D and 3D), and more datasets (e.g., liver and tumors segmentation in MSD dataset).</w:t>
      </w:r>
      <w:r w:rsidRPr="00311A04">
        <w:rPr>
          <w:rFonts w:ascii="Times New Roman" w:eastAsia="Times New Roman" w:hAnsi="Times New Roman" w:cs="Times New Roman"/>
          <w:sz w:val="24"/>
          <w:szCs w:val="24"/>
        </w:rPr>
        <w:br/>
      </w:r>
      <w:r w:rsidRPr="00311A04">
        <w:rPr>
          <w:rFonts w:ascii="Times New Roman" w:eastAsia="Times New Roman" w:hAnsi="Times New Roman" w:cs="Times New Roman"/>
          <w:sz w:val="24"/>
          <w:szCs w:val="24"/>
        </w:rPr>
        <w:br/>
        <w:t>- It will be helpful to include the computational cost of all compared methods if the authors really want to claim "faster" as a feature of the proposed method.</w:t>
      </w:r>
      <w:r w:rsidRPr="00311A04">
        <w:rPr>
          <w:rFonts w:ascii="Times New Roman" w:eastAsia="Times New Roman" w:hAnsi="Times New Roman" w:cs="Times New Roman"/>
          <w:sz w:val="24"/>
          <w:szCs w:val="24"/>
        </w:rPr>
        <w:br/>
      </w:r>
      <w:r w:rsidRPr="00311A04">
        <w:rPr>
          <w:rFonts w:ascii="Times New Roman" w:eastAsia="Times New Roman" w:hAnsi="Times New Roman" w:cs="Times New Roman"/>
          <w:sz w:val="24"/>
          <w:szCs w:val="24"/>
        </w:rPr>
        <w:br/>
        <w:t>- Green boxes are really messy in Table 5. I am not sure what to look at and which are more important? In general, why all the tables are in separate DOCX files?</w:t>
      </w:r>
      <w:r w:rsidRPr="00311A04">
        <w:rPr>
          <w:rFonts w:ascii="Times New Roman" w:eastAsia="Times New Roman" w:hAnsi="Times New Roman" w:cs="Times New Roman"/>
          <w:sz w:val="24"/>
          <w:szCs w:val="24"/>
        </w:rPr>
        <w:br/>
      </w:r>
    </w:p>
    <w:p w14:paraId="6EB5E9DD" w14:textId="77777777" w:rsidR="00311A04" w:rsidRPr="00311A04" w:rsidRDefault="00311A04" w:rsidP="00311A04">
      <w:pPr>
        <w:spacing w:line="240" w:lineRule="auto"/>
        <w:rPr>
          <w:rFonts w:ascii="Times New Roman" w:eastAsia="Times New Roman" w:hAnsi="Times New Roman" w:cs="Times New Roman"/>
          <w:sz w:val="24"/>
          <w:szCs w:val="24"/>
        </w:rPr>
      </w:pPr>
      <w:r w:rsidRPr="00311A04">
        <w:rPr>
          <w:rFonts w:ascii="Times New Roman" w:eastAsia="Times New Roman" w:hAnsi="Times New Roman" w:cs="Times New Roman"/>
          <w:sz w:val="24"/>
          <w:szCs w:val="24"/>
        </w:rPr>
        <w:t>Add comment</w:t>
      </w:r>
    </w:p>
    <w:p w14:paraId="53D9B4A7" w14:textId="77777777" w:rsidR="00311A04" w:rsidRPr="00311A04" w:rsidRDefault="00311A04" w:rsidP="00311A04">
      <w:pPr>
        <w:shd w:val="clear" w:color="auto" w:fill="751A0B"/>
        <w:spacing w:after="0" w:line="180" w:lineRule="atLeast"/>
        <w:jc w:val="center"/>
        <w:rPr>
          <w:rFonts w:ascii="Trebuchet MS" w:eastAsia="Times New Roman" w:hAnsi="Trebuchet MS" w:cs="Times New Roman"/>
          <w:b/>
          <w:bCs/>
          <w:color w:val="FFFFFF"/>
          <w:sz w:val="18"/>
          <w:szCs w:val="18"/>
        </w:rPr>
      </w:pPr>
      <w:r w:rsidRPr="00311A04">
        <w:rPr>
          <w:rFonts w:ascii="Trebuchet MS" w:eastAsia="Times New Roman" w:hAnsi="Trebuchet MS" w:cs="Times New Roman"/>
          <w:b/>
          <w:bCs/>
          <w:color w:val="FFFFFF"/>
          <w:sz w:val="18"/>
          <w:szCs w:val="18"/>
        </w:rPr>
        <w:t>Q 2</w:t>
      </w:r>
    </w:p>
    <w:p w14:paraId="61F43DC3" w14:textId="77777777" w:rsidR="00311A04" w:rsidRPr="00311A04" w:rsidRDefault="00311A04" w:rsidP="00311A04">
      <w:pPr>
        <w:shd w:val="clear" w:color="auto" w:fill="F2F2F2"/>
        <w:spacing w:after="90" w:line="255" w:lineRule="atLeast"/>
        <w:rPr>
          <w:rFonts w:ascii="Trebuchet MS" w:eastAsia="Times New Roman" w:hAnsi="Trebuchet MS" w:cs="Times New Roman"/>
          <w:b/>
          <w:bCs/>
          <w:color w:val="3E3D40"/>
          <w:sz w:val="18"/>
          <w:szCs w:val="18"/>
        </w:rPr>
      </w:pPr>
      <w:r w:rsidRPr="00311A04">
        <w:rPr>
          <w:rFonts w:ascii="Trebuchet MS" w:eastAsia="Times New Roman" w:hAnsi="Trebuchet MS" w:cs="Times New Roman"/>
          <w:b/>
          <w:bCs/>
          <w:color w:val="3E3D40"/>
          <w:sz w:val="18"/>
          <w:szCs w:val="18"/>
        </w:rPr>
        <w:t>Check List</w:t>
      </w:r>
    </w:p>
    <w:p w14:paraId="71F24C89" w14:textId="77777777" w:rsidR="00311A04" w:rsidRPr="00311A04" w:rsidRDefault="00311A04" w:rsidP="00311A04">
      <w:pPr>
        <w:shd w:val="clear" w:color="auto" w:fill="FFFFFF"/>
        <w:spacing w:after="0" w:line="240" w:lineRule="auto"/>
        <w:rPr>
          <w:rFonts w:ascii="Trebuchet MS" w:eastAsia="Times New Roman" w:hAnsi="Trebuchet MS" w:cs="Times New Roman"/>
          <w:color w:val="3E3D40"/>
          <w:sz w:val="18"/>
          <w:szCs w:val="18"/>
        </w:rPr>
      </w:pPr>
      <w:r w:rsidRPr="00311A04">
        <w:rPr>
          <w:rFonts w:ascii="Trebuchet MS" w:eastAsia="Times New Roman" w:hAnsi="Trebuchet MS" w:cs="Times New Roman"/>
          <w:color w:val="3E3D40"/>
          <w:sz w:val="18"/>
          <w:szCs w:val="18"/>
        </w:rPr>
        <w:t> </w:t>
      </w:r>
      <w:r w:rsidRPr="00311A04">
        <w:rPr>
          <w:rFonts w:ascii="Trebuchet MS" w:eastAsia="Times New Roman" w:hAnsi="Trebuchet MS" w:cs="Times New Roman"/>
          <w:b/>
          <w:bCs/>
          <w:color w:val="7C5D52"/>
          <w:sz w:val="18"/>
          <w:szCs w:val="18"/>
        </w:rPr>
        <w:t>Reviewer 2</w:t>
      </w:r>
      <w:r w:rsidRPr="00311A04">
        <w:rPr>
          <w:rFonts w:ascii="Trebuchet MS" w:eastAsia="Times New Roman" w:hAnsi="Trebuchet MS" w:cs="Times New Roman"/>
          <w:color w:val="7C5D52"/>
          <w:sz w:val="18"/>
          <w:szCs w:val="18"/>
        </w:rPr>
        <w:t> | 24 Mar 2022 | 15:05</w:t>
      </w:r>
    </w:p>
    <w:p w14:paraId="776F16C8" w14:textId="77777777" w:rsidR="00311A04" w:rsidRPr="00311A04" w:rsidRDefault="00311A04" w:rsidP="00311A04">
      <w:pPr>
        <w:shd w:val="clear" w:color="auto" w:fill="FFFFFF"/>
        <w:spacing w:after="0" w:line="240" w:lineRule="auto"/>
        <w:rPr>
          <w:rFonts w:ascii="Trebuchet MS" w:eastAsia="Times New Roman" w:hAnsi="Trebuchet MS" w:cs="Times New Roman"/>
          <w:b/>
          <w:bCs/>
          <w:color w:val="707173"/>
          <w:sz w:val="17"/>
          <w:szCs w:val="17"/>
        </w:rPr>
      </w:pPr>
      <w:r w:rsidRPr="00311A04">
        <w:rPr>
          <w:rFonts w:ascii="Trebuchet MS" w:eastAsia="Times New Roman" w:hAnsi="Trebuchet MS" w:cs="Times New Roman"/>
          <w:b/>
          <w:bCs/>
          <w:color w:val="707173"/>
          <w:sz w:val="17"/>
          <w:szCs w:val="17"/>
        </w:rPr>
        <w:t>#1</w:t>
      </w:r>
    </w:p>
    <w:p w14:paraId="7BC9EFF6" w14:textId="77777777" w:rsidR="00311A04" w:rsidRPr="00311A04" w:rsidRDefault="00311A04" w:rsidP="00311A04">
      <w:pPr>
        <w:shd w:val="clear" w:color="auto" w:fill="FFFFFF"/>
        <w:spacing w:line="240" w:lineRule="auto"/>
        <w:rPr>
          <w:rFonts w:ascii="Trebuchet MS" w:eastAsia="Times New Roman" w:hAnsi="Trebuchet MS" w:cs="Times New Roman"/>
          <w:color w:val="3E3D40"/>
          <w:sz w:val="18"/>
          <w:szCs w:val="18"/>
        </w:rPr>
      </w:pPr>
      <w:r w:rsidRPr="00311A04">
        <w:rPr>
          <w:rFonts w:ascii="Trebuchet MS" w:eastAsia="Times New Roman" w:hAnsi="Trebuchet MS" w:cs="Times New Roman"/>
          <w:color w:val="3E3D40"/>
          <w:sz w:val="18"/>
          <w:szCs w:val="18"/>
        </w:rPr>
        <w:t>a. Is the quality of the figures and tables satisfactory?</w:t>
      </w:r>
      <w:r w:rsidRPr="00311A04">
        <w:rPr>
          <w:rFonts w:ascii="Trebuchet MS" w:eastAsia="Times New Roman" w:hAnsi="Trebuchet MS" w:cs="Times New Roman"/>
          <w:color w:val="3E3D40"/>
          <w:sz w:val="18"/>
          <w:szCs w:val="18"/>
        </w:rPr>
        <w:br/>
        <w:t>- No</w:t>
      </w:r>
      <w:r w:rsidRPr="00311A04">
        <w:rPr>
          <w:rFonts w:ascii="Trebuchet MS" w:eastAsia="Times New Roman" w:hAnsi="Trebuchet MS" w:cs="Times New Roman"/>
          <w:color w:val="3E3D40"/>
          <w:sz w:val="18"/>
          <w:szCs w:val="18"/>
        </w:rPr>
        <w:br/>
      </w:r>
      <w:r w:rsidRPr="00311A04">
        <w:rPr>
          <w:rFonts w:ascii="Trebuchet MS" w:eastAsia="Times New Roman" w:hAnsi="Trebuchet MS" w:cs="Times New Roman"/>
          <w:color w:val="3E3D40"/>
          <w:sz w:val="18"/>
          <w:szCs w:val="18"/>
        </w:rPr>
        <w:lastRenderedPageBreak/>
        <w:br/>
        <w:t>b. Does the reference list cover the relevant literature adequately and in an unbiased manner?</w:t>
      </w:r>
      <w:r w:rsidRPr="00311A04">
        <w:rPr>
          <w:rFonts w:ascii="Trebuchet MS" w:eastAsia="Times New Roman" w:hAnsi="Trebuchet MS" w:cs="Times New Roman"/>
          <w:color w:val="3E3D40"/>
          <w:sz w:val="18"/>
          <w:szCs w:val="18"/>
        </w:rPr>
        <w:br/>
        <w:t>- Yes</w:t>
      </w:r>
      <w:r w:rsidRPr="00311A04">
        <w:rPr>
          <w:rFonts w:ascii="Trebuchet MS" w:eastAsia="Times New Roman" w:hAnsi="Trebuchet MS" w:cs="Times New Roman"/>
          <w:color w:val="3E3D40"/>
          <w:sz w:val="18"/>
          <w:szCs w:val="18"/>
        </w:rPr>
        <w:br/>
      </w:r>
      <w:r w:rsidRPr="00311A04">
        <w:rPr>
          <w:rFonts w:ascii="Trebuchet MS" w:eastAsia="Times New Roman" w:hAnsi="Trebuchet MS" w:cs="Times New Roman"/>
          <w:color w:val="3E3D40"/>
          <w:sz w:val="18"/>
          <w:szCs w:val="18"/>
        </w:rPr>
        <w:br/>
        <w:t>c. Are the statistical methods valid and correctly applied? (e.g. sample size, choice of test)</w:t>
      </w:r>
      <w:r w:rsidRPr="00311A04">
        <w:rPr>
          <w:rFonts w:ascii="Trebuchet MS" w:eastAsia="Times New Roman" w:hAnsi="Trebuchet MS" w:cs="Times New Roman"/>
          <w:color w:val="3E3D40"/>
          <w:sz w:val="18"/>
          <w:szCs w:val="18"/>
        </w:rPr>
        <w:br/>
        <w:t>- No</w:t>
      </w:r>
      <w:r w:rsidRPr="00311A04">
        <w:rPr>
          <w:rFonts w:ascii="Trebuchet MS" w:eastAsia="Times New Roman" w:hAnsi="Trebuchet MS" w:cs="Times New Roman"/>
          <w:color w:val="3E3D40"/>
          <w:sz w:val="18"/>
          <w:szCs w:val="18"/>
        </w:rPr>
        <w:br/>
      </w:r>
      <w:r w:rsidRPr="00311A04">
        <w:rPr>
          <w:rFonts w:ascii="Trebuchet MS" w:eastAsia="Times New Roman" w:hAnsi="Trebuchet MS" w:cs="Times New Roman"/>
          <w:color w:val="3E3D40"/>
          <w:sz w:val="18"/>
          <w:szCs w:val="18"/>
        </w:rPr>
        <w:br/>
        <w:t>d. Is a statistician required to evaluate this study?</w:t>
      </w:r>
      <w:r w:rsidRPr="00311A04">
        <w:rPr>
          <w:rFonts w:ascii="Trebuchet MS" w:eastAsia="Times New Roman" w:hAnsi="Trebuchet MS" w:cs="Times New Roman"/>
          <w:color w:val="3E3D40"/>
          <w:sz w:val="18"/>
          <w:szCs w:val="18"/>
        </w:rPr>
        <w:br/>
        <w:t>- No</w:t>
      </w:r>
      <w:r w:rsidRPr="00311A04">
        <w:rPr>
          <w:rFonts w:ascii="Trebuchet MS" w:eastAsia="Times New Roman" w:hAnsi="Trebuchet MS" w:cs="Times New Roman"/>
          <w:color w:val="3E3D40"/>
          <w:sz w:val="18"/>
          <w:szCs w:val="18"/>
        </w:rPr>
        <w:br/>
      </w:r>
      <w:r w:rsidRPr="00311A04">
        <w:rPr>
          <w:rFonts w:ascii="Trebuchet MS" w:eastAsia="Times New Roman" w:hAnsi="Trebuchet MS" w:cs="Times New Roman"/>
          <w:color w:val="3E3D40"/>
          <w:sz w:val="18"/>
          <w:szCs w:val="18"/>
        </w:rPr>
        <w:br/>
        <w:t>e. Are the methods sufficiently documented to allow replication studies?</w:t>
      </w:r>
      <w:r w:rsidRPr="00311A04">
        <w:rPr>
          <w:rFonts w:ascii="Trebuchet MS" w:eastAsia="Times New Roman" w:hAnsi="Trebuchet MS" w:cs="Times New Roman"/>
          <w:color w:val="3E3D40"/>
          <w:sz w:val="18"/>
          <w:szCs w:val="18"/>
        </w:rPr>
        <w:br/>
        <w:t>- Yes</w:t>
      </w:r>
    </w:p>
    <w:p w14:paraId="30201930" w14:textId="77777777" w:rsidR="00311A04" w:rsidRPr="001F5D59" w:rsidRDefault="00311A04" w:rsidP="00311A04">
      <w:pPr>
        <w:rPr>
          <w:rFonts w:ascii="Trebuchet MS" w:hAnsi="Trebuchet MS"/>
          <w:color w:val="3E3D40"/>
          <w:sz w:val="18"/>
          <w:szCs w:val="18"/>
          <w:shd w:val="clear" w:color="auto" w:fill="FFFFFF"/>
        </w:rPr>
      </w:pPr>
    </w:p>
    <w:sectPr w:rsidR="00311A04" w:rsidRPr="001F5D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09"/>
    <w:rsid w:val="001B688D"/>
    <w:rsid w:val="001F5D59"/>
    <w:rsid w:val="00243FF1"/>
    <w:rsid w:val="002677E0"/>
    <w:rsid w:val="00311A04"/>
    <w:rsid w:val="004A1D89"/>
    <w:rsid w:val="004F7426"/>
    <w:rsid w:val="005E4B0C"/>
    <w:rsid w:val="006365D5"/>
    <w:rsid w:val="006721F2"/>
    <w:rsid w:val="006A1D94"/>
    <w:rsid w:val="008F5128"/>
    <w:rsid w:val="00960EC0"/>
    <w:rsid w:val="00A61A26"/>
    <w:rsid w:val="00AA2909"/>
    <w:rsid w:val="00BB0CE5"/>
    <w:rsid w:val="00BF508D"/>
    <w:rsid w:val="00C94246"/>
    <w:rsid w:val="00E85FB7"/>
    <w:rsid w:val="00EA5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8DCF4"/>
  <w15:chartTrackingRefBased/>
  <w15:docId w15:val="{02BA0A63-7915-4530-A11F-D1CCC5D9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A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ole">
    <w:name w:val="role"/>
    <w:basedOn w:val="DefaultParagraphFont"/>
    <w:rsid w:val="00311A04"/>
  </w:style>
  <w:style w:type="character" w:styleId="Strong">
    <w:name w:val="Strong"/>
    <w:basedOn w:val="DefaultParagraphFont"/>
    <w:uiPriority w:val="22"/>
    <w:qFormat/>
    <w:rsid w:val="00311A04"/>
    <w:rPr>
      <w:b/>
      <w:bCs/>
    </w:rPr>
  </w:style>
  <w:style w:type="character" w:customStyle="1" w:styleId="Heading1Char">
    <w:name w:val="Heading 1 Char"/>
    <w:basedOn w:val="DefaultParagraphFont"/>
    <w:link w:val="Heading1"/>
    <w:uiPriority w:val="9"/>
    <w:rsid w:val="00311A0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3878983">
      <w:bodyDiv w:val="1"/>
      <w:marLeft w:val="0"/>
      <w:marRight w:val="0"/>
      <w:marTop w:val="0"/>
      <w:marBottom w:val="0"/>
      <w:divBdr>
        <w:top w:val="none" w:sz="0" w:space="0" w:color="auto"/>
        <w:left w:val="none" w:sz="0" w:space="0" w:color="auto"/>
        <w:bottom w:val="none" w:sz="0" w:space="0" w:color="auto"/>
        <w:right w:val="none" w:sz="0" w:space="0" w:color="auto"/>
      </w:divBdr>
      <w:divsChild>
        <w:div w:id="935139145">
          <w:marLeft w:val="225"/>
          <w:marRight w:val="0"/>
          <w:marTop w:val="0"/>
          <w:marBottom w:val="390"/>
          <w:divBdr>
            <w:top w:val="none" w:sz="0" w:space="0" w:color="auto"/>
            <w:left w:val="none" w:sz="0" w:space="0" w:color="auto"/>
            <w:bottom w:val="none" w:sz="0" w:space="0" w:color="auto"/>
            <w:right w:val="none" w:sz="0" w:space="0" w:color="auto"/>
          </w:divBdr>
          <w:divsChild>
            <w:div w:id="98264133">
              <w:marLeft w:val="0"/>
              <w:marRight w:val="0"/>
              <w:marTop w:val="0"/>
              <w:marBottom w:val="0"/>
              <w:divBdr>
                <w:top w:val="single" w:sz="6" w:space="0" w:color="D9D9D9"/>
                <w:left w:val="none" w:sz="0" w:space="0" w:color="auto"/>
                <w:bottom w:val="none" w:sz="0" w:space="0" w:color="auto"/>
                <w:right w:val="none" w:sz="0" w:space="0" w:color="auto"/>
              </w:divBdr>
              <w:divsChild>
                <w:div w:id="971909480">
                  <w:marLeft w:val="0"/>
                  <w:marRight w:val="0"/>
                  <w:marTop w:val="0"/>
                  <w:marBottom w:val="0"/>
                  <w:divBdr>
                    <w:top w:val="none" w:sz="0" w:space="0" w:color="auto"/>
                    <w:left w:val="none" w:sz="0" w:space="0" w:color="auto"/>
                    <w:bottom w:val="none" w:sz="0" w:space="0" w:color="auto"/>
                    <w:right w:val="none" w:sz="0" w:space="0" w:color="auto"/>
                  </w:divBdr>
                  <w:divsChild>
                    <w:div w:id="17286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44263">
              <w:marLeft w:val="300"/>
              <w:marRight w:val="0"/>
              <w:marTop w:val="150"/>
              <w:marBottom w:val="0"/>
              <w:divBdr>
                <w:top w:val="none" w:sz="0" w:space="0" w:color="auto"/>
                <w:left w:val="none" w:sz="0" w:space="0" w:color="auto"/>
                <w:bottom w:val="none" w:sz="0" w:space="0" w:color="auto"/>
                <w:right w:val="none" w:sz="0" w:space="0" w:color="auto"/>
              </w:divBdr>
            </w:div>
          </w:divsChild>
        </w:div>
        <w:div w:id="1898123754">
          <w:marLeft w:val="225"/>
          <w:marRight w:val="0"/>
          <w:marTop w:val="0"/>
          <w:marBottom w:val="390"/>
          <w:divBdr>
            <w:top w:val="single" w:sz="6" w:space="5" w:color="707173"/>
            <w:left w:val="none" w:sz="0" w:space="0" w:color="auto"/>
            <w:bottom w:val="none" w:sz="0" w:space="0" w:color="auto"/>
            <w:right w:val="none" w:sz="0" w:space="0" w:color="auto"/>
          </w:divBdr>
          <w:divsChild>
            <w:div w:id="1745059001">
              <w:marLeft w:val="0"/>
              <w:marRight w:val="0"/>
              <w:marTop w:val="0"/>
              <w:marBottom w:val="90"/>
              <w:divBdr>
                <w:top w:val="none" w:sz="0" w:space="0" w:color="auto"/>
                <w:left w:val="none" w:sz="0" w:space="0" w:color="auto"/>
                <w:bottom w:val="none" w:sz="0" w:space="0" w:color="auto"/>
                <w:right w:val="none" w:sz="0" w:space="0" w:color="auto"/>
              </w:divBdr>
            </w:div>
            <w:div w:id="309554884">
              <w:marLeft w:val="0"/>
              <w:marRight w:val="0"/>
              <w:marTop w:val="0"/>
              <w:marBottom w:val="0"/>
              <w:divBdr>
                <w:top w:val="single" w:sz="6" w:space="0" w:color="D9D9D9"/>
                <w:left w:val="none" w:sz="0" w:space="0" w:color="auto"/>
                <w:bottom w:val="none" w:sz="0" w:space="0" w:color="auto"/>
                <w:right w:val="none" w:sz="0" w:space="0" w:color="auto"/>
              </w:divBdr>
              <w:divsChild>
                <w:div w:id="1619676102">
                  <w:marLeft w:val="0"/>
                  <w:marRight w:val="0"/>
                  <w:marTop w:val="0"/>
                  <w:marBottom w:val="0"/>
                  <w:divBdr>
                    <w:top w:val="none" w:sz="0" w:space="0" w:color="auto"/>
                    <w:left w:val="none" w:sz="0" w:space="0" w:color="auto"/>
                    <w:bottom w:val="none" w:sz="0" w:space="0" w:color="auto"/>
                    <w:right w:val="none" w:sz="0" w:space="0" w:color="auto"/>
                  </w:divBdr>
                  <w:divsChild>
                    <w:div w:id="1675111671">
                      <w:marLeft w:val="0"/>
                      <w:marRight w:val="0"/>
                      <w:marTop w:val="0"/>
                      <w:marBottom w:val="0"/>
                      <w:divBdr>
                        <w:top w:val="none" w:sz="0" w:space="0" w:color="auto"/>
                        <w:left w:val="none" w:sz="0" w:space="0" w:color="auto"/>
                        <w:bottom w:val="none" w:sz="0" w:space="0" w:color="auto"/>
                        <w:right w:val="none" w:sz="0" w:space="0" w:color="auto"/>
                      </w:divBdr>
                      <w:divsChild>
                        <w:div w:id="1685547858">
                          <w:marLeft w:val="0"/>
                          <w:marRight w:val="0"/>
                          <w:marTop w:val="0"/>
                          <w:marBottom w:val="0"/>
                          <w:divBdr>
                            <w:top w:val="none" w:sz="0" w:space="0" w:color="auto"/>
                            <w:left w:val="none" w:sz="0" w:space="0" w:color="auto"/>
                            <w:bottom w:val="none" w:sz="0" w:space="0" w:color="auto"/>
                            <w:right w:val="none" w:sz="0" w:space="0" w:color="auto"/>
                          </w:divBdr>
                        </w:div>
                      </w:divsChild>
                    </w:div>
                    <w:div w:id="884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4</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8</cp:revision>
  <dcterms:created xsi:type="dcterms:W3CDTF">2022-03-27T23:35:00Z</dcterms:created>
  <dcterms:modified xsi:type="dcterms:W3CDTF">2022-03-28T01:17:00Z</dcterms:modified>
</cp:coreProperties>
</file>