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B5D" w:rsidRDefault="00201B5D" w:rsidP="00201B5D">
      <w:pPr>
        <w:pStyle w:val="Heading1"/>
      </w:pPr>
      <w:r>
        <w:t>Introduction</w:t>
      </w:r>
    </w:p>
    <w:p w:rsidR="00201B5D" w:rsidRPr="00201B5D" w:rsidRDefault="00201B5D" w:rsidP="00201B5D">
      <w:pPr>
        <w:pStyle w:val="Heading2"/>
      </w:pPr>
      <w:r>
        <w:t>Colorectal Cancer in the United States</w:t>
      </w:r>
    </w:p>
    <w:p w:rsidR="00755C48" w:rsidRDefault="0015567A">
      <w:r>
        <w:t xml:space="preserve">Colorectal cancer (CRC) is one of the predominant forms of cancer within the United States, </w:t>
      </w:r>
      <w:r w:rsidR="00A40956">
        <w:t>being the 3</w:t>
      </w:r>
      <w:r w:rsidR="00A40956" w:rsidRPr="00A40956">
        <w:rPr>
          <w:vertAlign w:val="superscript"/>
        </w:rPr>
        <w:t>rd</w:t>
      </w:r>
      <w:r w:rsidR="00A40956">
        <w:t xml:space="preserve"> most common cause of cancer and cancer death in both men and women</w:t>
      </w:r>
      <w:r w:rsidR="00A40956">
        <w:fldChar w:fldCharType="begin" w:fldLock="1"/>
      </w:r>
      <w:r w:rsidR="00755C4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2019","type":"article-journal","volume":"69"},"uris":["http://www.mendeley.com/documents/?uuid=0654017f-377a-34b7-9bb4-a6832b71acfd"]}],"mendeley":{"formattedCitation":"(Siegel et al., 2019)","plainTextFormattedCitation":"(Siegel et al., 2019)","previouslyFormattedCitation":"(Siegel et al., 2019)"},"properties":{"noteIndex":0},"schema":"https://github.com/citation-style-language/schema/raw/master/csl-citation.json"}</w:instrText>
      </w:r>
      <w:r w:rsidR="00A40956">
        <w:fldChar w:fldCharType="separate"/>
      </w:r>
      <w:r w:rsidR="00A40956" w:rsidRPr="00A40956">
        <w:rPr>
          <w:noProof/>
        </w:rPr>
        <w:t>(Siegel et al., 2019)</w:t>
      </w:r>
      <w:r w:rsidR="00A40956">
        <w:fldChar w:fldCharType="end"/>
      </w:r>
      <w:r>
        <w:t xml:space="preserve">.  </w:t>
      </w:r>
      <w:r w:rsidR="00755C48">
        <w:t>While 25% of patients present colorectal liver metastasis (CRL-</w:t>
      </w:r>
      <w:proofErr w:type="spellStart"/>
      <w:r w:rsidR="00755C48">
        <w:t>mets</w:t>
      </w:r>
      <w:proofErr w:type="spellEnd"/>
      <w:r w:rsidR="00755C48">
        <w:t>) at the time of diagnosis</w:t>
      </w:r>
      <w:r>
        <w:t>,</w:t>
      </w:r>
      <w:r w:rsidR="00755C48">
        <w:t xml:space="preserve"> up to 6</w:t>
      </w:r>
      <w:r>
        <w:t xml:space="preserve">0% will develop </w:t>
      </w:r>
      <w:r w:rsidR="00755C48">
        <w:t>CRL-</w:t>
      </w:r>
      <w:proofErr w:type="spellStart"/>
      <w:r w:rsidR="00755C48">
        <w:t>mets</w:t>
      </w:r>
      <w:proofErr w:type="spellEnd"/>
      <w:r w:rsidR="00755C48">
        <w:t xml:space="preserve"> over the course of their disease</w:t>
      </w:r>
      <w:r w:rsidR="00755C48">
        <w:fldChar w:fldCharType="begin" w:fldLock="1"/>
      </w:r>
      <w:r w:rsidR="00755C48">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metastases","type":"article","volume":"22"},"uris":["http://www.mendeley.com/documents/?uuid=1bc39a07-7abd-3469-b394-8e1183f89fb6"]}],"mendeley":{"formattedCitation":"(Alper Sag et al., 2016)","plainTextFormattedCitation":"(Alper Sag et al., 2016)"},"properties":{"noteIndex":0},"schema":"https://github.com/citation-style-language/schema/raw/master/csl-citation.json"}</w:instrText>
      </w:r>
      <w:r w:rsidR="00755C48">
        <w:fldChar w:fldCharType="separate"/>
      </w:r>
      <w:r w:rsidR="00755C48" w:rsidRPr="00755C48">
        <w:rPr>
          <w:noProof/>
        </w:rPr>
        <w:t>(</w:t>
      </w:r>
      <w:proofErr w:type="spellStart"/>
      <w:r w:rsidR="00755C48" w:rsidRPr="00755C48">
        <w:rPr>
          <w:noProof/>
        </w:rPr>
        <w:t>Alper</w:t>
      </w:r>
      <w:proofErr w:type="spellEnd"/>
      <w:r w:rsidR="00755C48" w:rsidRPr="00755C48">
        <w:rPr>
          <w:noProof/>
        </w:rPr>
        <w:t xml:space="preserve"> Sag et al., 2016)</w:t>
      </w:r>
      <w:r w:rsidR="00755C48">
        <w:fldChar w:fldCharType="end"/>
      </w:r>
      <w:r>
        <w:t>.</w:t>
      </w:r>
    </w:p>
    <w:p w:rsidR="00201B5D" w:rsidRDefault="00201B5D" w:rsidP="00201B5D">
      <w:pPr>
        <w:pStyle w:val="Heading2"/>
      </w:pPr>
      <w:r>
        <w:t>Detection of Colorectal Liver Metastasis (CRL-</w:t>
      </w:r>
      <w:proofErr w:type="spellStart"/>
      <w:r>
        <w:t>mets</w:t>
      </w:r>
      <w:proofErr w:type="spellEnd"/>
      <w:r>
        <w:t>)</w:t>
      </w:r>
    </w:p>
    <w:p w:rsidR="00201B5D" w:rsidRDefault="00755C48">
      <w:r>
        <w:t>While s</w:t>
      </w:r>
      <w:r w:rsidR="0015567A">
        <w:t>everal treatment options</w:t>
      </w:r>
      <w:r w:rsidR="00C30287">
        <w:t xml:space="preserve"> are available</w:t>
      </w:r>
      <w:r w:rsidR="0015567A">
        <w:t xml:space="preserve"> for </w:t>
      </w:r>
      <w:r>
        <w:t>CRL</w:t>
      </w:r>
      <w:r w:rsidR="0015567A">
        <w:t>-</w:t>
      </w:r>
      <w:proofErr w:type="spellStart"/>
      <w:r w:rsidR="0015567A">
        <w:t>mets</w:t>
      </w:r>
      <w:proofErr w:type="spellEnd"/>
      <w:r w:rsidR="0015567A">
        <w:t xml:space="preserve">, they all first </w:t>
      </w:r>
      <w:r w:rsidR="00C30287">
        <w:t xml:space="preserve">rely </w:t>
      </w:r>
      <w:r w:rsidR="0015567A">
        <w:t xml:space="preserve">on the proper identification of the </w:t>
      </w:r>
      <w:r w:rsidR="00C30287">
        <w:t>disease</w:t>
      </w:r>
      <w:r>
        <w:t xml:space="preserve">. Several </w:t>
      </w:r>
      <w:r w:rsidR="0015567A">
        <w:t>imaging techniques</w:t>
      </w:r>
      <w:r>
        <w:t xml:space="preserve"> exist to identify CRL-</w:t>
      </w:r>
      <w:proofErr w:type="spellStart"/>
      <w:r>
        <w:t>mets</w:t>
      </w:r>
      <w:proofErr w:type="spellEnd"/>
      <w:r w:rsidR="0015567A">
        <w:t xml:space="preserve">: </w:t>
      </w:r>
      <w:r>
        <w:t>ultrasound [</w:t>
      </w:r>
      <w:r w:rsidR="0015567A">
        <w:t xml:space="preserve">ref], Computed </w:t>
      </w:r>
      <w:r w:rsidR="00A40956">
        <w:t>Tomography</w:t>
      </w:r>
      <w:r w:rsidR="0015567A">
        <w:t xml:space="preserve"> (CT)</w:t>
      </w:r>
      <w:r>
        <w:t xml:space="preserve"> </w:t>
      </w:r>
      <w:r w:rsidR="0015567A">
        <w:t xml:space="preserve">[ref], </w:t>
      </w:r>
      <w:r>
        <w:t xml:space="preserve">Positron Emission Tomography (PET), </w:t>
      </w:r>
      <w:r w:rsidR="00A40956">
        <w:t xml:space="preserve">and/or </w:t>
      </w:r>
      <w:r w:rsidR="0015567A">
        <w:t>nuclear Magnetic Resonance Imaging (</w:t>
      </w:r>
      <w:proofErr w:type="spellStart"/>
      <w:r w:rsidR="0015567A">
        <w:t>nMRI</w:t>
      </w:r>
      <w:proofErr w:type="spellEnd"/>
      <w:r w:rsidR="0015567A">
        <w:t>)</w:t>
      </w:r>
      <w:r>
        <w:t xml:space="preserve"> </w:t>
      </w:r>
      <w:r w:rsidR="0015567A">
        <w:t>[ref]</w:t>
      </w:r>
      <w:r w:rsidR="00A40956">
        <w:t>;</w:t>
      </w:r>
      <w:r>
        <w:t xml:space="preserve"> however,</w:t>
      </w:r>
      <w:r w:rsidR="0015567A">
        <w:t xml:space="preserve"> the </w:t>
      </w:r>
      <w:r>
        <w:t xml:space="preserve">gold </w:t>
      </w:r>
      <w:r w:rsidR="0015567A">
        <w:t xml:space="preserve">standard </w:t>
      </w:r>
      <w:r>
        <w:t>consists of a contrast-</w:t>
      </w:r>
      <w:r w:rsidR="0015567A">
        <w:t>enhanced CT</w:t>
      </w:r>
      <w:r>
        <w:t xml:space="preserve"> (CECT)</w:t>
      </w:r>
      <w:r w:rsidR="0015567A">
        <w:t xml:space="preserve"> scan[ref].</w:t>
      </w:r>
      <w:r>
        <w:t xml:space="preserve"> </w:t>
      </w:r>
      <w:r w:rsidR="00C051B2">
        <w:t xml:space="preserve">A CECT often consists of three phases: an arterial phase where the contrast is most prominent in the artery, the portal-venous phase, where contrast is mostly present within the </w:t>
      </w:r>
      <w:proofErr w:type="gramStart"/>
      <w:r w:rsidR="00C051B2">
        <w:t>portal-vein</w:t>
      </w:r>
      <w:proofErr w:type="gramEnd"/>
      <w:r w:rsidR="00C051B2">
        <w:t xml:space="preserve">, and a washout phase. </w:t>
      </w:r>
      <w:r>
        <w:t>CRL-</w:t>
      </w:r>
      <w:proofErr w:type="spellStart"/>
      <w:r>
        <w:t>mets</w:t>
      </w:r>
      <w:proofErr w:type="spellEnd"/>
      <w:r>
        <w:t xml:space="preserve"> often appear as hypo-dense regions in the arterial and portal-venous p</w:t>
      </w:r>
      <w:r w:rsidR="00C051B2">
        <w:t>hase of the image, in stark contrast to the normal liver tissue.</w:t>
      </w:r>
    </w:p>
    <w:p w:rsidR="00C051B2" w:rsidRDefault="00C051B2">
      <w:r>
        <w:t>Challenges with detecting CRL-</w:t>
      </w:r>
      <w:proofErr w:type="spellStart"/>
      <w:r>
        <w:t>mets</w:t>
      </w:r>
      <w:proofErr w:type="spellEnd"/>
      <w:r>
        <w:t xml:space="preserve"> are mostly with respect to the diseases relatively small size and large search area in the liver. </w:t>
      </w:r>
      <w:r w:rsidR="0067059F">
        <w:t>Furthermore, interventions such as radiation therapy, radiofrequency ablation, and microwave ablation, require accurate segmentations of the disease site. To date, automated liver disease segmentation tasks have largely focused on primary liver disease, although new competitions such as the Liver Tumor segmentation (</w:t>
      </w:r>
      <w:proofErr w:type="spellStart"/>
      <w:r w:rsidR="0067059F">
        <w:t>LiTs</w:t>
      </w:r>
      <w:proofErr w:type="spellEnd"/>
      <w:r w:rsidR="0067059F">
        <w:t>) challenge have contained data of both primary and secondary liver cancers.</w:t>
      </w:r>
    </w:p>
    <w:p w:rsidR="00201B5D" w:rsidRDefault="00201B5D" w:rsidP="00201B5D">
      <w:pPr>
        <w:pStyle w:val="Heading2"/>
      </w:pPr>
      <w:r>
        <w:t>Ablation Therapies</w:t>
      </w:r>
    </w:p>
    <w:p w:rsidR="0067059F" w:rsidRDefault="0067059F">
      <w:r>
        <w:t>Specifically for ablation interventions, segmentations of the disease in the pre-treatment imaging, and the generated ablation cavity in the post-treatment imaging, are important for evaluating the minimum delivered ablation margin. Both radiofrequency and microwave ablation interventions require that a minimum margin be delivered around the gross disease to ensure that all microscopic disease is treated. While automated workflows exist to map the disease from the pre-treatment to the post-treatment imaging to assess treatment efficacy, these still require manual segmentations of both disease and ablation zone.</w:t>
      </w:r>
    </w:p>
    <w:p w:rsidR="0067059F" w:rsidRDefault="0067059F">
      <w:r>
        <w:t xml:space="preserve">We hypothesize </w:t>
      </w:r>
      <w:r w:rsidR="00201B5D">
        <w:t>that fully convolutional neural networks, trained in a unique fashion to account for the challenges of disease size with respect to the overall liver, can provide rapid and accurate segmentations of both CRL-</w:t>
      </w:r>
      <w:proofErr w:type="spellStart"/>
      <w:r w:rsidR="00201B5D">
        <w:t>mets</w:t>
      </w:r>
      <w:proofErr w:type="spellEnd"/>
      <w:r w:rsidR="00201B5D">
        <w:t xml:space="preserve"> and ablation generated cavities. The creation of which would enable dose escalation studies of CRL-</w:t>
      </w:r>
      <w:proofErr w:type="spellStart"/>
      <w:r w:rsidR="00201B5D">
        <w:t>mets</w:t>
      </w:r>
      <w:proofErr w:type="spellEnd"/>
      <w:r w:rsidR="00201B5D">
        <w:t xml:space="preserve"> in radiation therapy, and facilitate margin evaluations in ablation therapy.</w:t>
      </w:r>
    </w:p>
    <w:p w:rsidR="00201B5D" w:rsidRDefault="00F0546F" w:rsidP="00F0546F">
      <w:pPr>
        <w:pStyle w:val="Heading1"/>
      </w:pPr>
      <w:r>
        <w:t>Materials/Methods</w:t>
      </w:r>
    </w:p>
    <w:p w:rsidR="006E5402" w:rsidRDefault="006E5402" w:rsidP="006E5402">
      <w:pPr>
        <w:pStyle w:val="Heading2"/>
      </w:pPr>
      <w:r>
        <w:t>Data</w:t>
      </w:r>
    </w:p>
    <w:p w:rsidR="003A57F9" w:rsidRDefault="006E5402">
      <w:r>
        <w:t xml:space="preserve">To ensure that our model is reproducible at other institutions, our training\optimization data was collected from the publically available Liver Tumor Segmentation, </w:t>
      </w:r>
      <w:proofErr w:type="spellStart"/>
      <w:r>
        <w:t>LiTS</w:t>
      </w:r>
      <w:proofErr w:type="spellEnd"/>
      <w:r>
        <w:t>, challenge (</w:t>
      </w:r>
      <w:hyperlink r:id="rId5" w:history="1">
        <w:r>
          <w:rPr>
            <w:rStyle w:val="Hyperlink"/>
          </w:rPr>
          <w:t>https://competitions.codalab.org/competitions/17094</w:t>
        </w:r>
      </w:hyperlink>
      <w:r>
        <w:t xml:space="preserve">). This data consisted of </w:t>
      </w:r>
      <w:bookmarkStart w:id="0" w:name="_GoBack"/>
      <w:bookmarkEnd w:id="0"/>
      <w:r>
        <w:t xml:space="preserve">.   included ground truth liver and disease segmentations from our </w:t>
      </w:r>
      <w:r w:rsidR="00B24662">
        <w:t xml:space="preserve">For data, we retrieved 104 patients from the publically </w:t>
      </w:r>
      <w:r w:rsidR="00B24662">
        <w:lastRenderedPageBreak/>
        <w:t>available Liver Tumor Segmentation (</w:t>
      </w:r>
      <w:proofErr w:type="spellStart"/>
      <w:r w:rsidR="00B24662">
        <w:t>LiTS</w:t>
      </w:r>
      <w:proofErr w:type="spellEnd"/>
      <w:r w:rsidR="00B24662">
        <w:t xml:space="preserve">) challenge, which were then distributed into 61 training, 12 validation, and 31 test groups. Leveraging our previous success with liver segmentation, we begin the task of disease segmentation by searching within the bounding box of the liver. Our architecture consists of multiple </w:t>
      </w:r>
      <w:proofErr w:type="spellStart"/>
      <w:r w:rsidR="00B24662">
        <w:t>atrous</w:t>
      </w:r>
      <w:proofErr w:type="spellEnd"/>
      <w:r w:rsidR="00B24662">
        <w:t xml:space="preserve"> convolutions combined with residual connections. The </w:t>
      </w:r>
      <w:proofErr w:type="spellStart"/>
      <w:r w:rsidR="00B24662">
        <w:t>atrous</w:t>
      </w:r>
      <w:proofErr w:type="spellEnd"/>
      <w:r w:rsidR="00B24662">
        <w:t xml:space="preserve"> convolutions maintain image resolution while gradually increasing receptive field size, and residual connections ensure that previous activations are propagated through the network. The model was trained by randomly pulling cubes of disease from patients in the training set. Hyper parameters for the model include training with a cyclical learning rate, varying cube size, and optimizer to be either Stochastic Gradient Descent or Adam.</w:t>
      </w:r>
    </w:p>
    <w:sectPr w:rsidR="003A5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15567A"/>
    <w:rsid w:val="00201B5D"/>
    <w:rsid w:val="004D7BB8"/>
    <w:rsid w:val="0067059F"/>
    <w:rsid w:val="006E5402"/>
    <w:rsid w:val="00755C48"/>
    <w:rsid w:val="00A40956"/>
    <w:rsid w:val="00B24662"/>
    <w:rsid w:val="00C051B2"/>
    <w:rsid w:val="00C30287"/>
    <w:rsid w:val="00F0546F"/>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22E9"/>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6E54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mpetitions.codalab.org/competitions/170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FBF2A-B9E1-41EB-94A0-BB9936EDE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5</cp:revision>
  <dcterms:created xsi:type="dcterms:W3CDTF">2020-04-15T13:22:00Z</dcterms:created>
  <dcterms:modified xsi:type="dcterms:W3CDTF">2020-07-26T16:00:00Z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http://www.zotero.org/styles/apa</vt:lpwstr>
  </property>
</Properties>
</file>