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D3CCE" w14:textId="77777777" w:rsidR="00DC2006" w:rsidRDefault="00DC2006" w:rsidP="00DC2006">
      <w:pPr>
        <w:pStyle w:val="Heading2"/>
        <w:rPr>
          <w:rFonts w:asciiTheme="minorHAnsi" w:hAnsiTheme="minorHAnsi"/>
        </w:rPr>
      </w:pPr>
      <w:bookmarkStart w:id="0" w:name="_Toc68787814"/>
      <w:r w:rsidRPr="00AC7451">
        <w:rPr>
          <w:rFonts w:asciiTheme="minorHAnsi" w:hAnsiTheme="minorHAnsi"/>
        </w:rPr>
        <w:t>6.1 Introduction</w:t>
      </w:r>
      <w:bookmarkEnd w:id="0"/>
    </w:p>
    <w:p w14:paraId="4D9288CC" w14:textId="1F1FDEC0" w:rsidR="00DC2006" w:rsidRPr="001A1878" w:rsidRDefault="00DC2006" w:rsidP="00DC2006">
      <w:r w:rsidRPr="001A1878">
        <w:t>Colorectal cancer is the third most commonly diagnosed cancer in the United States</w:t>
      </w:r>
      <w:r>
        <w:fldChar w:fldCharType="begin" w:fldLock="1"/>
      </w:r>
      <w:r>
        <w:instrText>ADDIN CSL_CITATION {"citationItems":[{"id":"ITEM-1","itemData":{"DOI":"10.3322/caac.21551","ISSN":"0007-9235","PMID":"30620402","abstract":"Each year, the American Cancer Society estimates the numbers of new cancer cases and deaths that will occur in the United States and compiles the most recent data on cancer incidence, mortality, and survival. Incidence data, available through 2015, were collected by the Surveillance, Epidemiology, and End Results Program; the National Program of Cancer Registries; and the North American Association of Central Cancer Registries. Mortality data, available through 2016, were collected by the National Center for Health Statistics. In 2019, 1,762,450 new cancer cases and 606,880 cancer deaths are projected to occur in the United States. Over the past decade of data, the cancer incidence rate (2006-2015) was stable in women and declined by approximately 2% per year in men, whereas the cancer death rate (2007-2016) declined annually by 1.4% and 1.8%, respectively. The overall cancer death rate dropped continuously from 1991 to 2016 by a total of 27%, translating into approximately 2,629,200 fewer cancer deaths than would have been expected if death rates had remained at their peak. Although the racial gap in cancer mortality is slowly narrowing, socioeconomic inequalities are widening, with the most notable gaps for the most preventable cancers. For example, compared with the most affluent counties, mortality rates in the poorest counties were 2-fold higher for cervical cancer and 40% higher for male lung and liver cancers during 2012-2016. Some states are home to both the wealthiest and the poorest counties, suggesting the opportunity for more equitable dissemination of effective cancer prevention, early detection, and treatment strategies. A broader application of existing cancer control knowledge with an emphasis on disadvantaged groups would undoubtedly accelerate progress against cancer.","author":[{"dropping-particle":"","family":"Siegel","given":"Rebecca L.","non-dropping-particle":"","parse-names":false,"suffix":""},{"dropping-particle":"","family":"Miller","given":"Kimberly D.","non-dropping-particle":"","parse-names":false,"suffix":""},{"dropping-particle":"","family":"Jemal","given":"Ahmedin","non-dropping-particle":"","parse-names":false,"suffix":""}],"container-title":"CA: A Cancer Journal for Clinicians","id":"ITEM-1","issue":"1","issued":{"date-parts":[["2019","1","1"]]},"page":"7-34","publisher":"Wiley","title":"Cancer statistics, 2019","type":"article-journal","volume":"69"},"uris":["http://www.mendeley.com/documents/?uuid=0654017f-377a-34b7-9bb4-a6832b71acfd"]}],"mendeley":{"formattedCitation":"(Siegel et al., 2019)","plainTextFormattedCitation":"(Siegel et al., 2019)","previouslyFormattedCitation":"&lt;sup&gt;17&lt;/sup&gt;"},"properties":{"noteIndex":0},"schema":"https://github.com/citation-style-language/schema/raw/master/csl-citation.json"}</w:instrText>
      </w:r>
      <w:r>
        <w:fldChar w:fldCharType="separate"/>
      </w:r>
      <w:r w:rsidRPr="00DC2006">
        <w:rPr>
          <w:noProof/>
        </w:rPr>
        <w:t>(Siegel et al., 2019)</w:t>
      </w:r>
      <w:r>
        <w:fldChar w:fldCharType="end"/>
      </w:r>
      <w:r w:rsidRPr="001A1878">
        <w:t>, with 60-70% of patients develop colorectal liver metastasis (CRLM) over the course of their disease</w:t>
      </w:r>
      <w:r>
        <w:fldChar w:fldCharType="begin" w:fldLock="1"/>
      </w:r>
      <w:r>
        <w:instrText>ADDIN CSL_CITATION {"citationItems":[{"id":"ITEM-1","itemData":{"DOI":"10.1111/j.1463-1318.2010.02539.x","ISSN":"14628910","abstract":"Aim The incidence, patterns of care and survival were determined in patients with stage IV colorectal cancer (CRC) in a population-based series. Method Computer records for patients diagnosed with stage IV CRC diagnosed from 1 January 1995 to 31 December 2007 were retrieved from the Rotterdam Cancer Registry. Surgical resection of the primary tumour, chemotherapy use, hepatic surgery and survival were evaluated according to year of diagnosis, age, gender and primary tumour site. Results In the southwestern part of the Netherlands, 19014 new patients with CRC were diagnosed and synchronous metastatic disease was found in 3482 (18%). This proportion increased during the study period, from 16% to 21%. Surgical resection of the primary tumour was performed in approximately 50% of the patients and did not change over time. Postoperative 30-day mortality was 8%. Chemotherapy use increased from 18% in the first period to 56% in the latest period. Liver surgery increased from 4% in the first period to 10% in the latest period. Median survival increased from 7months to 12months and 2-year survival increased from 14% to 28%. Two-year survival declined with increasing age and was significantly worse for right-sided tumours (14%). Conclusion Survival of patients with stage IV CRC has improved over time and this is probably a result of the increased use of chemotherapy and the increased numbers of patients who underwent hepatic surgery. © 2011 The Authors. Colorectal Disease © 2011 The Association of Coloproctology of Great Britain and Ireland.","author":[{"dropping-particle":"","family":"Pool","given":"A. E.M.","non-dropping-particle":"van der","parse-names":false,"suffix":""},{"dropping-particle":"","family":"Damhuis","given":"R. A.","non-dropping-particle":"","parse-names":false,"suffix":""},{"dropping-particle":"","family":"Ijzermans","given":"J. N.M.","non-dropping-particle":"","parse-names":false,"suffix":""},{"dropping-particle":"","family":"Wilt","given":"J. H.W.","non-dropping-particle":"de","parse-names":false,"suffix":""},{"dropping-particle":"","family":"Eggermont","given":"A. M.M.","non-dropping-particle":"","parse-names":false,"suffix":""},{"dropping-particle":"","family":"Kranse","given":"R.","non-dropping-particle":"","parse-names":false,"suffix":""},{"dropping-particle":"","family":"Verhoef","given":"C.","non-dropping-particle":"","parse-names":false,"suffix":""}],"container-title":"Colorectal Disease","id":"ITEM-1","issue":"1","issued":{"date-parts":[["2012"]]},"page":"56-61","title":"Trends in incidence, treatment and survival of patients with stage IV colorectal cancer: A population-based series","type":"article-journal","volume":"14"},"uris":["http://www.mendeley.com/documents/?uuid=d152ea74-b772-4fc7-8051-3e27b823ad9f"]},{"id":"ITEM-2","itemData":{"DOI":"10.5005/jp-journals-10018-1241","ISSN":"00014001","PMID":"2279429","author":[{"dropping-particle":"","family":"Adloff","given":"M.","non-dropping-particle":"","parse-names":false,"suffix":""},{"dropping-particle":"","family":"Arnaud","given":"J. P.","non-dropping-particle":"","parse-names":false,"suffix":""},{"dropping-particle":"","family":"Thebault","given":"Y.","non-dropping-particle":"","parse-names":false,"suffix":""},{"dropping-particle":"","family":"Ollier","given":"J. C.","non-dropping-particle":"","parse-names":false,"suffix":""},{"dropping-particle":"","family":"Schloegel","given":"M.","non-dropping-particle":"","parse-names":false,"suffix":""}],"container-title":"Chirurgie - Memoires de l'Academie de Chirurgie","id":"ITEM-2","issue":"2","issued":{"date-parts":[["2017"]]},"page":"144-149","publisher":"Euroasian J Hepatogastroenterol","title":"Hepatic metastases from colorectal cancers","type":"article-journal","volume":"116"},"uris":["http://www.mendeley.com/documents/?uuid=908eb0af-e9e9-3109-a4b9-723db01aba8c"]},{"id":"ITEM-3","itemData":{"DOI":"10.3748/wjg.v22.i11.3127","ISSN":"22192840","abstract":"Colorectal cancer metastasizes predictably, with liver predominance in most cases. Because liver involvement has been shown to be a major determinant of survival in this population, liver-directed therapies are increasingly considered even in cases where there is (limited) extrahepatic disease. Unfortunately, these patients carry a known risk of recurrence in the liver regardless of initial therapy choice. Therefore, there is a demand for minimally invasive, non-surgical, personalized cancer treatments to preserve quality of life in the induction, consolidation, and maintenance phases of cancer therapy. This report aims to review evidence - based conceptual, pharmacological, and technological paradigm shifts in parenteral and percutaneous treatment strategies as well as forthcoming evidence regarding next-generation systemic, locoregional, and local treatment approaches for this patient population.","author":[{"dropping-particle":"","family":"Alper Sag","given":"Alan","non-dropping-particle":"","parse-names":false,"suffix":""},{"dropping-particle":"","family":"Selcukbiricik","given":"Fatih","non-dropping-particle":"","parse-names":false,"suffix":""},{"dropping-particle":"","family":"Mandel","given":"Nil Molinas","non-dropping-particle":"","parse-names":false,"suffix":""}],"container-title":"World Journal of Gastroenterology","id":"ITEM-3","issue":"11","issued":{"date-parts":[["2016","3","21"]]},"page":"3127-3149","publisher":"Baishideng Publishing Group Co., Limited","title":"Evidence-based medical oncology and interventional radiology paradigms for liver-dominant colorectal cancer metastases","type":"article","volume":"22"},"uris":["http://www.mendeley.com/documents/?uuid=1bc39a07-7abd-3469-b394-8e1183f89fb6"]}],"mendeley":{"formattedCitation":"(Adloff et al., 2017; Alper Sag et al., 2016; van der Pool et al., 2012)","plainTextFormattedCitation":"(Adloff et al., 2017; Alper Sag et al., 2016; van der Pool et al., 2012)","previouslyFormattedCitation":"&lt;sup&gt;16,18,19&lt;/sup&gt;"},"properties":{"noteIndex":0},"schema":"https://github.com/citation-style-language/schema/raw/master/csl-citation.json"}</w:instrText>
      </w:r>
      <w:r>
        <w:fldChar w:fldCharType="separate"/>
      </w:r>
      <w:r w:rsidRPr="00DC2006">
        <w:rPr>
          <w:noProof/>
        </w:rPr>
        <w:t>(</w:t>
      </w:r>
      <w:proofErr w:type="spellStart"/>
      <w:r w:rsidRPr="00DC2006">
        <w:rPr>
          <w:noProof/>
        </w:rPr>
        <w:t>Adloff</w:t>
      </w:r>
      <w:proofErr w:type="spellEnd"/>
      <w:r w:rsidRPr="00DC2006">
        <w:rPr>
          <w:noProof/>
        </w:rPr>
        <w:t xml:space="preserve"> et al., 2017; Alper Sag et al., 2016; van der Pool et al., 2012)</w:t>
      </w:r>
      <w:r>
        <w:fldChar w:fldCharType="end"/>
      </w:r>
      <w:r w:rsidRPr="001A1878">
        <w:t>. While surgery is the golden standard for curative intent, with an overall 5-year survival rate of ranging from 40% to 60%</w:t>
      </w:r>
      <w:r>
        <w:fldChar w:fldCharType="begin" w:fldLock="1"/>
      </w:r>
      <w:r>
        <w:instrText>ADDIN CSL_CITATION {"citationItems":[{"id":"ITEM-1","itemData":{"DOI":"10.1634/theoncologist.2012-0121","ISSN":"1083-7159","PMID":"22962059","abstract":"An international panel of multidisciplinary experts convened to develop recommendations for the management of patients with liver metastases from colorectal cancer (CRC). The aim was to address the main issues facing the CRC hepatobiliary multidisciplinary team (MDT) when managing such patients and to standardize the treatment patients receive in different centers. Based on current evidence, the group agreed on a number of issues including the following: (a) the primary aim of treatment is achieving a long disease-free survival (DFS) interval following resection; (b) assessment of resectability should be performed with high-quality cross-sectional imaging, staging the liver with magnetic resonance imaging and/or abdominal computed tomography (CT), depending on local expertise, staging extrahepatic disease with thoracic and pelvic CT, and, in selected cases, fluorodeoxyglucose positron emission tomography with ultrasound (preferably contrast-enhanced ultrasound) for intraoperative staging; (c) optimal first-line chemotherapy-doublet or triplet chemotherapy regimens combined with targeted therapy-is advisable in potentially resectable patients; (d) in this situation, at least four courses of first-line chemotherapy should be given, with assessment of tumor response every 2 months; (e) response assessed by the Response Evaluation Criteria in Solid Tumors (conventional chemotherapy) or nonsize-based morphological changes (antiangiogenic agents) is clearly correlated with outcome; no imaging technique is currently able to accurately diagnose complete pathological response but high-quality imaging is crucial for patient management; (f) the duration of chemotherapy should be as short as possible and resection achieved as soon as technically possible in the absence of tumor progression; (g) the number of metastases or patient age should not be an absolute contraindication to surgery combined with chemotherapy; (h) for synchronous metastases, it is not advisable to undertake major hepatic surgery during surgery for removal of the primary CRC; the reverse surgical approach (liver first) produces as good an outcome as the conventional approach in selected cases; (i) for patients with resectable liver metastases from CRC, perioperative chemotherapy may be associated with a modestly better DFS outcome; and (j) whether initially resectable or unresectable, cure or at least a long survival duration is possible after complete resection of the metastases, and MDT treatm…","author":[{"dropping-particle":"","family":"Adam","given":"René","non-dropping-particle":"","parse-names":false,"suffix":""},{"dropping-particle":"","family":"Gramont","given":"Aimery","non-dropping-particle":"De","parse-names":false,"suffix":""},{"dropping-particle":"","family":"Figueras","given":"Joan","non-dropping-particle":"","parse-names":false,"suffix":""},{"dropping-particle":"","family":"Guthrie","given":"Ashley","non-dropping-particle":"","parse-names":false,"suffix":""},{"dropping-particle":"","family":"Kokudo","given":"Norihiro","non-dropping-particle":"","parse-names":false,"suffix":""},{"dropping-particle":"","family":"Kunstlinger","given":"Francis","non-dropping-particle":"","parse-names":false,"suffix":""},{"dropping-particle":"","family":"Loyer","given":"Evelyne","non-dropping-particle":"","parse-names":false,"suffix":""},{"dropping-particle":"","family":"Poston","given":"Graeme","non-dropping-particle":"","parse-names":false,"suffix":""},{"dropping-particle":"","family":"Rougier","given":"Philippe","non-dropping-particle":"","parse-names":false,"suffix":""},{"dropping-particle":"","family":"Rubbia‐Brandt","given":"Laura","non-dropping-particle":"","parse-names":false,"suffix":""},{"dropping-particle":"","family":"Sobrero","given":"Alberto","non-dropping-particle":"","parse-names":false,"suffix":""},{"dropping-particle":"","family":"Tabernero","given":"Josep","non-dropping-particle":"","parse-names":false,"suffix":""},{"dropping-particle":"","family":"Teh","given":"Catherine","non-dropping-particle":"","parse-names":false,"suffix":""},{"dropping-particle":"","family":"Cutsem","given":"Eric","non-dropping-particle":"Van","parse-names":false,"suffix":""}],"container-title":"The Oncologist","id":"ITEM-1","issue":"10","issued":{"date-parts":[["2012","10"]]},"page":"1225-1239","publisher":"Wiley","title":"The Oncosurgery Approach to Managing Liver Metastases from Colorectal Cancer: A Multidisciplinary International Consensus","type":"article-journal","volume":"17"},"uris":["http://www.mendeley.com/documents/?uuid=76624589-10d4-38c4-bc64-1bd8b3616841"]},{"id":"ITEM-2","itemData":{"DOI":"10.1016/j.jamcollsurg.2009.12.040","ISSN":"10727515","PMID":"20421043","abstract":"Background: This study analyzes factors associated with differences in long-term outcomes after hepatic resection for metastatic colorectal cancer over time. Study Design: Sixteen-hundred consecutive patients undergoing hepatic resection for metastatic colorectal cancer between 1985 and 2004 were analyzed retrospectively. Patients were grouped into 2 eras according to changes in availability of systemic chemotherapy: era I, 1985 to 1998; era II, 1999 to 2004. Results: There were 1,037 patients in era I and 563 in era II. Operative mortality decreased from 2.5% in era I to 1% in era II (p = 0.04). There were no differences in age, Clinical Risk Score, or number of hepatic metastases between the 2 groups; however, more recently treated patients (era II) had more lymph node-positive primary tumors, shorter disease-free intervals, more extrahepatic disease, and smaller tumors. Median follow-up was 36 months for all patients and 63 months for survivors. Median and 5-year disease-specific survival (DSS) were better in era II (64 months and 51% versus 43 months and 37%, respectively; p &lt; 0.001); but median and 5-year recurrence-free survival (RFS) for all patients were not different (23 months and 33% era II versus 22 months and 27% era I; p = 0.16). There was no difference in RFS or DSS for high-risk (Clinical Risk Score &gt;2, n = 506) patients in either era. There was a marked improvement in both RFS and DSS for low risk (Clinical Risk Score ≤2, n = 1,094) patients. Conclusions: Despite worse clinical and pathologic characteristics, survival but not recurrence rates after hepatic resection for colorectal metastases have improved over time and might be attributable to improvements in patient selection, operative management, and chemotherapy. The improvement in survival over time is largely accounted for by low-risk patients. © 2010 American College of Surgeons.","author":[{"dropping-particle":"","family":"House","given":"Michael G.","non-dropping-particle":"","parse-names":false,"suffix":""},{"dropping-particle":"","family":"Ito","given":"Hiromichi","non-dropping-particle":"","parse-names":false,"suffix":""},{"dropping-particle":"","family":"Gönen","given":"Mithat","non-dropping-particle":"","parse-names":false,"suffix":""},{"dropping-particle":"","family":"Fong","given":"Yuman","non-dropping-particle":"","parse-names":false,"suffix":""},{"dropping-particle":"","family":"Allen","given":"Peter J.","non-dropping-particle":"","parse-names":false,"suffix":""},{"dropping-particle":"","family":"DeMatteo","given":"Ronald P.","non-dropping-particle":"","parse-names":false,"suffix":""},{"dropping-particle":"","family":"Brennan","given":"Murray F.","non-dropping-particle":"","parse-names":false,"suffix":""},{"dropping-particle":"","family":"Blumgart","given":"Leslie H.","non-dropping-particle":"","parse-names":false,"suffix":""},{"dropping-particle":"","family":"Jarnagin","given":"William R.","non-dropping-particle":"","parse-names":false,"suffix":""},{"dropping-particle":"","family":"D'Angelica","given":"Michael I.","non-dropping-particle":"","parse-names":false,"suffix":""}],"container-title":"Journal of the American College of Surgeons","id":"ITEM-2","issue":"5","issued":{"date-parts":[["2010","5"]]},"page":"744-752","publisher":"J Am Coll Surg","title":"Survival after Hepatic Resection for Metastatic Colorectal Cancer: Trends in Outcomes for 1,600 Patients during Two Decades at a Single Institution","type":"article-journal","volume":"210"},"uris":["http://www.mendeley.com/documents/?uuid=3d21d65b-dbb7-3eb5-b478-5626ece0ae95"]},{"id":"ITEM-3","itemData":{"DOI":"10.1186/1471-2407-14-810","ISSN":"14712407","PMID":"25369977","abstract":"Background: Purpose of this study was to analyse the surgical management and long-term clinical outcome of patients diagnosed with colorectal liver metastases (CLM) over a period of 10 years using data from a German tumour registry. Methods: Retrospective analysis of 5772 patients diagnosed with colorectal adenocarcinoma between 2002 and 2007. Follow-up was continued until 2012. Results: 1426 patients (24.7%) had CLM; 1019 patients (71%) had synchronous, 407 patients (29%) developed metachronous CLM. Hepatic resection was performed in 374 of the 1426 CLM patients (26%). A significant increase in liver resection rate from 16.6% for the 2002 cohort to 32% in later cohorts was observed. In centers specialized in liver surgery, CLM resection rates reached 46.6%. However, up to 52% of patients diagnosed with three or less CLM did not undergo liver surgery, although, if resected, patients with 1 CLM show a similar long-time survival as CRC patients who do not develop any CLM. Univariate and multivariate analyses adjusted for age, sex, year of resection, time of CLM diagnosis and number of CLM revealed a significant survival benefit for CLM resection (HR =0.355; CI 0.305-0.414). Furthermore, significant impact on OS was seen for age at diagnosis, perioperative chemotherapy and number of CLM. Conclusions: We here present the first long-term, population-based analysis of the surgical management of CLM in Germany. Significant increase in hepatic resection rates, translating to a significant benefit in OS, was seen over years. However, we still see a striking potential for further improvements in interdisciplinary CLM management.","author":[{"dropping-particle":"","family":"Hackl","given":"Christina","non-dropping-particle":"","parse-names":false,"suffix":""},{"dropping-particle":"","family":"Neumann","given":"Peter","non-dropping-particle":"","parse-names":false,"suffix":""},{"dropping-particle":"","family":"Gerken","given":"Michael","non-dropping-particle":"","parse-names":false,"suffix":""},{"dropping-particle":"","family":"Loss","given":"Martin","non-dropping-particle":"","parse-names":false,"suffix":""},{"dropping-particle":"","family":"Klinkhammer-Schalke","given":"Monika","non-dropping-particle":"","parse-names":false,"suffix":""},{"dropping-particle":"","family":"Schlitt","given":"Hans J.","non-dropping-particle":"","parse-names":false,"suffix":""}],"container-title":"BMC Cancer","id":"ITEM-3","issue":"1","issued":{"date-parts":[["2014","11","4"]]},"publisher":"BioMed Central Ltd.","title":"Treatment of colorectal liver metastases in Germany: A ten-year population-based analysis of 5772 cases of primary colorectal adenocarcinoma","type":"article-journal","volume":"14"},"uris":["http://www.mendeley.com/documents/?uuid=db32219f-012a-3cac-bd66-4b4d3be1346b"]},{"id":"ITEM-4","itemData":{"DOI":"10.1016/S1470-2045(13)70447-9","ISSN":"14702045","PMID":"24120480","abstract":"Background: Previous results of the EORTC intergroup trial 40983 showed that perioperative chemotherapy with FOLFOX4 (folinic acid, fluorouracil, and oxaliplatin) increases progression-free survival (PFS) compared with surgery alone for patients with initially resectable liver metastases from colorectal cancer. Here we present overall survival data after long-term follow-up. Methods: This randomised, controlled, parallel-group, phase 3 study recruited patients from 78 hospitals across Europe, Australia, and Hong Kong. Eligible patients aged 18-80 years who had histologically proven colorectal cancer and up to four liver metastases were randomly assigned (1:1) to either perioperative FOLFOX4 or surgery alone. Perioperative FOLFOX4 consisted of six 14-day cycles of oxaliplatin 85mg/m2, folinic acid 200 mg/m2 (DL form) or 100 mg/m2 (L form) on days 1-2 plus bolus, and fluorouracil 400 mg/m2 (bolus) and 600 mg/m2 (continuous 22 h infusion), before and after surgery. Patients were centrally randomised by minimisation, adjusting for centre and risk score and previous adjuvant chemotherapy to primary surgery for colorectal cancer, and the trial was open label. Analysis of overall survival was by intention to treat in all randomly assigned patients. This trial is registered with ClinicalTrials.gov, number NCT00006479. Findings: Between Oct 10, 2000, and July 5, 2004, 364 patients were randomly assigned to a treatment group (182 patients in each group, of which 171 per group were eligible and 152 per group underwent resection). At a median follow-up of 8·5 years (IQR 7·6-9·5), 107 (59%) patients in the perioperative chemotherapy group had died versus 114 (63%) in the surgery-only group (HR 0·88, 95% CI 0·68-1·14; p=0·34). In all randomly assigned patients, median overall survival was 61·3 months (95% CI 51·0-83·4) in the perioperative chemotherapy group and 54·3 months (41·9-79·4) in the surgery alone group. 5-year overall survival was 51·2% (95% CI 43·6-58·3) in the perioperative chemotherapy group versus 47·8% (40·3-55·0) in the surgery-only group. Two patients in the perioperative chemotherapy group and three in the surgery-only group died from complications of protocol surgery, and one patient in the perioperative chemotherapy group died possibly as a result of toxicity of protocol treatment. Interpretation: We found no difference in overall survival with the addition of perioperative chemotherapy with FOLFOX4 compared with surgery alone for patients with re…","author":[{"dropping-particle":"","family":"Nordlinger","given":"Bernard","non-dropping-particle":"","parse-names":false,"suffix":""},{"dropping-particle":"","family":"Sorbye","given":"Halfdan","non-dropping-particle":"","parse-names":false,"suffix":""},{"dropping-particle":"","family":"Glimelius","given":"Bengt","non-dropping-particle":"","parse-names":false,"suffix":""},{"dropping-particle":"","family":"Poston","given":"Graeme J.","non-dropping-particle":"","parse-names":false,"suffix":""},{"dropping-particle":"","family":"Schlag","given":"Peter M.","non-dropping-particle":"","parse-names":false,"suffix":""},{"dropping-particle":"","family":"Rougier","given":"Philippe","non-dropping-particle":"","parse-names":false,"suffix":""},{"dropping-particle":"","family":"Bechstein","given":"Wolf O.","non-dropping-particle":"","parse-names":false,"suffix":""},{"dropping-particle":"","family":"Primrose","given":"John N.","non-dropping-particle":"","parse-names":false,"suffix":""},{"dropping-particle":"","family":"Walpole","given":"Euan T.","non-dropping-particle":"","parse-names":false,"suffix":""},{"dropping-particle":"","family":"Finch-Jones","given":"Meg","non-dropping-particle":"","parse-names":false,"suffix":""},{"dropping-particle":"","family":"Jaeck","given":"Daniel","non-dropping-particle":"","parse-names":false,"suffix":""},{"dropping-particle":"","family":"Mirza","given":"Darius","non-dropping-particle":"","parse-names":false,"suffix":""},{"dropping-particle":"","family":"Parks","given":"Rowan W.","non-dropping-particle":"","parse-names":false,"suffix":""},{"dropping-particle":"","family":"Mauer","given":"Murielle","non-dropping-particle":"","parse-names":false,"suffix":""},{"dropping-particle":"","family":"Tanis","given":"Erik","non-dropping-particle":"","parse-names":false,"suffix":""},{"dropping-particle":"","family":"Cutsem","given":"Eric","non-dropping-particle":"Van","parse-names":false,"suffix":""},{"dropping-particle":"","family":"Scheithauer","given":"Werner","non-dropping-particle":"","parse-names":false,"suffix":""},{"dropping-particle":"","family":"Gruenberger","given":"Thomas","non-dropping-particle":"","parse-names":false,"suffix":""}],"container-title":"The Lancet Oncology","id":"ITEM-4","issue":"12","issued":{"date-parts":[["2013","11"]]},"page":"1208-1215","publisher":"Lancet Oncol","title":"Perioperative FOLFOX4 chemotherapy and surgery versus surgery alone for resectable liver metastases from colorectal cancer (EORTC 40983): Long-term results of a randomised, controlled, phase 3 trial","type":"article-journal","volume":"14"},"uris":["http://www.mendeley.com/documents/?uuid=67722767-7c90-3b80-8de2-25a0fa54fbeb"]}],"mendeley":{"formattedCitation":"(Adam et al., 2012; Hackl et al., 2014; House et al., 2010; Nordlinger et al., 2013)","plainTextFormattedCitation":"(Adam et al., 2012; Hackl et al., 2014; House et al., 2010; Nordlinger et al., 2013)","previouslyFormattedCitation":"&lt;sup&gt;184–187&lt;/sup&gt;"},"properties":{"noteIndex":0},"schema":"https://github.com/citation-style-language/schema/raw/master/csl-citation.json"}</w:instrText>
      </w:r>
      <w:r>
        <w:fldChar w:fldCharType="separate"/>
      </w:r>
      <w:r w:rsidRPr="00DC2006">
        <w:rPr>
          <w:noProof/>
        </w:rPr>
        <w:t>(Adam et al., 2012; Hackl et al., 2014; House et al., 2010; Nordlinger et al., 2013)</w:t>
      </w:r>
      <w:r>
        <w:fldChar w:fldCharType="end"/>
      </w:r>
      <w:r w:rsidRPr="001A1878">
        <w:t>, it is only available in approximately 20% of patients at the time of diagnosis</w:t>
      </w:r>
      <w:r>
        <w:fldChar w:fldCharType="begin" w:fldLock="1"/>
      </w:r>
      <w:r>
        <w:instrText>ADDIN CSL_CITATION {"citationItems":[{"id":"ITEM-1","itemData":{"DOI":"10.1245/s10434-015-5060-8","ISSN":"15344681","PMID":"26822881","abstract":"Background: Although efficient chemotherapy regimens have improved outcomes after R1 resection (positive margins) for colorectal liver metastases (CLMs), the long-term survival benefit and potential for cure after R1 resection have not been clearly demonstrated. The aim of this study was to evaluate the long-term outcome after R1 resection for CLM, and to identify factors predictive of cure. Methods: All resected CLM patients at our institution from 2000 to 2009 were prospectively evaluated. Cure was defined as a disease-free interval ≥5 years from the last hepatic or extrahepatic resection to last follow-up. Results: Of 628 patients consecutively resected for CLM, 428 were eligible for the study, of whom 219 (51 %) underwent R0 resection (negative margins) and 209 (49 %) underwent R1 resection. Overall, 130 patients with R0 resection and 141 patients with R1 resection had more than 5 years of follow-up. Five- and 10-year overall survival rates were 56 and 34 % for R0 patients, and 48 and 36 % for R1 patients, respectively (p = 0.37). Of the 141 patients who underwent R1 resection, 26 patients (18 %) were considered ‘cured’, and 106 patients (75 %) were considered ‘noncured’. Independent predictive factors of cure after R1 resection included ≤10 total cycles of preoperative chemotherapy and objective response to preoperative chemotherapy. Conclusions: Overall, potential cure can be achieved in 18 % of patients after R1 resection for CLM. The best conditions to achieve long-term survival after R1 resection rely on a good response to efficient and short first-line chemotherapy.","author":[{"dropping-particle":"","family":"Hosokawa","given":"Isamu","non-dropping-particle":"","parse-names":false,"suffix":""},{"dropping-particle":"","family":"Allard","given":"Marc Antoine","non-dropping-particle":"","parse-names":false,"suffix":""},{"dropping-particle":"","family":"Gelli","given":"Maximiliano","non-dropping-particle":"","parse-names":false,"suffix":""},{"dropping-particle":"","family":"Ciacio","given":"Oriana","non-dropping-particle":"","parse-names":false,"suffix":""},{"dropping-particle":"","family":"Vibert","given":"Eric","non-dropping-particle":"","parse-names":false,"suffix":""},{"dropping-particle":"","family":"Cherqui","given":"Daniel","non-dropping-particle":"","parse-names":false,"suffix":""},{"dropping-particle":"","family":"Sa Cunha","given":"Antonio","non-dropping-particle":"","parse-names":false,"suffix":""},{"dropping-particle":"","family":"Castaing","given":"Denis","non-dropping-particle":"","parse-names":false,"suffix":""},{"dropping-particle":"","family":"Miyazaki","given":"Masaru","non-dropping-particle":"","parse-names":false,"suffix":""},{"dropping-particle":"","family":"Adam","given":"René","non-dropping-particle":"","parse-names":false,"suffix":""}],"container-title":"Annals of Surgical Oncology","id":"ITEM-1","issue":"6","issued":{"date-parts":[["2016","6","1"]]},"page":"1897-1905","publisher":"Springer New York LLC","title":"Long-Term Survival Benefit and Potential for Cure after R1 Resection for Colorectal Liver Metastases","type":"article-journal","volume":"23"},"uris":["http://www.mendeley.com/documents/?uuid=79083ac2-8faa-32f2-9f74-5f4228f0bf24"]}],"mendeley":{"formattedCitation":"(Hosokawa et al., 2016)","plainTextFormattedCitation":"(Hosokawa et al., 2016)","previouslyFormattedCitation":"&lt;sup&gt;27&lt;/sup&gt;"},"properties":{"noteIndex":0},"schema":"https://github.com/citation-style-language/schema/raw/master/csl-citation.json"}</w:instrText>
      </w:r>
      <w:r>
        <w:fldChar w:fldCharType="separate"/>
      </w:r>
      <w:r w:rsidRPr="00DC2006">
        <w:rPr>
          <w:noProof/>
        </w:rPr>
        <w:t>(Hosokawa et al., 2016)</w:t>
      </w:r>
      <w:r>
        <w:fldChar w:fldCharType="end"/>
      </w:r>
      <w:r w:rsidRPr="001A1878">
        <w:t>.</w:t>
      </w:r>
    </w:p>
    <w:p w14:paraId="0996CB69" w14:textId="5BE2749D" w:rsidR="00DC2006" w:rsidRPr="001A1878" w:rsidRDefault="00DC2006" w:rsidP="00DC2006">
      <w:r w:rsidRPr="001A1878">
        <w:t>Percutaneous ablation therapy (PTA), via microwave or radiofrequency ablation, has been shown to have similar overall 5-year survival rates, from 24% to 51%</w:t>
      </w:r>
      <w:r>
        <w:fldChar w:fldCharType="begin" w:fldLock="1"/>
      </w:r>
      <w:r>
        <w:instrText>ADDIN CSL_CITATION {"citationItems":[{"id":"ITEM-1","itemData":{"DOI":"10.1007/s00330-008-1258-5","abstract":"Five-year survival in 309 patients with colorectal liver metastases treated with radiofrequency ablation Abstract There is little published long-term survival data for patients with colorectal liver metastases treated with radiofrequency ablation (RFA). We present a multivariate analysis of 5-year survival in 309 patients (198 male, aged 64 (24–92)) treated at 617 sessions. Our standard protocol used internally cooled electrodes intro-duced percutaneously under combined US and CT guidance/monitoring. The number and size of liver metastases, the presence and location of extrahe-patic disease, primary resection, clin-ical, chemotherapy and follow-up data were recorded. Data analysis was performed using SPSS v.10. On mul-tivariate analysis, significant survival factors were the presence of extrahe-patic disease (p&lt;0.001) and liver tumour volume (p=0.001). For 123 patients with five or less metastases of 5 cm or less maximum diameter and no extrahepatic disease median survi-val was 46 and 36 months from liver metastasis diagnosis and ablation, respectively; corresponding 3-and 5-year survival rates were 63%, 34% and 49%, 24%. Sixty-nine patients had three or less tumours of below 3.5 cm in diameter and their 5-year survival from ablation was 33%. There were 23/617(3.7%) local com-plications requiring intervention. Five-year survival of 24–33% post ablation in selected patients is superior to any published chemotherapy data and approaches the results of liver resection.","author":[{"dropping-particle":"","family":"Gillams","given":"A R","non-dropping-particle":"","parse-names":false,"suffix":""},{"dropping-particle":"","family":"Lees","given":"W R","non-dropping-particle":"","parse-names":false,"suffix":""}],"container-title":"Eur Radiol","id":"ITEM-1","issued":{"date-parts":[["2009"]]},"page":"1206-1213","title":"Five-year survival in 309 patients with colorectal liver metastases treated with radiofrequency ablation","type":"article-journal","volume":"19"},"uris":["http://www.mendeley.com/documents/?uuid=73a2f081-beac-322a-b800-cc0f9e588e93"]},{"id":"ITEM-2","itemData":{"DOI":"10.4174/jkss.2011.81.1.25","ISSN":"2233-7903","PMID":"22066097","abstract":"PURPOSE To evaluate the comparative therapeutic efficacy of radiofrequency ablation (RFA) and hepatic resection for the treatment of colorectal liver metastasis (CRLM). METHODS Between 1996 and 2008, 177 patients underwent RFA, 278 underwent hepatic resection and 27 underwent combination therapy for CRLM. Comparative analysis of clinical outcomes was performed including number of liver metastases, tumor size, and time of CRLM. RESULTS Based on multivariate analysis, overall survival (OS) correlated with the number of liver metastases and the use of combined chemotherapy (P &lt; 0.001, respectively). Disease-free survival (DFS) also correlated with the number of liver metastases (P &lt; 0.001). In the 226 patients with solitary CRLM &lt; 3 cm, OS and DFS rates did not differ between the RFA group and the resection group (P = 0.962 and P = 0.980). In the 70 patients with solitary CRLM ≥ 3 cm, DFS was significantly lower in the RFA group as compared with the resection group (P = 0.015). CONCLUSION The results indicate that RFA may be a safe alternative treatment for solitary CRLM less than 3 cm, with outcomes equivalent to those achieved with hepatic resection. A randomized controlled study comparing RFA and resection for patients with single small metastasis would help to determine the most efficient treatment modalities for CRLM.","author":[{"dropping-particle":"","family":"Kim","given":"Kyung Ho","non-dropping-particle":"","parse-names":false,"suffix":""},{"dropping-particle":"","family":"Yoon","given":"Yong Sik","non-dropping-particle":"","parse-names":false,"suffix":""},{"dropping-particle":"","family":"Yu","given":"Chang Sik","non-dropping-particle":"","parse-names":false,"suffix":""},{"dropping-particle":"","family":"Kim","given":"Tae Won","non-dropping-particle":"","parse-names":false,"suffix":""},{"dropping-particle":"","family":"Kim","given":"Hye Jin","non-dropping-particle":"","parse-names":false,"suffix":""},{"dropping-particle":"","family":"Kim","given":"Pyo Nyun","non-dropping-particle":"","parse-names":false,"suffix":""},{"dropping-particle":"","family":"Ha","given":"Hyun Kwon","non-dropping-particle":"","parse-names":false,"suffix":""},{"dropping-particle":"","family":"Kim","given":"Jin Cheon","non-dropping-particle":"","parse-names":false,"suffix":""}],"container-title":"Journal of the Korean Surgical Society","id":"ITEM-2","issue":"1","issued":{"date-parts":[["2011","7"]]},"page":"25","title":"Comparative analysis of radiofrequency ablation and surgical resection for colorectal liver metastases","type":"article-journal","volume":"81"},"uris":["http://www.mendeley.com/documents/?uuid=69d0b125-76b2-388f-b066-d654aa46c51e"]},{"id":"ITEM-3","itemData":{"DOI":"10.1148/radiol.12111851","ISSN":"00338419","PMID":"23091175","abstract":"Purpose: To determine the long-term (10-year) survival of patients with colorectal liver metastases treated with radiofrequency (RF) ablation and systemic chemotherapy with intention to treat. Materials and Methods: Institutional review board approval was obtained for this study. From 1997 to 2006, 99 consecutive patients with 202 small (0.8-4.0 cm; mean: 2.2 cm ± 1.1) metachronous colorectal liver metastases underwent ultrasonography-guided percutaneous RF ablation with internally-cooled electrodes in association with systemic chemotherapy. Patients ineligible for surgery (n = 80) or whose lesions were potentially resectable and who refused surgery (n = 19) were included. Patients were followed up with contrast agent-enhanced computed tomography and/ or magnetic resonance imaging for a minimum of 3 years to more than 10 years after RF ablation (n = 99, 67, 49, and 25 for 3, 5, 7, and 10 or more years, respectively). Overall local response rates and long-term survival rates were assessed. For each of these primary endpoints, Kaplan-Meier curves were generated and log-rank tests were used to assess for statistically significant differences. Results: Primary and secondary technical success rates were 93.1% (188 of 202) and 100% (14 of 14), respectively. Local tumor progression occurred in 11.9% (24 of 202) metastases, and 54.2% (13 of 24) of these were re-treated. Patient survival rates increased with re-treatment versus no re-treatment (P &lt; .001). At follow-up, 125 new liver metastases were found, and of these 32.8% (41 of 125) were treated with RF ablation. Overall survival rates were 98.0%, 69.3%, 47.8%, 25.0%, and 18.0% (median: 53.2 months) at 1, 3, 5, 7, and 10 years, respectively. The major complication rate was 1.3% (two of 156), and there were no procedure-related deaths. At the time this article was written, 32.3% (32 of 99) of the patients were alive, and 67.7% (67 of 99) were deceased, with a median follow-up of 72 months. Conclusion: Adding RF ablation to systemic chemotherapy achieved local control in a large majority of metachronous colorectal liver metastases. The 3- to 10-year survival rates of this relatively large series of patients were essentially equivalent to those of most surgical series reported in the literature. © RSNA, 2012.","author":[{"dropping-particle":"","family":"Solbiati","given":"Luigi","non-dropping-particle":"","parse-names":false,"suffix":""},{"dropping-particle":"","family":"Ahmed","given":"Muneeb","non-dropping-particle":"","parse-names":false,"suffix":""},{"dropping-particle":"","family":"Cova","given":"Luca","non-dropping-particle":"","parse-names":false,"suffix":""},{"dropping-particle":"","family":"Ierace","given":"Tiziana","non-dropping-particle":"","parse-names":false,"suffix":""},{"dropping-particle":"","family":"Brioschi","given":"Michela","non-dropping-particle":"","parse-names":false,"suffix":""},{"dropping-particle":"","family":"Goldberg","given":"S. Nahum","non-dropping-particle":"","parse-names":false,"suffix":""}],"container-title":"Radiology","id":"ITEM-3","issue":"3","issued":{"date-parts":[["2012","12","1"]]},"page":"958-968","publisher":"Radiological Society of North America, Inc.","title":"Small liver colorectal metastases treated with percutaneous radiofrequency ablation: Local response rate and long-term survival with up to 10-year follow-up","type":"article-journal","volume":"265"},"uris":["http://www.mendeley.com/documents/?uuid=e1f0d60d-09ea-3489-a2a3-081a9a577bd2"]}],"mendeley":{"formattedCitation":"(Gillams &amp; Lees, 2009; Kim et al., 2011; Solbiati et al., 2012)","plainTextFormattedCitation":"(Gillams &amp; Lees, 2009; Kim et al., 2011; Solbiati et al., 2012)","previouslyFormattedCitation":"&lt;sup&gt;126,127,188&lt;/sup&gt;"},"properties":{"noteIndex":0},"schema":"https://github.com/citation-style-language/schema/raw/master/csl-citation.json"}</w:instrText>
      </w:r>
      <w:r>
        <w:fldChar w:fldCharType="separate"/>
      </w:r>
      <w:r w:rsidRPr="00DC2006">
        <w:rPr>
          <w:noProof/>
        </w:rPr>
        <w:t>(</w:t>
      </w:r>
      <w:proofErr w:type="spellStart"/>
      <w:r w:rsidRPr="00DC2006">
        <w:rPr>
          <w:noProof/>
        </w:rPr>
        <w:t>Gillams</w:t>
      </w:r>
      <w:proofErr w:type="spellEnd"/>
      <w:r w:rsidRPr="00DC2006">
        <w:rPr>
          <w:noProof/>
        </w:rPr>
        <w:t xml:space="preserve"> &amp; Lees, 2009; Kim et al., 2011; Solbiati et al., 2012)</w:t>
      </w:r>
      <w:r>
        <w:fldChar w:fldCharType="end"/>
      </w:r>
      <w:r w:rsidRPr="001A1878">
        <w:t>, as surgery. Unfortunately, one of the largest challenges with PTA is ensuring sufficient ablation delivery.</w:t>
      </w:r>
    </w:p>
    <w:p w14:paraId="790631B0" w14:textId="0F6C922B" w:rsidR="00DC2006" w:rsidRPr="001A1878" w:rsidRDefault="00DC2006" w:rsidP="00DC2006">
      <w:r w:rsidRPr="001A1878">
        <w:t>Current work on assessing ablation efficacy has focused on 2D margin assessment</w:t>
      </w:r>
      <w:r>
        <w:fldChar w:fldCharType="begin" w:fldLock="1"/>
      </w:r>
      <w:r>
        <w:instrText>ADDIN CSL_CITATION {"citationItems":[{"id":"ITEM-1","itemData":{"DOI":"10.1016/j.acra.2006.05.011","ISSN":"10766332","PMID":"16843851","abstract":"Rationale and Objectives: The therapeutic response to radiofrequency ablation (RFA) of hepatocellular carcinoma (HCC) often is evaluated by comparing pre- and post-RFA computed tomography (CT). However, judgment about whether an ablative margin, ie, 5-10 mm of normal hepatic tissue, is ensured sometimes is difficult. The aim of this study is to assess the feasibility of fusion images of pre- and post-RFA CT. Materials and Methods: HCCs (n = 20) sized 13 ± 5 mm (range, 4-23 mm) were included. For pre-RFA CT, the arterial phase of intravenous dynamic CT (n = 17), CT arterioportography (n = 2), and CT hepatic arteriography (n = 1) was used. Using automatic image registration software (n = 20) and a manual segmentation technique (n = 4), fusion images were created in combination with post-RFA CT (equilibrium phase of intravenous CT). Results: Automatic image registration and manual segmentation technique took approximately 2-3 and 5 minutes, respectively. Total time required for the creation of fusion images was less than 10 minutes in all cases. Fusion images enabled easier understanding of the relationship between the tumor and ablation zone, helping judge whether an ablative margin was ensured. Conclusion: Fusion of pre- and post-RFA CT images is considered a feasible tool in the evaluation of RFA therapy for HCC. © 2006 AUR.","author":[{"dropping-particle":"","family":"Fujioka","given":"Chikako","non-dropping-particle":"","parse-names":false,"suffix":""},{"dropping-particle":"","family":"Horiguchi","given":"Jun","non-dropping-particle":"","parse-names":false,"suffix":""},{"dropping-particle":"","family":"Ishifuro","given":"Minoru","non-dropping-particle":"","parse-names":false,"suffix":""},{"dropping-particle":"","family":"Kakizawa","given":"Hideaki","non-dropping-particle":"","parse-names":false,"suffix":""},{"dropping-particle":"","family":"Kiguchi","given":"Masao","non-dropping-particle":"","parse-names":false,"suffix":""},{"dropping-particle":"","family":"Matsuura","given":"Noriaki","non-dropping-particle":"","parse-names":false,"suffix":""},{"dropping-particle":"","family":"Hieda","given":"Masashi","non-dropping-particle":"","parse-names":false,"suffix":""},{"dropping-particle":"","family":"Tachikake","given":"Toshihiro","non-dropping-particle":"","parse-names":false,"suffix":""},{"dropping-particle":"","family":"Alam","given":"Farzana","non-dropping-particle":"","parse-names":false,"suffix":""},{"dropping-particle":"","family":"Furukawa","given":"Takashi","non-dropping-particle":"","parse-names":false,"suffix":""},{"dropping-particle":"","family":"Ito","given":"Katsuhide","non-dropping-particle":"","parse-names":false,"suffix":""}],"container-title":"Academic Radiology","id":"ITEM-1","issue":"8","issued":{"date-parts":[["2006","8","1"]]},"page":"986-994","publisher":"Elsevier","title":"A Feasibility Study. Evaluation of Radiofrequency Ablation Therapy to Hepatocellular Carcinoma Using Image Registration of Preoperative and Postoperative CT","type":"article-journal","volume":"13"},"uris":["http://www.mendeley.com/documents/?uuid=b37653f3-fb31-3b13-9abf-187522a98b93"]}],"mendeley":{"formattedCitation":"(Fujioka et al., 2006)","plainTextFormattedCitation":"(Fujioka et al., 2006)","previouslyFormattedCitation":"&lt;sup&gt;137&lt;/sup&gt;"},"properties":{"noteIndex":0},"schema":"https://github.com/citation-style-language/schema/raw/master/csl-citation.json"}</w:instrText>
      </w:r>
      <w:r>
        <w:fldChar w:fldCharType="separate"/>
      </w:r>
      <w:r w:rsidRPr="00DC2006">
        <w:rPr>
          <w:noProof/>
        </w:rPr>
        <w:t>(Fujioka et al., 2006)</w:t>
      </w:r>
      <w:r>
        <w:fldChar w:fldCharType="end"/>
      </w:r>
      <w:r w:rsidRPr="001A1878">
        <w:t>, 3D assessment with rigid registration</w:t>
      </w:r>
      <w:r>
        <w:fldChar w:fldCharType="begin" w:fldLock="1"/>
      </w:r>
      <w:r>
        <w:instrText>ADDIN CSL_CITATION {"citationItems":[{"id":"ITEM-1","itemData":{"DOI":"10.1007/s00330-018-5809-0","abstract":"Purpose The goal of this study was to develop and evaluate a volumetric three-dimensional (3D) approach to improve the accuracy of ablation margin assessment following thermal ablation of hepatic tumors. Methods The 3D margin assessment technique was developed to generate the new 3D assessment metrics: volumes of insufficient coverage (VICs) measuring volume of tissue at risk post-ablation. VICs were computed for the tumor and tumor plus theoretical 5-and 10-mm margins. The diagnostic accuracy of the 3D assessment to predict 2-year local tumor progression (LTP) was compared to that of manual 2D assessment using retrospective analysis of a patient cohort that has previously been reported as a part of an outcome-centered study. Eighty-six consecutive patients with 108 colorectal cancer liver metastases treated with radiofrequency ablation (2002-2012) were used for evaluation. The 2-year LTP discrimination power was assessed using receiver operating characteristic area under the curve (AUC) analysis. Results A 3D assessment of margins was successfully completed for 93 out of 108 tumors. The minimum margin size measured using the 3D method had higher discrimination power compared with the 2D method, with an AUC value of 0.893 vs. 0.790 (p = 0.01). The new 5-mm VIC metric had the highest 2-year LTP discrimination power with an AUC value of 0.923 (p = 0.004). Conclusions Volumetric semi-automated 3D assessment of the ablation zone in the liver is feasible and can improve accuracy of 2-year LTP prediction following thermal ablation of hepatic tumors. Key Points • More accurate prediction of local tumor progression risk using volumetric 3D ablation zone assessment can help improve the efficacy of image-guided percutaneous thermal ablation of hepatic tumors. • The accuracy of evaluation of ablation zone margins after thermal ablation of colorectal liver metastases can be improved using a volumetric 3D semi-automated assessment approach and the volume of insufficient coverage assessment metric. • The new 5-mm volume-of-insufficient-coverage metric, indicating the volume of tumor plus 5-mm margin that remained untreated, had the highest 2-year local tumor progression discrimination power.","author":[{"dropping-particle":"","family":"Kaye","given":"Elena A","non-dropping-particle":"","parse-names":false,"suffix":""},{"dropping-particle":"","family":"Cornelis","given":"Francois H","non-dropping-particle":"","parse-names":false,"suffix":""},{"dropping-particle":"","family":"Petre","given":"Elena N","non-dropping-particle":"","parse-names":false,"suffix":""},{"dropping-particle":"","family":"Tyagi","given":"Neelam","non-dropping-particle":"","parse-names":false,"suffix":""},{"dropping-particle":"","family":"Shady","given":"Waleed","non-dropping-particle":"","parse-names":false,"suffix":""},{"dropping-particle":"","family":"Shi","given":"Weiji","non-dropping-particle":"","parse-names":false,"suffix":""},{"dropping-particle":"","family":"Zhang","given":"Zhigang","non-dropping-particle":"","parse-names":false,"suffix":""},{"dropping-particle":"","family":"Solomon","given":"Stephen B","non-dropping-particle":"","parse-names":false,"suffix":""},{"dropping-particle":"","family":"Sofocleous","given":"Constantinos T","non-dropping-particle":"","parse-names":false,"suffix":""},{"dropping-particle":"","family":"Durack","given":"Jeremy C","non-dropping-particle":"","parse-names":false,"suffix":""}],"id":"ITEM-1","issued":{"date-parts":[["0"]]},"title":"Volumetric 3D assessment of ablation zones after thermal ablation of colorectal liver metastases to improve prediction of local tumor progression","type":"article-journal"},"uris":["http://www.mendeley.com/documents/?uuid=d46beb5b-f1ce-3db0-afc4-7cb2be8dcc16"]}],"mendeley":{"formattedCitation":"(Kaye et al., n.d.)","plainTextFormattedCitation":"(Kaye et al., n.d.)","previouslyFormattedCitation":"&lt;sup&gt;138&lt;/sup&gt;"},"properties":{"noteIndex":0},"schema":"https://github.com/citation-style-language/schema/raw/master/csl-citation.json"}</w:instrText>
      </w:r>
      <w:r>
        <w:fldChar w:fldCharType="separate"/>
      </w:r>
      <w:r w:rsidRPr="00DC2006">
        <w:rPr>
          <w:noProof/>
        </w:rPr>
        <w:t>(Kaye et al., n.d.)</w:t>
      </w:r>
      <w:r>
        <w:fldChar w:fldCharType="end"/>
      </w:r>
      <w:r w:rsidRPr="001A1878">
        <w:t>, or 3D margin assessment with some form of deformable registration</w:t>
      </w:r>
      <w:r>
        <w:fldChar w:fldCharType="begin" w:fldLock="1"/>
      </w:r>
      <w:r>
        <w:instrText>ADDIN CSL_CITATION {"citationItems":[{"id":"ITEM-1","itemData":{"DOI":"10.1186/s12880-019-0360-2","ISSN":"14712342","PMID":"31429708","abstract":"Background: Compared to surgery, radiofrequency ablation(RFA) for colorectal liver metastasis(CRLM) is associated with higher local recurrence(LR) rates. A wide margin (at least 5 mm) is generally recommended to prevent LR, but the optimal method to assess ablation margins is yet to be established. The aim of our study was to evaluate the feasibility and reproducibility of CT-CT co-registration, using MIRADA software, in order to assess ablation margins of patients with CRLM. Methods: In this retrospective study, pre- and post-ablation contrast-enhanced CT scans of 29 patients, treated with percutaneous RFA for a solitary CRLM, were co-registered. Co-registration was performed by two independent radiologist, based on venous structures in proximity to the tumor. Feasibility of CT-CT co-registration and inter-observer agreement for reproducibility and ablation margins was determined. Furthermore, the minimal ablation margin was compared with the occurrence of LR during follow-up. Results: Co-registration was considered feasible in 18 patients (61% male, 63.1(±10.9) year), with a perfect inter-observer agreement for completeness of ablation: κ = 1.0(p &lt; 0.001). And substantial inter-observer agreement for measurement of the minimal margin (≤ 0 mm, 1-5 mm, ≥ 5 mm): κ = 0.723(p-value &lt; 0.001). LR occurred in eight of nine(88.9%) incompletely ablated CRLM and in one of the nine completely ablated CRLM(11.1%). Conclusion: Co-registration using MIRADA is reproducible and potentially a valuable tool in defining technical success. Feasibility of co-registration of pre- and post-ablation CT scans is suboptimal if scans are not acquired concordantly. Co-registration may potentially aid in the prediction of LR after percutaneous ablation.","author":[{"dropping-particle":"","family":"Sibinga Mulder","given":"B. G.","non-dropping-particle":"","parse-names":false,"suffix":""},{"dropping-particle":"","family":"Hendriks","given":"P.","non-dropping-particle":"","parse-names":false,"suffix":""},{"dropping-particle":"","family":"Baetens","given":"T. R.","non-dropping-particle":"","parse-names":false,"suffix":""},{"dropping-particle":"","family":"Erkel","given":"A. R.","non-dropping-particle":"Van","parse-names":false,"suffix":""},{"dropping-particle":"","family":"Rijswijk","given":"C. S.P.","non-dropping-particle":"Van","parse-names":false,"suffix":""},{"dropping-particle":"","family":"Meer","given":"R. W.","non-dropping-particle":"Van Der","parse-names":false,"suffix":""},{"dropping-particle":"","family":"Velde","given":"C. J.H.","non-dropping-particle":"Van De","parse-names":false,"suffix":""},{"dropping-particle":"","family":"Vahrmeijer","given":"A. L.","non-dropping-particle":"","parse-names":false,"suffix":""},{"dropping-particle":"","family":"Mieog","given":"J. S.D.","non-dropping-particle":"","parse-names":false,"suffix":""},{"dropping-particle":"","family":"Burgmans","given":"M. C.","non-dropping-particle":"","parse-names":false,"suffix":""}],"container-title":"BMC Medical Imaging","id":"ITEM-1","issue":"1","issued":{"date-parts":[["2019","8","20"]]},"page":"71","publisher":"BioMed Central Ltd.","title":"Quantitative margin assessment of radiofrequency ablation of a solitary colorectal hepatic metastasis using MIRADA RTx on CT scans: A feasibility study","type":"article-journal","volume":"19"},"uris":["http://www.mendeley.com/documents/?uuid=70c5c6db-dc8e-3e3c-851e-4736cce487ae"]}],"mendeley":{"formattedCitation":"(Sibinga Mulder et al., 2019)","plainTextFormattedCitation":"(Sibinga Mulder et al., 2019)","previouslyFormattedCitation":"&lt;sup&gt;189&lt;/sup&gt;"},"properties":{"noteIndex":0},"schema":"https://github.com/citation-style-language/schema/raw/master/csl-citation.json"}</w:instrText>
      </w:r>
      <w:r>
        <w:fldChar w:fldCharType="separate"/>
      </w:r>
      <w:r w:rsidRPr="00DC2006">
        <w:rPr>
          <w:noProof/>
        </w:rPr>
        <w:t>(</w:t>
      </w:r>
      <w:proofErr w:type="spellStart"/>
      <w:r w:rsidRPr="00DC2006">
        <w:rPr>
          <w:noProof/>
        </w:rPr>
        <w:t>Sibinga</w:t>
      </w:r>
      <w:proofErr w:type="spellEnd"/>
      <w:r w:rsidRPr="00DC2006">
        <w:rPr>
          <w:noProof/>
        </w:rPr>
        <w:t xml:space="preserve"> Mulder et al., 2019)</w:t>
      </w:r>
      <w:r>
        <w:fldChar w:fldCharType="end"/>
      </w:r>
      <w:r w:rsidRPr="001A1878">
        <w:t>[xxx our JVIR paper]. Each of these methods relies on the single metric of minimum delivered margin, without context to the surrounding tissue.</w:t>
      </w:r>
    </w:p>
    <w:p w14:paraId="7DAD3621" w14:textId="3E4F00A1" w:rsidR="00DC2006" w:rsidRPr="001A1878" w:rsidRDefault="00DC2006" w:rsidP="00DC2006">
      <w:r w:rsidRPr="001A1878">
        <w:t>Deep learning classification architectures have been shown to be successful extractors and interpreters of image information beyond what is easily identified by humans. Current deep learning work has produced outcome predictors with medical image in a number of tasks, from detection of pneumonia</w:t>
      </w:r>
      <w:r>
        <w:fldChar w:fldCharType="begin" w:fldLock="1"/>
      </w:r>
      <w:r>
        <w:instrText>ADDIN CSL_CITATION {"citationItems":[{"id":"ITEM-1","itemData":{"DOI":"10.3390/diagnostics10060417","ISSN":"20754418","abstract":"Pneumonia causes the death of around 700,000 children every year and affects 7% of the global population. Chest X-rays are primarily used for the diagnosis of this disease. However, even for a trained radiologist, it is a challenging task to examine chest X-rays. There is a need to improve the diagnosis accuracy. In this work, an efficient model for the detection of pneumonia trained on digital chest X-ray images is proposed, which could aid the radiologists in their decision making process. A novel approach based on a weighted classifier is introduced, which combines the weighted predictions from the state-of-the-art deep learning models such as ResNet18, Xception, InceptionV3, DenseNet121, and MobileNetV3 in an optimal way. This approach is a supervised learning approach in which the network predicts the result based on the quality of the dataset used. Transfer learning is used to fine-tune the deep learning models to obtain higher training and validation accuracy. Partial data augmentation techniques are employed to increase the training dataset in a balanced way. The proposed weighted classifier is able to outperform all the individual models. Finally, the model is evaluated, not only in terms of test accuracy, but also in the AUC score. The final proposed weighted classifier model is able to achieve a test accuracy of 98.43% and an AUC score of 99.76 on the unseen data from the Guangzhou Women and Children's Medical Center pneumonia dataset. Hence, the proposed model can be used for a quick diagnosis of pneumonia and can aid the radiologists in the diagnosis process.","author":[{"dropping-particle":"","family":"Hashmi","given":"Mohammad Farukh","non-dropping-particle":"","parse-names":false,"suffix":""},{"dropping-particle":"","family":"Katiyar","given":"Satyarth","non-dropping-particle":"","parse-names":false,"suffix":""},{"dropping-particle":"","family":"Keskar","given":"Avinash G.","non-dropping-particle":"","parse-names":false,"suffix":""},{"dropping-particle":"","family":"Bokde","given":"Neeraj Dhanraj","non-dropping-particle":"","parse-names":false,"suffix":""},{"dropping-particle":"","family":"Geem","given":"Zong Woo","non-dropping-particle":"","parse-names":false,"suffix":""}],"container-title":"Diagnostics","id":"ITEM-1","issue":"6","issued":{"date-parts":[["2020","6","1"]]},"publisher":"MDPI AG","title":"Efficient pneumonia detection in chest xray images using deep transfer learning","type":"article-journal","volume":"10"},"uris":["http://www.mendeley.com/documents/?uuid=0133eca7-24d6-3486-956e-ff294b043064"]}],"mendeley":{"formattedCitation":"(Hashmi et al., 2020)","plainTextFormattedCitation":"(Hashmi et al., 2020)","previouslyFormattedCitation":"&lt;sup&gt;190&lt;/sup&gt;"},"properties":{"noteIndex":0},"schema":"https://github.com/citation-style-language/schema/raw/master/csl-citation.json"}</w:instrText>
      </w:r>
      <w:r>
        <w:fldChar w:fldCharType="separate"/>
      </w:r>
      <w:r w:rsidRPr="00DC2006">
        <w:rPr>
          <w:noProof/>
        </w:rPr>
        <w:t>(Hashmi et al., 2020)</w:t>
      </w:r>
      <w:r>
        <w:fldChar w:fldCharType="end"/>
      </w:r>
      <w:r w:rsidRPr="001A1878">
        <w:t>, to histopathological classification</w:t>
      </w:r>
      <w:r>
        <w:fldChar w:fldCharType="begin" w:fldLock="1"/>
      </w:r>
      <w:r>
        <w:instrText>ADDIN CSL_CITATION {"citationItems":[{"id":"ITEM-1","itemData":{"DOI":"10.1038/s41598-020-58467-9","ISSN":"20452322","PMID":"32001752","abstract":"Histopathological classification of gastric and colonic epithelial tumours is one of the routine pathological diagnosis tasks for pathologists. Computational pathology techniques based on Artificial intelligence (AI) would be of high benefit in easing the ever increasing workloads on pathologists, especially in regions that have shortages in access to pathological diagnosis services. In this study, we trained convolutional neural networks (CNNs) and recurrent neural networks (RNNs) on biopsy histopathology whole-slide images (WSIs) of stomach and colon. The models were trained to classify WSI into adenocarcinoma, adenoma, and non-neoplastic. We evaluated our models on three independent test sets each, achieving area under the curves (AUCs) up to 0.97 and 0.99 for gastric adenocarcinoma and adenoma, respectively, and 0.96 and 0.99 for colonic adenocarcinoma and adenoma respectively. The results demonstrate the generalisation ability of our models and the high promising potential of deployment in a practical histopathological diagnostic workflow system.","author":[{"dropping-particle":"","family":"Iizuka","given":"Osamu","non-dropping-particle":"","parse-names":false,"suffix":""},{"dropping-particle":"","family":"Kanavati","given":"Fahdi","non-dropping-particle":"","parse-names":false,"suffix":""},{"dropping-particle":"","family":"Kato","given":"Kei","non-dropping-particle":"","parse-names":false,"suffix":""},{"dropping-particle":"","family":"Rambeau","given":"Michael","non-dropping-particle":"","parse-names":false,"suffix":""},{"dropping-particle":"","family":"Arihiro","given":"Koji","non-dropping-particle":"","parse-names":false,"suffix":""},{"dropping-particle":"","family":"Tsuneki","given":"Masayuki","non-dropping-particle":"","parse-names":false,"suffix":""}],"container-title":"Scientific Reports","id":"ITEM-1","issue":"1","issued":{"date-parts":[["2020","12","1"]]},"page":"1-11","publisher":"Nature Research","title":"Deep Learning Models for Histopathological Classification of Gastric and Colonic Epithelial Tumours","type":"article-journal","volume":"10"},"uris":["http://www.mendeley.com/documents/?uuid=4313ae53-1919-386f-8f68-61ab007abed7"]}],"mendeley":{"formattedCitation":"(Iizuka et al., 2020)","plainTextFormattedCitation":"(Iizuka et al., 2020)","previouslyFormattedCitation":"&lt;sup&gt;191&lt;/sup&gt;"},"properties":{"noteIndex":0},"schema":"https://github.com/citation-style-language/schema/raw/master/csl-citation.json"}</w:instrText>
      </w:r>
      <w:r>
        <w:fldChar w:fldCharType="separate"/>
      </w:r>
      <w:r w:rsidRPr="00DC2006">
        <w:rPr>
          <w:noProof/>
        </w:rPr>
        <w:t>(</w:t>
      </w:r>
      <w:proofErr w:type="spellStart"/>
      <w:r w:rsidRPr="00DC2006">
        <w:rPr>
          <w:noProof/>
        </w:rPr>
        <w:t>Iizuka</w:t>
      </w:r>
      <w:proofErr w:type="spellEnd"/>
      <w:r w:rsidRPr="00DC2006">
        <w:rPr>
          <w:noProof/>
        </w:rPr>
        <w:t xml:space="preserve"> et al., 2020)</w:t>
      </w:r>
      <w:r>
        <w:fldChar w:fldCharType="end"/>
      </w:r>
      <w:r w:rsidRPr="001A1878">
        <w:t>, and identification of radiosensitive populations</w:t>
      </w:r>
      <w:r>
        <w:fldChar w:fldCharType="begin" w:fldLock="1"/>
      </w:r>
      <w:r>
        <w:instrText>ADDIN CSL_CITATION {"citationItems":[{"id":"ITEM-1","itemData":{"DOI":"10.1016/S2589-7500(19)30058-5","ISSN":"25897500","abstract":"Background: Radiotherapy continues to be delivered without consideration of individual tumour characteristics. To advance towards more precise treatments in radiotherapy, we queried the lung CT-derived feature space to identify radiation sensitivity parameters that can predict treatment failure and hence guide the individualisation of radiotherapy dose. Methods: An institutional review board-approved study (IRB 14-562) was used to identify patients treated with lung stereotactic body radiotherapy. Patients with primary (stage IA–IV) or recurrent lung cancer and patients with other cancer types with solitary metastases or oligometastases to the lung were included. Patients without digitally accessible CT image or radiotherapy structure data were excluded. The internal study cohort received treatment at the main campus of the Cleveland Clinic (Cleveland, OH, USA). The independent validation cohort received treatment at seven affiliate regional or national sites. We input pre-therapy lung CT images into Deep Profiler, a multi-task deep neural network that has radiomics incorporated into the training process, to generate an image fingerprint that predicts time-to-event treatment outcomes and approximates classical radiomic features. We validated our findings with the independent study cohort. Deep Profiler was combined with clinical variables to derive iGray, an individualised dose that estimates treatment failure probability to be below 5%. Findings: A total of 1275 patients were assessed for eligibility and 944 met our eligibility criteria; 849 were in the internal study cohort and 95 were in the independent validation cohort. Radiation treatments in patients with high Deep Profiler scores failed at a significantly higher rate than in patients with low scores; 3-year cumulative incidence of local failure in the internal study cohort was 20·3% (16·0–24·9) in patients with high Deep Profiler scores and 5·7% (95% CI 3·5–8·8) in patients with low Deep Profiler scores (hazard ratio [HR]=3·64 [95% CI 2·19–6·05], p&lt;0·0001). Deep Profiler independently predicted local failure (HR=1·65 [1·02–2·66], p=0·042). Models that included Deep Profiler and clinical variables predicted treatment failures with a concordance index (C-index) of 0·72 (95% CI 0·67–0·77), a significant improvement compared with classical radiomics (p&lt;0·0001) or clinical variables (p&lt;0·0001) alone. Deep Profiler performed well in the independent validation cohort, predicting treatment failures acro…","author":[{"dropping-particle":"","family":"Lou","given":"Bin","non-dropping-particle":"","parse-names":false,"suffix":""},{"dropping-particle":"","family":"Doken","given":"Semihcan","non-dropping-particle":"","parse-names":false,"suffix":""},{"dropping-particle":"","family":"Zhuang","given":"Tingliang","non-dropping-particle":"","parse-names":false,"suffix":""},{"dropping-particle":"","family":"Wingerter","given":"Danielle","non-dropping-particle":"","parse-names":false,"suffix":""},{"dropping-particle":"","family":"Gidwani","given":"Mishka","non-dropping-particle":"","parse-names":false,"suffix":""},{"dropping-particle":"","family":"Mistry","given":"Nilesh","non-dropping-particle":"","parse-names":false,"suffix":""},{"dropping-particle":"","family":"Ladic","given":"Lance","non-dropping-particle":"","parse-names":false,"suffix":""},{"dropping-particle":"","family":"Kamen","given":"Ali","non-dropping-particle":"","parse-names":false,"suffix":""},{"dropping-particle":"","family":"Abazeed","given":"Mohamed E.","non-dropping-particle":"","parse-names":false,"suffix":""}],"container-title":"The Lancet Digital Health","id":"ITEM-1","issue":"3","issued":{"date-parts":[["2019","7","1"]]},"page":"e136-e147","publisher":"Elsevier Ltd","title":"An image-based deep learning framework for individualising radiotherapy dose: a retrospective analysis of outcome prediction","type":"article-journal","volume":"1"},"uris":["http://www.mendeley.com/documents/?uuid=bde9d337-1f27-375f-826b-61244882cfad"]}],"mendeley":{"formattedCitation":"(Lou et al., 2019)","plainTextFormattedCitation":"(Lou et al., 2019)","previouslyFormattedCitation":"&lt;sup&gt;192&lt;/sup&gt;"},"properties":{"noteIndex":0},"schema":"https://github.com/citation-style-language/schema/raw/master/csl-citation.json"}</w:instrText>
      </w:r>
      <w:r>
        <w:fldChar w:fldCharType="separate"/>
      </w:r>
      <w:r w:rsidRPr="00DC2006">
        <w:rPr>
          <w:noProof/>
        </w:rPr>
        <w:t>(Lou et al., 2019)</w:t>
      </w:r>
      <w:r>
        <w:fldChar w:fldCharType="end"/>
      </w:r>
      <w:r w:rsidRPr="001A1878">
        <w:t>.</w:t>
      </w:r>
    </w:p>
    <w:p w14:paraId="7902804D" w14:textId="77777777" w:rsidR="00DC2006" w:rsidRPr="00F64FA2" w:rsidRDefault="00DC2006" w:rsidP="00DC2006">
      <w:r w:rsidRPr="001A1878">
        <w:t>We hypothesize that a deep learning classification model, with convolutional layers for feature extraction and dense layers for feature interpretation, could provide a useful prediction outcome model of ablation efficacy for the treating interventional radiologist.</w:t>
      </w:r>
    </w:p>
    <w:p w14:paraId="700114F6" w14:textId="77777777" w:rsidR="00DC2006" w:rsidRPr="00FB118C" w:rsidRDefault="00DC2006" w:rsidP="00DC2006">
      <w:pPr>
        <w:pStyle w:val="Heading2"/>
        <w:rPr>
          <w:rFonts w:asciiTheme="minorHAnsi" w:hAnsiTheme="minorHAnsi"/>
        </w:rPr>
      </w:pPr>
      <w:bookmarkStart w:id="1" w:name="_Toc68787815"/>
      <w:r w:rsidRPr="00FB118C">
        <w:rPr>
          <w:rFonts w:asciiTheme="minorHAnsi" w:hAnsiTheme="minorHAnsi"/>
        </w:rPr>
        <w:t>6.2 Materials and Methods</w:t>
      </w:r>
      <w:bookmarkEnd w:id="1"/>
    </w:p>
    <w:p w14:paraId="748E1F78" w14:textId="77777777" w:rsidR="00DC2006" w:rsidRPr="00FB118C" w:rsidRDefault="00DC2006" w:rsidP="00DC2006">
      <w:pPr>
        <w:pStyle w:val="Heading3"/>
        <w:rPr>
          <w:rFonts w:asciiTheme="minorHAnsi" w:hAnsiTheme="minorHAnsi"/>
        </w:rPr>
      </w:pPr>
      <w:bookmarkStart w:id="2" w:name="_Toc68787816"/>
      <w:r w:rsidRPr="00FB118C">
        <w:rPr>
          <w:rFonts w:asciiTheme="minorHAnsi" w:hAnsiTheme="minorHAnsi"/>
        </w:rPr>
        <w:t>Data</w:t>
      </w:r>
      <w:bookmarkEnd w:id="2"/>
    </w:p>
    <w:p w14:paraId="0B5A3369" w14:textId="77777777" w:rsidR="00DC2006" w:rsidRPr="00FB118C" w:rsidRDefault="00DC2006" w:rsidP="00DC2006">
      <w:pPr>
        <w:pStyle w:val="Heading4"/>
        <w:rPr>
          <w:rFonts w:asciiTheme="minorHAnsi" w:hAnsiTheme="minorHAnsi"/>
        </w:rPr>
      </w:pPr>
      <w:r w:rsidRPr="00FB118C">
        <w:rPr>
          <w:rFonts w:asciiTheme="minorHAnsi" w:hAnsiTheme="minorHAnsi"/>
        </w:rPr>
        <w:t>Selection</w:t>
      </w:r>
    </w:p>
    <w:p w14:paraId="1E72FD84" w14:textId="77777777" w:rsidR="00DC2006" w:rsidRPr="00B930BB" w:rsidRDefault="00DC2006" w:rsidP="00DC2006">
      <w:r w:rsidRPr="00B930BB">
        <w:t>We retrospectively acquired 119 patients who had undergone percutaneous ablation therapy (PTA) for metastatic colorectal liver metastasis (CRLM) at our institution. Patient selection criteria included: a minimum follow-up period of 6 months and a maximum of 2 months between pre-treatment and post-treatment contrast enhanced CT imaging. Follow-up data included three possible outcomes: residual disease, local progression, and no progression. For this work, labels 1 and 2 were combined as progression.</w:t>
      </w:r>
    </w:p>
    <w:p w14:paraId="3C747789" w14:textId="77777777" w:rsidR="00DC2006" w:rsidRPr="00FB118C" w:rsidRDefault="00DC2006" w:rsidP="00DC2006">
      <w:pPr>
        <w:pStyle w:val="Heading4"/>
        <w:rPr>
          <w:rFonts w:asciiTheme="minorHAnsi" w:hAnsiTheme="minorHAnsi"/>
        </w:rPr>
      </w:pPr>
      <w:r w:rsidRPr="00FB118C">
        <w:rPr>
          <w:rFonts w:asciiTheme="minorHAnsi" w:hAnsiTheme="minorHAnsi"/>
        </w:rPr>
        <w:t>Segmentation</w:t>
      </w:r>
    </w:p>
    <w:p w14:paraId="5B1AA0A7" w14:textId="77777777" w:rsidR="00DC2006" w:rsidRPr="00B930BB" w:rsidRDefault="00DC2006" w:rsidP="00DC2006">
      <w:r w:rsidRPr="00B930BB">
        <w:t xml:space="preserve">CRLM were manually segmented on pre-treatment contrast-enhanced CT scans and validated by a radiology trained physician fellow. CRLM segmentations were labeled based on the outcome status of the individual site as progression or non-progression, resulting in a total of 197 sites. An example of a patient with four sites, three of which did not locally progress, </w:t>
      </w:r>
      <w:r w:rsidRPr="00B930BB">
        <w:fldChar w:fldCharType="begin"/>
      </w:r>
      <w:r w:rsidRPr="00B930BB">
        <w:instrText xml:space="preserve"> REF _Ref68523269 \h </w:instrText>
      </w:r>
      <w:r>
        <w:instrText xml:space="preserve"> \* MERGEFORMAT </w:instrText>
      </w:r>
      <w:r w:rsidRPr="00B930BB">
        <w:fldChar w:fldCharType="separate"/>
      </w:r>
      <w:r w:rsidRPr="00E82080">
        <w:t xml:space="preserve">Figure </w:t>
      </w:r>
      <w:r w:rsidRPr="00E82080">
        <w:rPr>
          <w:noProof/>
        </w:rPr>
        <w:t>69</w:t>
      </w:r>
      <w:r w:rsidRPr="00B930BB">
        <w:fldChar w:fldCharType="end"/>
      </w:r>
      <w:r w:rsidRPr="00B930BB">
        <w:t xml:space="preserve">. </w:t>
      </w:r>
    </w:p>
    <w:p w14:paraId="2792175D" w14:textId="400529C1" w:rsidR="00DC2006" w:rsidRPr="00B930BB" w:rsidRDefault="00DC2006" w:rsidP="00DC2006">
      <w:pPr>
        <w:keepNext/>
      </w:pPr>
      <w:r w:rsidRPr="00D72BBF">
        <w:rPr>
          <w:noProof/>
        </w:rPr>
        <w:lastRenderedPageBreak/>
        <w:drawing>
          <wp:inline distT="0" distB="0" distL="0" distR="0" wp14:anchorId="6A5F015A" wp14:editId="597A330C">
            <wp:extent cx="3600450" cy="3790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4576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3790950"/>
                    </a:xfrm>
                    <a:prstGeom prst="rect">
                      <a:avLst/>
                    </a:prstGeom>
                    <a:noFill/>
                    <a:ln>
                      <a:noFill/>
                    </a:ln>
                  </pic:spPr>
                </pic:pic>
              </a:graphicData>
            </a:graphic>
          </wp:inline>
        </w:drawing>
      </w:r>
    </w:p>
    <w:p w14:paraId="2A970575" w14:textId="77777777" w:rsidR="00DC2006" w:rsidRPr="00B930BB" w:rsidRDefault="00DC2006" w:rsidP="00DC2006">
      <w:pPr>
        <w:pStyle w:val="Caption"/>
      </w:pPr>
      <w:bookmarkStart w:id="3" w:name="_Ref68523269"/>
      <w:bookmarkStart w:id="4" w:name="_Toc68787909"/>
      <w:r w:rsidRPr="00B930BB">
        <w:t xml:space="preserve">Figure </w:t>
      </w:r>
      <w:r>
        <w:fldChar w:fldCharType="begin"/>
      </w:r>
      <w:r>
        <w:instrText xml:space="preserve"> SEQ Figure \* ARABIC </w:instrText>
      </w:r>
      <w:r>
        <w:fldChar w:fldCharType="separate"/>
      </w:r>
      <w:r>
        <w:rPr>
          <w:noProof/>
        </w:rPr>
        <w:t>69</w:t>
      </w:r>
      <w:r>
        <w:fldChar w:fldCharType="end"/>
      </w:r>
      <w:bookmarkEnd w:id="3"/>
      <w:r w:rsidRPr="00B930BB">
        <w:t>: Example of patient with four disease sites. Three of the treated sites did not develop progression (green), and one site did progress (red).</w:t>
      </w:r>
      <w:bookmarkEnd w:id="4"/>
    </w:p>
    <w:p w14:paraId="7EB91598" w14:textId="19210DBE" w:rsidR="00DC2006" w:rsidRPr="00B930BB" w:rsidRDefault="00DC2006" w:rsidP="00DC2006">
      <w:r w:rsidRPr="00B930BB">
        <w:t>Liver contours for the pre-treatment and post-treatment scans were generated automatically with our in-house liver auto-contouring algorithm</w:t>
      </w:r>
      <w:r>
        <w:fldChar w:fldCharType="begin" w:fldLock="1"/>
      </w:r>
      <w:r>
        <w:instrText>ADDIN CSL_CITATION {"citationItems":[{"id":"ITEM-1","itemData":{"DOI":"10.1016/j.adro.2020.04.023","abstract":"Purpose: The deformable nature of the liver can make focal treatment challenging and is not adequately addressed with simple rigid registration techniques. More advanced registration techniques can take deformations into account (eg, biomechanical modeling) but require segmentations of the whole liver for each scan, which is a time-intensive process. We hypothesize that fully convolutional networks can be used to rapidly and accurately autosegment the liver, removing the temporal bottleneck for biomechanical modeling. Methods and Materials: Manual liver segmentations on computed tomography scans from 183 patients treated at our institution and 30 scans from the Medical Image Computing &amp; Computer Assisted Intervention challenges were collected for this study. Three archi-tectures were investigated for rapid automated segmentation of the liver (VGG-16, DeepLabv3 þ, and a 3-dimensional UNet). Fifty-six cases were set aside as a final test set for quantitative model evaluation. Accuracy of the autosegmentations was assessed using Dice This is an open access article under the CC BY-NC-ND license (http://creativecommons.org/licenses/by-nc-nd/4.0/). Advances in Radiation Oncology (2020) xx, 1-8 www.advancesradonc.org similarity coefficient and mean surface distance. Qualitative evaluation was also performed by 3 radiation oncologists on 50 independent cases with previously clinically treated liver contours. Results: The mean (minimum-maximum) mean surface distance for the test groups with the final model, DeepLabv3 þ, were as follows: m Contrast(N Z 17) : 0.99 mm (0.47-2.2), m Non_Contrast(N Z 19)l : 1.12 mm (0.41-2.87), and m Miccai(N Z 30)t : 1.48 mm (0.82-3.96). The qualitative evaluation showed that 30 of 50 autosegmentations (60%) were preferred to manual contours (majority voting) in a blinded comparison, and 48 of 50 autosegmentations (96%) were deemed clinically acceptable by at least 1 reviewing physician. Conclusions: The autosegmentations were preferred compared with manually defined contours in the majority of cases. The ability to rapidly segment the liver with high accuracy achieved in this investigation has the potential to enable the efficient integration of biomechanical model-based registration into a clinical workflow.","author":[{"dropping-particle":"","family":"Anderson","given":"Brian M","non-dropping-particle":"","parse-names":false,"suffix":""},{"dropping-particle":"","family":"Lin","given":"Ethan Y","non-dropping-particle":"","parse-names":false,"suffix":""},{"dropping-particle":"","family":"Cardenas","given":"Carlos E","non-dropping-particle":"","parse-names":false,"suffix":""},{"dropping-particle":"","family":"Gress","given":"Dustin A","non-dropping-particle":"","parse-names":false,"suffix":""},{"dropping-particle":"","family":"Erwin","given":"William D","non-dropping-particle":"","parse-names":false,"suffix":""},{"dropping-particle":"","family":"Odisio","given":"Bruno C","non-dropping-particle":"","parse-names":false,"suffix":""},{"dropping-particle":"","family":"Koay","given":"Eugene J","non-dropping-particle":"","parse-names":false,"suffix":""},{"dropping-particle":"","family":"Brock","given":"Kristy K","non-dropping-particle":"","parse-names":false,"suffix":""}],"container-title":"Advancesradonc","id":"ITEM-1","issued":{"date-parts":[["2020"]]},"title":"Automated Contouring of Contrast and Noncontrast Computed Tomography Liver Images With Fully Convolutional Networks","type":"article-journal"},"uris":["http://www.mendeley.com/documents/?uuid=1e4d3251-2b9b-3544-a075-0fc38efbaea4"]}],"mendeley":{"formattedCitation":"(Anderson et al., 2020)","plainTextFormattedCitation":"(Anderson et al., 2020)","previouslyFormattedCitation":"&lt;sup&gt;170&lt;/sup&gt;"},"properties":{"noteIndex":0},"schema":"https://github.com/citation-style-language/schema/raw/master/csl-citation.json"}</w:instrText>
      </w:r>
      <w:r>
        <w:fldChar w:fldCharType="separate"/>
      </w:r>
      <w:r w:rsidRPr="00DC2006">
        <w:rPr>
          <w:noProof/>
        </w:rPr>
        <w:t>(Anderson et al., 2020)</w:t>
      </w:r>
      <w:r>
        <w:fldChar w:fldCharType="end"/>
      </w:r>
      <w:r w:rsidRPr="00B930BB">
        <w:t xml:space="preserve">, manually inspected, and edited as needed. </w:t>
      </w:r>
    </w:p>
    <w:p w14:paraId="1D7E5BFC" w14:textId="77777777" w:rsidR="00DC2006" w:rsidRDefault="00DC2006" w:rsidP="00DC2006">
      <w:pPr>
        <w:pStyle w:val="Heading4"/>
      </w:pPr>
      <w:r>
        <w:t>Image Registration</w:t>
      </w:r>
    </w:p>
    <w:p w14:paraId="139B9E74" w14:textId="6F8A9C98" w:rsidR="00DC2006" w:rsidRPr="00B930BB" w:rsidRDefault="00DC2006" w:rsidP="00DC2006">
      <w:r w:rsidRPr="00B930BB">
        <w:t xml:space="preserve">Automatic, intensity based, rigid image registration including rotation was performed focused about the liver within the </w:t>
      </w:r>
      <w:proofErr w:type="spellStart"/>
      <w:r w:rsidRPr="00B930BB">
        <w:t>Raystation</w:t>
      </w:r>
      <w:proofErr w:type="spellEnd"/>
      <w:r w:rsidRPr="00B930BB">
        <w:t xml:space="preserve"> Treatment Planning system</w:t>
      </w:r>
      <w:r>
        <w:fldChar w:fldCharType="begin" w:fldLock="1"/>
      </w:r>
      <w:r>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system","type":"article-journal","volume":"43"},"uris":["http://www.mendeley.com/documents/?uuid=678ec4ce-059e-3bcc-91b8-3f0526d5a32b"]}],"mendeley":{"formattedCitation":"(Bodensteiner, 2018)","plainTextFormattedCitation":"(Bodensteiner, 2018)","previouslyFormattedCitation":"&lt;sup&gt;112&lt;/sup&gt;"},"properties":{"noteIndex":0},"schema":"https://github.com/citation-style-language/schema/raw/master/csl-citation.json"}</w:instrText>
      </w:r>
      <w:r>
        <w:fldChar w:fldCharType="separate"/>
      </w:r>
      <w:r w:rsidRPr="00DC2006">
        <w:rPr>
          <w:noProof/>
        </w:rPr>
        <w:t>(</w:t>
      </w:r>
      <w:proofErr w:type="spellStart"/>
      <w:r w:rsidRPr="00DC2006">
        <w:rPr>
          <w:noProof/>
        </w:rPr>
        <w:t>Bodensteiner</w:t>
      </w:r>
      <w:proofErr w:type="spellEnd"/>
      <w:r w:rsidRPr="00DC2006">
        <w:rPr>
          <w:noProof/>
        </w:rPr>
        <w:t>, 2018)</w:t>
      </w:r>
      <w:r>
        <w:fldChar w:fldCharType="end"/>
      </w:r>
      <w:r w:rsidRPr="00B930BB">
        <w:t>. Following rigid-registration, biomechanical model-based deformable image registration (</w:t>
      </w:r>
      <w:proofErr w:type="spellStart"/>
      <w:r w:rsidRPr="00B930BB">
        <w:t>Morfeus</w:t>
      </w:r>
      <w:proofErr w:type="spellEnd"/>
      <w:r w:rsidRPr="00B930BB">
        <w:t>) was applied within the treatment planning system (</w:t>
      </w:r>
      <w:proofErr w:type="spellStart"/>
      <w:r w:rsidRPr="00B930BB">
        <w:t>RayStation</w:t>
      </w:r>
      <w:proofErr w:type="spellEnd"/>
      <w:r w:rsidRPr="00B930BB">
        <w:t xml:space="preserve"> v9B, </w:t>
      </w:r>
      <w:proofErr w:type="spellStart"/>
      <w:r w:rsidRPr="00B930BB">
        <w:t>RaySearch</w:t>
      </w:r>
      <w:proofErr w:type="spellEnd"/>
      <w:r w:rsidRPr="00B930BB">
        <w:t xml:space="preserve"> Laboratories, Stockholm, Sweden), using the liver contours as boundary conditions. </w:t>
      </w:r>
      <w:proofErr w:type="spellStart"/>
      <w:r w:rsidRPr="00B930BB">
        <w:t>Morfeus</w:t>
      </w:r>
      <w:proofErr w:type="spellEnd"/>
      <w:r w:rsidRPr="00B930BB">
        <w:t xml:space="preserve"> has been extensively validated in the liver</w:t>
      </w:r>
      <w:r w:rsidRPr="00B930BB" w:rsidDel="00CB3CEA">
        <w:t xml:space="preserve"> </w:t>
      </w:r>
      <w:r>
        <w:fldChar w:fldCharType="begin" w:fldLock="1"/>
      </w:r>
      <w:r>
        <w:instrText>ADDIN CSL_CITATION {"citationItems":[{"id":"ITEM-1","itemData":{"DOI":"10.1118/1.1915012","ISSN":"00942405","PMID":"16013724","abstract":"As more pretreatment imaging becomes integrated into the treatment planning process and full three-dimensional image-guidance becomes part of the treatment delivery the need for a deformable image registration technique becomes more apparent. A novel finite element model-based multiorgan deformable image registration method, MORFEUS, has been developed. The basis of this method is twofold: first, individual organ deformation can be accurately modeled by deforming the surface of the organ at one instance into the surface of the organ at another instance and assigning the material properties that allow the internal structures to be accurately deformed into the secondary position and second, multi-organ deformable alignment can be achieved by explicitly defining the deformation of a subset of organs and assigning surface interfaces between organs. The feasibility and accuracy of the method was tested on MR thoracic and abdominal images of healthy volunteers at inhale and exhale. For the thoracic cases, the lungs and external surface were explicitly deformed and the breasts were implicitly deformed based on its relation to the lung and external surface. For the abdominal cases, the liver, spleen, and external surface were explicitly deformed and the stomach and kidneys were implicitly deformed. The average accuracy (average absolute error) of the lung and liver deformation, determined by tracking visible bifurcations, was 0.19 (s.d.: 0.09), 0.28 (s.d.: 0.12) and 0.17 (s.d.: 0.07) cm, in the LR, AP, and IS directions, respectively. The average accuracy of implicitly deformed organs was 0.11 (s.d.: 0.11), 0.13 (s.d.: 0.12), and 0.08 (s.d.: 0.09) cm, in the LR, AP, and IS directions, respectively. The average vector magnitude of the accuracy was 0.44 (s.d.: 0.20) cm for the lung and liver deformation and 0.24 (s.d.: 0.18) cm for the implicitly deformed organs. The two main processes, explicit deformation of the selected organs and finite element analysis calculations, require less than 120 and 495 s, respectively. This platform can facilitate the integration of deformable image registration into online image guidance procedures, dose calculations, and tissue response monitoring as well as performing multi-modality image registration for purposes of treatment planning.","author":[{"dropping-particle":"","family":"Brock","given":"K. K.","non-dropping-particle":"","parse-names":false,"suffix":""},{"dropping-particle":"","family":"Sharpe","given":"M. B.","non-dropping-particle":"","parse-names":false,"suffix":""},{"dropping-particle":"","family":"Dawson","given":"L. A.","non-dropping-particle":"","parse-names":false,"suffix":""},{"dropping-particle":"","family":"Kim","given":"S. M.","non-dropping-particle":"","parse-names":false,"suffix":""},{"dropping-particle":"","family":"Jaffray","given":"D. A.","non-dropping-particle":"","parse-names":false,"suffix":""}],"container-title":"Medical Physics","id":"ITEM-1","issue":"6Part1","issued":{"date-parts":[["2005","5","20"]]},"page":"1647-1659","title":"Accuracy of finite element model-based multi-organ deformable image registration","type":"article-journal","volume":"32"},"uris":["http://www.mendeley.com/documents/?uuid=295af3fc-9c05-3b43-bddb-e18b83ff0b00"]},{"id":"ITEM-2","itemData":{"DOI":"10.1002/mp.12307","ISSN":"00942405","PMID":"28453911","abstract":"PURPOSE The accuracy of deformable image registration tools can vary widely between imaging modalities and specific implementations of the same algorithms. A biomechanical model-based algorithm initially developed in-house at an academic institution was translated into a commercial radiotherapy treatment planning system and validated for multiple imaging modalities and anatomic sites. METHODS Biomechanical deformable registration (Morfeus) is a geometry-driven algorithm based on the finite element method. Boundary conditions are derived from the model-based segmentation of controlling structures in each image which establishes a point-to-point surface correspondence. For each controlling structure, material properties and fixed or sliding interfaces are assigned. The displacements of internal volumes for controlling structures and other structures implicitly deformed are solved with finite element analysis. Registration was performed for 74 patients with images (mean vector resolution) of thoracic and abdominal 4DCT (2.8 mm) and MR (5.3 mm), liver CT-MR (4.5 mm), and prostate MR (2.6 mm). Accuracy was quantified between deformed and actual target images using distance-to-agreement (DTA) for structure surfaces and the target registration error (TRE) for internal point landmarks. RESULTS The results of the commercial implementation were as follows. The mean DTA was ≤ 1.0 mm for controlling structures and 1.0-3.5 mm for implicitly deformed structures on average. TRE ranged from 2.0 mm on prostate MR to 5.1 mm on lung MR on average, within 0.1 mm or lower than the image voxel sizes. Accuracy was not overly sensitive to changes in the material properties or variability in structure segmentations, as changing these inputs affected DTA and TRE by ≤ 0.8 mm. Maximum DTA &gt; 5 mm occurred for 88% of the structures evaluated although these were within the inherent segmentation uncertainty for 82% of structures. Differences in accuracy between the commercial and in-house research implementations were ≤ 0.5 mm for mean DTA and ≤ 0.7 mm for mean TRE. CONCLUSIONS Accuracy of biomechanical deformable registration evaluated on a large cohort of images in the thorax, abdomen and prostate was similar to the image voxel resolution on average across multiple modalities. Validation of this treatment planning system implementation supports biomechanical deformable registration as a versatile clinical tool to enable accurate target delineation at planning and treatment adaptation.","author":[{"dropping-particle":"","family":"Velec","given":"Michael","non-dropping-particle":"","parse-names":false,"suffix":""},{"dropping-particle":"","family":"Moseley","given":"Joanne L.","non-dropping-particle":"","parse-names":false,"suffix":""},{"dropping-particle":"","family":"Svensson","given":"Stina","non-dropping-particle":"","parse-names":false,"suffix":""},{"dropping-particle":"","family":"Hårdemark","given":"Björn","non-dropping-particle":"","parse-names":false,"suffix":""},{"dropping-particle":"","family":"Jaffray","given":"David A.","non-dropping-particle":"","parse-names":false,"suffix":""},{"dropping-particle":"","family":"Brock","given":"Kristy K.","non-dropping-particle":"","parse-names":false,"suffix":""}],"container-title":"Medical Physics","id":"ITEM-2","issue":"7","issued":{"date-parts":[["2017","7"]]},"page":"3407-3417","title":"Validation of biomechanical deformable image registration in the abdomen, thorax, and pelvis in a commercial radiotherapy treatment planning system","type":"article-journal","volume":"44"},"uris":["http://www.mendeley.com/documents/?uuid=34811812-53a5-3fd7-b6d9-7825dd53fa25"]},{"id":"ITEM-3","itemData":{"DOI":"10.1088/0031-9155/61/13/4826","ISSN":"1361-6560","PMID":"27273115","abstract":"Spatial correlation of lung tissue across longitudinal images, as the patient responds to treatment, is a critical step in adaptive radiotherapy. The goal of this work is to expand a biomechanical model-based deformable registration algorithm (Morfeus) to achieve accurate registration in the presence of significant anatomical changes. Six lung cancer patients previously treated with conventionally fractionated radiotherapy were retrospectively evaluated. Exhale CT scans were obtained at treatment planning and following three weeks of treatment. For each patient, the planning CT was registered to the follow-up CT using Morfeus, a biomechanical model-based deformable registration algorithm. To model the complex response of the lung, an extension to Morfeus has been developed: an initial deformation was estimated with Morfeus consisting of boundary conditions on the chest wall and incorporating a sliding interface with the lungs. It was hypothesized that the addition of boundary conditions based on vessel tree matching would provide a robust reduction of the residual registration error. To achieve this, the vessel trees were segmented on the two images by thresholding a vesselness image based on the Hessian matrix's eigenvalues. For each point on the reference vessel tree centerline, the displacement vector was estimated by applying a variant of the Demons registration algorithm between the planning CT and the deformed follow-up CT. An expert independently identified corresponding landmarks well distributed in the lung to compute target registration errors (TRE). The TRE was: [Formula: see text], [Formula: see text] and [Formula: see text] mm after rigid registration, Morfeus and Morfeus with boundary conditions on the vessel tree, respectively. In conclusion, the addition of boundary conditions on the vessels significantly improved the accuracy in modeling the response of the lung and tumor over the course of radiotherapy. Minimizing and modeling these geometrical uncertainties will enable future plan adaptation strategies.","author":[{"dropping-particle":"","family":"Cazoulat","given":"Guillaume","non-dropping-particle":"","parse-names":false,"suffix":""},{"dropping-particle":"","family":"Owen","given":"Dawn","non-dropping-particle":"","parse-names":false,"suffix":""},{"dropping-particle":"","family":"Matuszak","given":"Martha M","non-dropping-particle":"","parse-names":false,"suffix":""},{"dropping-particle":"","family":"Balter","given":"James M","non-dropping-particle":"","parse-names":false,"suffix":""},{"dropping-particle":"","family":"Brock","given":"Kristy K","non-dropping-particle":"","parse-names":false,"suffix":""}],"container-title":"Physics in medicine and biology","id":"ITEM-3","issue":"13","issued":{"date-parts":[["2016","7","7"]]},"page":"4826-39","publisher":"NIH Public Access","title":"Biomechanical deformable image registration of longitudinal lung CT images using vessel information.","type":"article-journal","volume":"61"},"uris":["http://www.mendeley.com/documents/?uuid=a884a2f6-764b-319e-b9e8-b0c705cc05fd"]},{"id":"ITEM-4","itemData":{"DOI":"10.1088/0031-9155/55/21/010","ISSN":"0031-9155","PMID":"20959687","abstract":"Deformable image registration of four head and neck cancer patients has been conducted using a biomechanical-based model. Patient-specific 3D finite element models have been developed using CT and cone-beam CT image data of the planning and a radiation treatment session. The model consists of seven vertebrae (C1 to C7), mandible, larynx, left and right parotid glands, tumor and body. Different combinations of boundary conditions are applied in the model in order to find the configuration with a minimum registration error. Each vertebra in the planning session is individually aligned with its correspondence in the treatment session. Rigid alignment is used for each individual vertebra and the mandible since no deformation is expected in the bones. In addition, the effect of morphological differences in the external body between the two image sessions is investigated. The accuracy of the registration is evaluated using the tumor and both parotid glands by comparing the calculated Dice similarity index of these structures following deformation in relation to their true surface defined in the image of the second session. The registration is improved when the vertebrae and mandible are aligned in the two sessions with the highest average Dice index of 0.86 ± 0.08, 0.84 ± 0.11 and 0.89 ± 0.04 for the tumor, left and right parotid glands, respectively. The accuracy of the center of mass location of tumor and parotid glands is also improved by deformable image registration where the errors in the tumor and parotid glands decrease from 4.0 ± 1.1, 3.4 ± 1.5 and 3.8 ± 0.9 mm using rigid registration to 2.3 ± 1.0, 2.5 ± 0.8 and 2.0 ± 0.9 mm in the deformable image registration when alignment of vertebrae and mandible is conducted in addition to the surface projection of the body.","author":[{"dropping-particle":"","family":"Al-Mayah","given":"Adil","non-dropping-particle":"","parse-names":false,"suffix":""},{"dropping-particle":"","family":"Moseley","given":"Joanne","non-dropping-particle":"","parse-names":false,"suffix":""},{"dropping-particle":"","family":"Hunter","given":"Shannon","non-dropping-particle":"","parse-names":false,"suffix":""},{"dropping-particle":"","family":"Velec","given":"Mike","non-dropping-particle":"","parse-names":false,"suffix":""},{"dropping-particle":"","family":"Chau","given":"Lily","non-dropping-particle":"","parse-names":false,"suffix":""},{"dropping-particle":"","family":"Breen","given":"Stephen","non-dropping-particle":"","parse-names":false,"suffix":""},{"dropping-particle":"","family":"Brock","given":"Kristy","non-dropping-particle":"","parse-names":false,"suffix":""}],"container-title":"Physics in Medicine and Biology","id":"ITEM-4","issue":"21","issued":{"date-parts":[["2010","11","7"]]},"page":"6491-6500","title":"Biomechanical-based image registration for head and neck radiation treatment","type":"article-journal","volume":"55"},"uris":["http://www.mendeley.com/documents/?uuid=e7717144-11bb-3bb6-b892-43d027cf5660"]},{"id":"ITEM-5","itemData":{"DOI":"10.1080/02841860802256491","ISSN":"0284-186X","PMID":"18766475","abstract":"PURPOSE To quantify the improvements in online target localization using kV cone beam CT (CBCT) with deformable registration. METHODS AND MATERIAL Twelve patients treated under a 6 fraction liver cancer radiation therapy protocol were imaged in breath hold using kV CBCT at each treatment fraction. The images were imported into the treatment planning software and rigidly registered by fitting the liver, identified on the daily kV CBCT image, into the liver contours, previously drawn on the planning CT. The liver was then manually contoured on each CBCT image. Deformable registration was automatically performed, aligning the CT liver to the liver on each CBCT image using MORFEUS, a biomechanical model based deformable registration algorithm. The tumor, defined on planning CT, was mapped onto the CBCT, through MORFEUS. The center of mass (COM) displacement of the tumor was computed. RESULTS The mean (SD) displacement magnitude (absolute value) of the COM following deformable registration was 0.08 (0.07), 0.10 (0.11), and 0.10 (0.17) cm in the left-right (LR), anterior-posterior (AP), and superior-inferior (SI) directions, respectively. The maximum displacement of the COM was 0.34, 0.65, and 0.97 cm in the LR, AP, and SI directions, respectively. Fifteen percent of the treatment fractions had a COM displacement of greater than 0.3 cm and 33% of patients had at least 1 fraction with a displacement of greater than 0.3 cm. The deformable registration, excluding the manual contouring of the liver, was performed in less than 1 minute, on average. DISCUSSION Rigid registration of the liver volume between planning CT and verification kV CBCT localizes the tumor to within 0.3 cm for the majority (66%) of patients; however, larger offsets in tumor position can be observed due to liver deformation.","author":[{"dropping-particle":"","family":"Brock","given":"Kristy K.","non-dropping-particle":"","parse-names":false,"suffix":""},{"dropping-particle":"","family":"Hawkins","given":"Maria","non-dropping-particle":"","parse-names":false,"suffix":""},{"dropping-particle":"","family":"Eccles","given":"Cynthia","non-dropping-particle":"","parse-names":false,"suffix":""},{"dropping-particle":"","family":"Moseley","given":"Joanne L.","non-dropping-particle":"","parse-names":false,"suffix":""},{"dropping-particle":"","family":"Moseley","given":"Douglas J.","non-dropping-particle":"","parse-names":false,"suffix":""},{"dropping-particle":"","family":"Jaffray","given":"David A.","non-dropping-particle":"","parse-names":false,"suffix":""},{"dropping-particle":"","family":"Dawson","given":"Laura A.","non-dropping-particle":"","parse-names":false,"suffix":""}],"container-title":"Acta Oncologica","id":"ITEM-5","issue":"7","issued":{"date-parts":[["2008","1","8"]]},"page":"1279-1285","title":"Improving image-guided target localization through deformable registration","type":"article-journal","volume":"47"},"uris":["http://www.mendeley.com/documents/?uuid=f02de02d-bba3-3200-9f0f-15e5d8f3ab39"]},{"id":"ITEM-6","itemData":{"DOI":"10.1088/0031-9155/56/15/005","ISSN":"0031-9155","PMID":"21734336","abstract":"Both accuracy and efficiency are critical for the implementation of biomechanical model-based deformable registration in clinical practice. The focus of this investigation is to evaluate the potential of improving the efficiency of the deformable image registration of the human lungs without loss of accuracy. Three-dimensional finite element models have been developed using image data of 14 lung cancer patients. Each model consists of two lungs, tumor and external body. Sliding of the lungs inside the chest cavity is modeled using a frictionless surface-based contact model. The effect of the type of element, finite deformation and elasticity on the accuracy and computing time is investigated. Linear and quadrilateral tetrahedral elements are used with linear and nonlinear geometric analysis. Two types of material properties are applied namely: elastic and hyperelastic. The accuracy of each of the four models is examined using a number of anatomical landmarks representing the vessels bifurcation points distributed across the lungs. The registration error is not significantly affected by the element type or linearity of analysis, with an average vector error of around 2.8 mm. The displacement differences between linear and nonlinear analysis methods are calculated for all lungs nodes and a maximum value of 3.6 mm is found in one of the nodes near the entrance of the bronchial tree into the lungs. The 95 percentile of displacement difference ranges between 0.4 and 0.8 mm. However, the time required for the analysis is reduced from 95 min in the quadratic elements nonlinear geometry model to 3.4 min in the linear element linear geometry model. Therefore using linear tetrahedral elements with linear elastic materials and linear geometry is preferable for modeling the breathing motion of lungs for image-guided radiotherapy applications.","author":[{"dropping-particle":"","family":"Al-Mayah","given":"Adil","non-dropping-particle":"","parse-names":false,"suffix":""},{"dropping-particle":"","family":"Moseley","given":"Joanne","non-dropping-particle":"","parse-names":false,"suffix":""},{"dropping-particle":"","family":"Velec","given":"Mike","non-dropping-particle":"","parse-names":false,"suffix":""},{"dropping-particle":"","family":"Brock","given":"Kristy","non-dropping-particle":"","parse-names":false,"suffix":""}],"container-title":"Physics in Medicine and Biology","id":"ITEM-6","issue":"15","issued":{"date-parts":[["2011","8","7"]]},"page":"4701-4713","title":"Toward efficient biomechanical-based deformable image registration of lungs for image-guided radiotherapy","type":"article-journal","volume":"56"},"uris":["http://www.mendeley.com/documents/?uuid=e6409e3d-8a5f-35c0-9835-2f179e166295"]}],"mendeley":{"formattedCitation":"(Al-Mayah et al., 2010, 2011; K. K. Brock et al., 2005; Kristy K. Brock et al., 2008; Cazoulat et al., 2016; Velec et al., 2017)","plainTextFormattedCitation":"(Al-Mayah et al., 2010, 2011; K. K. Brock et al., 2005; Kristy K. Brock et al., 2008; Cazoulat et al., 2016; Velec et al., 2017)","previouslyFormattedCitation":"&lt;sup&gt;54,56,57,142,146,193&lt;/sup&gt;"},"properties":{"noteIndex":0},"schema":"https://github.com/citation-style-language/schema/raw/master/csl-citation.json"}</w:instrText>
      </w:r>
      <w:r>
        <w:fldChar w:fldCharType="separate"/>
      </w:r>
      <w:r w:rsidRPr="00DC2006">
        <w:rPr>
          <w:noProof/>
        </w:rPr>
        <w:t>(Al-Mayah et al., 2010, 2011; K. K. Brock et al., 2005; Kristy K. Brock et al., 2008; Cazoulat et al., 2016; Velec et al., 2017)</w:t>
      </w:r>
      <w:r>
        <w:fldChar w:fldCharType="end"/>
      </w:r>
      <w:r w:rsidRPr="00B930BB">
        <w:t>.</w:t>
      </w:r>
    </w:p>
    <w:p w14:paraId="541A7BB1" w14:textId="77777777" w:rsidR="00DC2006" w:rsidRPr="00FB118C" w:rsidRDefault="00DC2006" w:rsidP="00DC2006">
      <w:pPr>
        <w:pStyle w:val="Heading4"/>
        <w:rPr>
          <w:rFonts w:asciiTheme="minorHAnsi" w:hAnsiTheme="minorHAnsi"/>
        </w:rPr>
      </w:pPr>
      <w:r w:rsidRPr="00FB118C">
        <w:rPr>
          <w:rFonts w:asciiTheme="minorHAnsi" w:hAnsiTheme="minorHAnsi"/>
        </w:rPr>
        <w:t>Data Extraction</w:t>
      </w:r>
    </w:p>
    <w:p w14:paraId="17080DF2" w14:textId="42BAC3F6" w:rsidR="00DC2006" w:rsidRPr="00B930BB" w:rsidRDefault="00DC2006" w:rsidP="00DC2006">
      <w:r w:rsidRPr="00B930BB">
        <w:t xml:space="preserve">The pre-treatment CT, rigidly registered post-treatment CT, deformable resampled post-treatment CT, and corresponding liver and tumor segmentations were converted into </w:t>
      </w:r>
      <w:proofErr w:type="spellStart"/>
      <w:r w:rsidRPr="00B930BB">
        <w:t>nifti</w:t>
      </w:r>
      <w:proofErr w:type="spellEnd"/>
      <w:r w:rsidRPr="00B930BB">
        <w:t xml:space="preserve"> files using our in-house </w:t>
      </w:r>
      <w:proofErr w:type="spellStart"/>
      <w:r w:rsidRPr="00B930BB">
        <w:t>DicomRTTool</w:t>
      </w:r>
      <w:proofErr w:type="spellEnd"/>
      <w:r w:rsidRPr="00B930BB">
        <w:t xml:space="preserve"> </w:t>
      </w:r>
      <w:r>
        <w:fldChar w:fldCharType="begin" w:fldLock="1"/>
      </w:r>
      <w:r>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Arrays","type":"article-journal"},"uris":["http://www.mendeley.com/documents/?uuid=7bde30c1-dcee-3090-8810-bda44b047ec6"]}],"mendeley":{"formattedCitation":"(Anderson et al., 2021)","plainTextFormattedCitation":"(Anderson et al., 2021)","previouslyFormattedCitation":"&lt;sup&gt;194&lt;/sup&gt;"},"properties":{"noteIndex":0},"schema":"https://github.com/citation-style-language/schema/raw/master/csl-citation.json"}</w:instrText>
      </w:r>
      <w:r>
        <w:fldChar w:fldCharType="separate"/>
      </w:r>
      <w:r w:rsidRPr="00DC2006">
        <w:rPr>
          <w:noProof/>
        </w:rPr>
        <w:t>(Anderson et al., 2021)</w:t>
      </w:r>
      <w:r>
        <w:fldChar w:fldCharType="end"/>
      </w:r>
      <w:r w:rsidRPr="00B930BB">
        <w:t xml:space="preserve">. Using </w:t>
      </w:r>
      <w:proofErr w:type="spellStart"/>
      <w:r w:rsidRPr="00B930BB">
        <w:t>SimpleITK</w:t>
      </w:r>
      <w:proofErr w:type="spellEnd"/>
      <w:r>
        <w:fldChar w:fldCharType="begin" w:fldLock="1"/>
      </w:r>
      <w:r>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simpleITK","type":"article-journal","volume":"86"},"uris":["http://www.mendeley.com/documents/?uuid=2232f934-7966-33d0-9f86-6d9f5042368e"]}],"mendeley":{"formattedCitation":"(Beare et al., 2018)","plainTextFormattedCitation":"(Beare et al., 2018)","previouslyFormattedCitation":"&lt;sup&gt;109&lt;/sup&gt;"},"properties":{"noteIndex":0},"schema":"https://github.com/citation-style-language/schema/raw/master/csl-citation.json"}</w:instrText>
      </w:r>
      <w:r>
        <w:fldChar w:fldCharType="separate"/>
      </w:r>
      <w:r w:rsidRPr="00DC2006">
        <w:rPr>
          <w:noProof/>
        </w:rPr>
        <w:t>(Beare et al., 2018)</w:t>
      </w:r>
      <w:r>
        <w:fldChar w:fldCharType="end"/>
      </w:r>
      <w:r w:rsidRPr="00B930BB">
        <w:t>, all images and masks are resampled to dimensions of 5x1x1mm, with bilinear interpolation and nearest-neighbor resampling, respectively.</w:t>
      </w:r>
    </w:p>
    <w:p w14:paraId="2B0BABD2" w14:textId="77777777" w:rsidR="00DC2006" w:rsidRPr="00FB118C" w:rsidRDefault="00DC2006" w:rsidP="00DC2006">
      <w:pPr>
        <w:pStyle w:val="Heading4"/>
        <w:rPr>
          <w:rFonts w:asciiTheme="minorHAnsi" w:hAnsiTheme="minorHAnsi"/>
        </w:rPr>
      </w:pPr>
      <w:r w:rsidRPr="00FB118C">
        <w:rPr>
          <w:rFonts w:asciiTheme="minorHAnsi" w:hAnsiTheme="minorHAnsi"/>
        </w:rPr>
        <w:lastRenderedPageBreak/>
        <w:t>Presentation to model</w:t>
      </w:r>
    </w:p>
    <w:p w14:paraId="79CB65E3" w14:textId="77777777" w:rsidR="00DC2006" w:rsidRPr="00B930BB" w:rsidRDefault="00DC2006" w:rsidP="00DC2006">
      <w:r w:rsidRPr="00B930BB">
        <w:t xml:space="preserve">Image ‘slabs’ of size 32x64x64 were extracted for each treated site, centered about the segmented disease. Several examples of the pre-treatment image (on the left) and the post-ablation (on the right) are shown in </w:t>
      </w:r>
      <w:r w:rsidRPr="00B930BB">
        <w:fldChar w:fldCharType="begin"/>
      </w:r>
      <w:r w:rsidRPr="00B930BB">
        <w:instrText xml:space="preserve"> REF _Ref66882881 \h </w:instrText>
      </w:r>
      <w:r>
        <w:instrText xml:space="preserve"> \* MERGEFORMAT </w:instrText>
      </w:r>
      <w:r w:rsidRPr="00B930BB">
        <w:fldChar w:fldCharType="separate"/>
      </w:r>
      <w:r w:rsidRPr="00E82080">
        <w:t xml:space="preserve">Figure </w:t>
      </w:r>
      <w:r w:rsidRPr="00E82080">
        <w:rPr>
          <w:noProof/>
        </w:rPr>
        <w:t>70</w:t>
      </w:r>
      <w:r w:rsidRPr="00B930BB">
        <w:fldChar w:fldCharType="end"/>
      </w:r>
      <w:r w:rsidRPr="00B930BB">
        <w:t>.</w:t>
      </w:r>
    </w:p>
    <w:p w14:paraId="0B10A410" w14:textId="2C8B29A8" w:rsidR="00DC2006" w:rsidRDefault="00DC2006" w:rsidP="00DC2006">
      <w:pPr>
        <w:keepNext/>
      </w:pPr>
      <w:r w:rsidRPr="00B522D6">
        <w:rPr>
          <w:noProof/>
        </w:rPr>
        <w:drawing>
          <wp:inline distT="0" distB="0" distL="0" distR="0" wp14:anchorId="59C3C7D7" wp14:editId="721F0EE4">
            <wp:extent cx="4762500"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t="897"/>
                    <a:stretch>
                      <a:fillRect/>
                    </a:stretch>
                  </pic:blipFill>
                  <pic:spPr bwMode="auto">
                    <a:xfrm>
                      <a:off x="0" y="0"/>
                      <a:ext cx="4762500" cy="2800350"/>
                    </a:xfrm>
                    <a:prstGeom prst="rect">
                      <a:avLst/>
                    </a:prstGeom>
                    <a:noFill/>
                    <a:ln>
                      <a:noFill/>
                    </a:ln>
                  </pic:spPr>
                </pic:pic>
              </a:graphicData>
            </a:graphic>
          </wp:inline>
        </w:drawing>
      </w:r>
    </w:p>
    <w:p w14:paraId="1872B130" w14:textId="77777777" w:rsidR="00DC2006" w:rsidRDefault="00DC2006" w:rsidP="00DC2006">
      <w:pPr>
        <w:pStyle w:val="Caption"/>
      </w:pPr>
      <w:bookmarkStart w:id="5" w:name="_Ref66882881"/>
      <w:bookmarkStart w:id="6" w:name="_Toc68787910"/>
      <w:r>
        <w:t xml:space="preserve">Figure </w:t>
      </w:r>
      <w:r>
        <w:fldChar w:fldCharType="begin"/>
      </w:r>
      <w:r>
        <w:instrText xml:space="preserve"> SEQ Figure \* ARABIC </w:instrText>
      </w:r>
      <w:r>
        <w:fldChar w:fldCharType="separate"/>
      </w:r>
      <w:r>
        <w:rPr>
          <w:noProof/>
        </w:rPr>
        <w:t>70</w:t>
      </w:r>
      <w:r>
        <w:fldChar w:fldCharType="end"/>
      </w:r>
      <w:bookmarkEnd w:id="5"/>
      <w:r>
        <w:t xml:space="preserve">: Examples of ‘slabs’ from a variety of patients. Image on the left is pre-treatment and image on the right is post-ablation. Note that the nomenclature is patient </w:t>
      </w:r>
      <w:proofErr w:type="spellStart"/>
      <w:r>
        <w:t>ID_site</w:t>
      </w:r>
      <w:proofErr w:type="spellEnd"/>
      <w:r>
        <w:t>#, so 42_0 and 42_1 are both from the same patient.</w:t>
      </w:r>
      <w:bookmarkEnd w:id="6"/>
    </w:p>
    <w:p w14:paraId="03043AD5" w14:textId="77777777" w:rsidR="00DC2006" w:rsidRPr="00FB118C" w:rsidRDefault="00DC2006" w:rsidP="00DC2006">
      <w:pPr>
        <w:pStyle w:val="Heading4"/>
        <w:rPr>
          <w:rFonts w:asciiTheme="minorHAnsi" w:hAnsiTheme="minorHAnsi"/>
        </w:rPr>
      </w:pPr>
      <w:r w:rsidRPr="00FB118C">
        <w:rPr>
          <w:rFonts w:asciiTheme="minorHAnsi" w:hAnsiTheme="minorHAnsi"/>
        </w:rPr>
        <w:t>Distributing the data</w:t>
      </w:r>
    </w:p>
    <w:p w14:paraId="5451C04A" w14:textId="77777777" w:rsidR="00DC2006" w:rsidRPr="00B930BB" w:rsidRDefault="00DC2006" w:rsidP="00DC2006">
      <w:r w:rsidRPr="00B930BB">
        <w:t xml:space="preserve">Data was selected based on patient ID, not individual site, </w:t>
      </w:r>
      <w:r w:rsidRPr="00B930BB">
        <w:rPr>
          <w:b/>
        </w:rPr>
        <w:t>ensuring that no patient is distributed between training and validation set if they have multiple treated sites.</w:t>
      </w:r>
      <w:r w:rsidRPr="00B930BB">
        <w:t xml:space="preserve"> One-third of the patients with any progression sites were randomly selected to be part of the validation set. We then randomly selected one-third of the patients who only had non-progression sites to also be in the validation. The final distribution of data can be seen in </w:t>
      </w:r>
      <w:r w:rsidRPr="00B930BB">
        <w:fldChar w:fldCharType="begin"/>
      </w:r>
      <w:r w:rsidRPr="00B930BB">
        <w:instrText xml:space="preserve"> REF _Ref66883570 \h </w:instrText>
      </w:r>
      <w:r>
        <w:instrText xml:space="preserve"> \* MERGEFORMAT </w:instrText>
      </w:r>
      <w:r w:rsidRPr="00B930BB">
        <w:fldChar w:fldCharType="separate"/>
      </w:r>
      <w:r w:rsidRPr="00E82080">
        <w:t xml:space="preserve">Table </w:t>
      </w:r>
      <w:r w:rsidRPr="00E82080">
        <w:rPr>
          <w:noProof/>
        </w:rPr>
        <w:t>18</w:t>
      </w:r>
      <w:r w:rsidRPr="00B930BB">
        <w:fldChar w:fldCharType="end"/>
      </w:r>
      <w:r w:rsidRPr="00B930BB">
        <w:t>.</w:t>
      </w:r>
    </w:p>
    <w:p w14:paraId="5F4AB897" w14:textId="77777777" w:rsidR="00DC2006" w:rsidRDefault="00DC2006" w:rsidP="00DC2006">
      <w:pPr>
        <w:pStyle w:val="Caption"/>
        <w:keepNext/>
      </w:pPr>
      <w:bookmarkStart w:id="7" w:name="_Ref66883570"/>
      <w:bookmarkStart w:id="8" w:name="_Toc68787941"/>
      <w:r>
        <w:lastRenderedPageBreak/>
        <w:t xml:space="preserve">Table </w:t>
      </w:r>
      <w:r>
        <w:fldChar w:fldCharType="begin"/>
      </w:r>
      <w:r>
        <w:instrText xml:space="preserve"> SEQ Table \* ARABIC </w:instrText>
      </w:r>
      <w:r>
        <w:fldChar w:fldCharType="separate"/>
      </w:r>
      <w:r>
        <w:rPr>
          <w:noProof/>
        </w:rPr>
        <w:t>18</w:t>
      </w:r>
      <w:r>
        <w:fldChar w:fldCharType="end"/>
      </w:r>
      <w:bookmarkEnd w:id="7"/>
      <w:r>
        <w:t>: Distribution of patients and lesions between train and validation set. Note that patients were split up based on patient ID, so a single patient will never be in both training and validation groups.</w:t>
      </w:r>
      <w:bookmarkEnd w:id="8"/>
    </w:p>
    <w:tbl>
      <w:tblPr>
        <w:tblW w:w="9451" w:type="dxa"/>
        <w:tblCellMar>
          <w:left w:w="0" w:type="dxa"/>
          <w:right w:w="0" w:type="dxa"/>
        </w:tblCellMar>
        <w:tblLook w:val="04A0" w:firstRow="1" w:lastRow="0" w:firstColumn="1" w:lastColumn="0" w:noHBand="0" w:noVBand="1"/>
      </w:tblPr>
      <w:tblGrid>
        <w:gridCol w:w="1620"/>
        <w:gridCol w:w="1439"/>
        <w:gridCol w:w="1360"/>
        <w:gridCol w:w="2158"/>
        <w:gridCol w:w="1135"/>
        <w:gridCol w:w="1739"/>
      </w:tblGrid>
      <w:tr w:rsidR="00DC2006" w:rsidRPr="005E4534" w14:paraId="718588BA" w14:textId="77777777" w:rsidTr="00532A7F">
        <w:trPr>
          <w:trHeight w:val="1240"/>
        </w:trPr>
        <w:tc>
          <w:tcPr>
            <w:tcW w:w="4419" w:type="dxa"/>
            <w:gridSpan w:val="3"/>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098644D"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Source Information</w:t>
            </w:r>
          </w:p>
        </w:tc>
        <w:tc>
          <w:tcPr>
            <w:tcW w:w="2158"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14CC9F3"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Status</w:t>
            </w:r>
          </w:p>
        </w:tc>
        <w:tc>
          <w:tcPr>
            <w:tcW w:w="2874" w:type="dxa"/>
            <w:gridSpan w:val="2"/>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9EC18EF"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Image Distribution</w:t>
            </w:r>
          </w:p>
        </w:tc>
      </w:tr>
      <w:tr w:rsidR="00DC2006" w:rsidRPr="005E4534" w14:paraId="23657B23" w14:textId="77777777" w:rsidTr="00532A7F">
        <w:trPr>
          <w:trHeight w:val="687"/>
        </w:trPr>
        <w:tc>
          <w:tcPr>
            <w:tcW w:w="1620" w:type="dxa"/>
            <w:vMerge w:val="restart"/>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2ADB2F59"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Source</w:t>
            </w:r>
          </w:p>
        </w:tc>
        <w:tc>
          <w:tcPr>
            <w:tcW w:w="1439" w:type="dxa"/>
            <w:vMerge w:val="restart"/>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5B432D6"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Patients</w:t>
            </w:r>
          </w:p>
        </w:tc>
        <w:tc>
          <w:tcPr>
            <w:tcW w:w="1359" w:type="dxa"/>
            <w:vMerge w:val="restart"/>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D0F1CD9"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Lesions</w:t>
            </w:r>
          </w:p>
        </w:tc>
        <w:tc>
          <w:tcPr>
            <w:tcW w:w="2158"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27D29A42" w14:textId="77777777" w:rsidR="00DC2006" w:rsidRPr="005E4534" w:rsidRDefault="00DC2006" w:rsidP="00532A7F">
            <w:pPr>
              <w:keepNext/>
              <w:keepLines/>
              <w:spacing w:line="240" w:lineRule="auto"/>
              <w:jc w:val="center"/>
              <w:textAlignment w:val="center"/>
              <w:rPr>
                <w:rFonts w:ascii="Arial" w:hAnsi="Arial" w:cs="Arial"/>
              </w:rPr>
            </w:pPr>
            <w:r>
              <w:rPr>
                <w:rFonts w:ascii="Calibri" w:hAnsi="Calibri" w:cs="Calibri"/>
                <w:color w:val="000000"/>
                <w:kern w:val="24"/>
              </w:rPr>
              <w:t>Non-</w:t>
            </w:r>
            <w:r w:rsidRPr="005E4534">
              <w:rPr>
                <w:rFonts w:ascii="Calibri" w:hAnsi="Calibri" w:cs="Calibri"/>
                <w:color w:val="000000"/>
                <w:kern w:val="24"/>
              </w:rPr>
              <w:t>Progression</w:t>
            </w:r>
          </w:p>
        </w:tc>
        <w:tc>
          <w:tcPr>
            <w:tcW w:w="1135" w:type="dxa"/>
            <w:vMerge w:val="restart"/>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55749F41"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Train</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760E732D"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Validation</w:t>
            </w:r>
          </w:p>
        </w:tc>
      </w:tr>
      <w:tr w:rsidR="00DC2006" w:rsidRPr="005E4534" w14:paraId="2F7AA09C" w14:textId="77777777" w:rsidTr="00532A7F">
        <w:trPr>
          <w:trHeight w:val="6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31B5E0" w14:textId="77777777" w:rsidR="00DC2006" w:rsidRPr="005E4534" w:rsidRDefault="00DC2006" w:rsidP="00532A7F">
            <w:pPr>
              <w:keepNext/>
              <w:keepLines/>
              <w:spacing w:line="240" w:lineRule="auto"/>
              <w:jc w:val="center"/>
              <w:rPr>
                <w:rFonts w:ascii="Arial" w:hAnsi="Arial" w:cs="Aria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1B02C8" w14:textId="77777777" w:rsidR="00DC2006" w:rsidRPr="005E4534" w:rsidRDefault="00DC2006" w:rsidP="00532A7F">
            <w:pPr>
              <w:keepNext/>
              <w:keepLines/>
              <w:spacing w:line="240" w:lineRule="auto"/>
              <w:jc w:val="center"/>
              <w:rPr>
                <w:rFonts w:ascii="Arial" w:hAnsi="Arial" w:cs="Aria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6732C" w14:textId="77777777" w:rsidR="00DC2006" w:rsidRPr="005E4534" w:rsidRDefault="00DC2006" w:rsidP="00532A7F">
            <w:pPr>
              <w:keepNext/>
              <w:keepLines/>
              <w:spacing w:line="240" w:lineRule="auto"/>
              <w:jc w:val="center"/>
              <w:rPr>
                <w:rFonts w:ascii="Arial" w:hAnsi="Arial" w:cs="Arial"/>
              </w:rPr>
            </w:pPr>
          </w:p>
        </w:tc>
        <w:tc>
          <w:tcPr>
            <w:tcW w:w="2158"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5BD2185"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Progression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BBD08B" w14:textId="77777777" w:rsidR="00DC2006" w:rsidRPr="005E4534" w:rsidRDefault="00DC2006" w:rsidP="00532A7F">
            <w:pPr>
              <w:keepNext/>
              <w:keepLines/>
              <w:spacing w:line="240" w:lineRule="auto"/>
              <w:jc w:val="center"/>
              <w:rPr>
                <w:rFonts w:ascii="Arial" w:hAnsi="Arial" w:cs="Aria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3C4DA0" w14:textId="77777777" w:rsidR="00DC2006" w:rsidRPr="005E4534" w:rsidRDefault="00DC2006" w:rsidP="00532A7F">
            <w:pPr>
              <w:keepNext/>
              <w:keepLines/>
              <w:spacing w:line="240" w:lineRule="auto"/>
              <w:jc w:val="center"/>
              <w:rPr>
                <w:rFonts w:ascii="Arial" w:hAnsi="Arial" w:cs="Arial"/>
              </w:rPr>
            </w:pPr>
          </w:p>
        </w:tc>
      </w:tr>
      <w:tr w:rsidR="00DC2006" w:rsidRPr="005E4534" w14:paraId="2FC5D9B3" w14:textId="77777777" w:rsidTr="00532A7F">
        <w:trPr>
          <w:trHeight w:val="498"/>
        </w:trPr>
        <w:tc>
          <w:tcPr>
            <w:tcW w:w="1620" w:type="dxa"/>
            <w:vMerge w:val="restart"/>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E703DF7"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MD Anderson</w:t>
            </w:r>
          </w:p>
          <w:p w14:paraId="0305F68A"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Cancer Center</w:t>
            </w:r>
          </w:p>
        </w:tc>
        <w:tc>
          <w:tcPr>
            <w:tcW w:w="1439" w:type="dxa"/>
            <w:vMerge w:val="restart"/>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6CFBC64"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119</w:t>
            </w:r>
          </w:p>
        </w:tc>
        <w:tc>
          <w:tcPr>
            <w:tcW w:w="1359" w:type="dxa"/>
            <w:vMerge w:val="restart"/>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A7AFAE8"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197</w:t>
            </w:r>
          </w:p>
        </w:tc>
        <w:tc>
          <w:tcPr>
            <w:tcW w:w="2158"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AF87811"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132</w:t>
            </w:r>
          </w:p>
        </w:tc>
        <w:tc>
          <w:tcPr>
            <w:tcW w:w="1135" w:type="dxa"/>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4922D93A" w14:textId="77777777" w:rsidR="00DC2006" w:rsidRPr="005E4534" w:rsidRDefault="00DC2006" w:rsidP="00532A7F">
            <w:pPr>
              <w:keepNext/>
              <w:keepLines/>
              <w:spacing w:line="240" w:lineRule="auto"/>
              <w:jc w:val="center"/>
              <w:textAlignment w:val="center"/>
              <w:rPr>
                <w:rFonts w:ascii="Arial" w:hAnsi="Arial" w:cs="Arial"/>
              </w:rPr>
            </w:pPr>
            <w:r>
              <w:rPr>
                <w:rFonts w:ascii="Calibri" w:hAnsi="Calibri" w:cs="Calibri"/>
                <w:color w:val="000000"/>
                <w:kern w:val="24"/>
              </w:rPr>
              <w:t>94</w:t>
            </w:r>
          </w:p>
        </w:tc>
        <w:tc>
          <w:tcPr>
            <w:tcW w:w="1739" w:type="dxa"/>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58F4509F" w14:textId="77777777" w:rsidR="00DC2006" w:rsidRPr="005E4534" w:rsidRDefault="00DC2006" w:rsidP="00532A7F">
            <w:pPr>
              <w:keepNext/>
              <w:keepLines/>
              <w:spacing w:line="240" w:lineRule="auto"/>
              <w:jc w:val="center"/>
              <w:textAlignment w:val="center"/>
              <w:rPr>
                <w:rFonts w:ascii="Arial" w:hAnsi="Arial" w:cs="Arial"/>
              </w:rPr>
            </w:pPr>
            <w:r>
              <w:rPr>
                <w:rFonts w:ascii="Calibri" w:hAnsi="Calibri" w:cs="Calibri"/>
                <w:color w:val="000000"/>
                <w:kern w:val="24"/>
              </w:rPr>
              <w:t>38</w:t>
            </w:r>
          </w:p>
        </w:tc>
      </w:tr>
      <w:tr w:rsidR="00DC2006" w:rsidRPr="005E4534" w14:paraId="35A18F34" w14:textId="77777777" w:rsidTr="00532A7F">
        <w:trPr>
          <w:trHeight w:val="49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3D7E1E" w14:textId="77777777" w:rsidR="00DC2006" w:rsidRPr="005E4534" w:rsidRDefault="00DC2006" w:rsidP="00532A7F">
            <w:pPr>
              <w:keepNext/>
              <w:keepLines/>
              <w:spacing w:line="240" w:lineRule="auto"/>
              <w:jc w:val="center"/>
              <w:rPr>
                <w:rFonts w:ascii="Arial" w:hAnsi="Arial" w:cs="Aria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1C39C9" w14:textId="77777777" w:rsidR="00DC2006" w:rsidRPr="005E4534" w:rsidRDefault="00DC2006" w:rsidP="00532A7F">
            <w:pPr>
              <w:keepNext/>
              <w:keepLines/>
              <w:spacing w:line="240" w:lineRule="auto"/>
              <w:jc w:val="center"/>
              <w:rPr>
                <w:rFonts w:ascii="Arial" w:hAnsi="Arial" w:cs="Aria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E1BBA6" w14:textId="77777777" w:rsidR="00DC2006" w:rsidRPr="005E4534" w:rsidRDefault="00DC2006" w:rsidP="00532A7F">
            <w:pPr>
              <w:keepNext/>
              <w:keepLines/>
              <w:spacing w:line="240" w:lineRule="auto"/>
              <w:jc w:val="center"/>
              <w:rPr>
                <w:rFonts w:ascii="Arial" w:hAnsi="Arial" w:cs="Arial"/>
              </w:rPr>
            </w:pPr>
          </w:p>
        </w:tc>
        <w:tc>
          <w:tcPr>
            <w:tcW w:w="2158"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5E88ACC"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65</w:t>
            </w:r>
          </w:p>
        </w:tc>
        <w:tc>
          <w:tcPr>
            <w:tcW w:w="1135" w:type="dxa"/>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5521967D"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43</w:t>
            </w:r>
          </w:p>
        </w:tc>
        <w:tc>
          <w:tcPr>
            <w:tcW w:w="1739" w:type="dxa"/>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04972636" w14:textId="77777777" w:rsidR="00DC2006" w:rsidRPr="005E4534" w:rsidRDefault="00DC2006" w:rsidP="00532A7F">
            <w:pPr>
              <w:keepNext/>
              <w:keepLines/>
              <w:spacing w:line="240" w:lineRule="auto"/>
              <w:jc w:val="center"/>
              <w:textAlignment w:val="center"/>
              <w:rPr>
                <w:rFonts w:ascii="Arial" w:hAnsi="Arial" w:cs="Arial"/>
              </w:rPr>
            </w:pPr>
            <w:r w:rsidRPr="005E4534">
              <w:rPr>
                <w:rFonts w:ascii="Calibri" w:hAnsi="Calibri" w:cs="Calibri"/>
                <w:color w:val="000000"/>
                <w:kern w:val="24"/>
              </w:rPr>
              <w:t>22</w:t>
            </w:r>
          </w:p>
        </w:tc>
      </w:tr>
    </w:tbl>
    <w:p w14:paraId="11FF9077" w14:textId="77777777" w:rsidR="00DC2006" w:rsidRDefault="00DC2006" w:rsidP="00DC2006"/>
    <w:p w14:paraId="1455DF27" w14:textId="77777777" w:rsidR="00DC2006" w:rsidRPr="00FB118C" w:rsidRDefault="00DC2006" w:rsidP="00DC2006">
      <w:pPr>
        <w:pStyle w:val="Heading3"/>
        <w:rPr>
          <w:rFonts w:asciiTheme="minorHAnsi" w:hAnsiTheme="minorHAnsi"/>
        </w:rPr>
      </w:pPr>
      <w:bookmarkStart w:id="9" w:name="_Toc68787817"/>
      <w:r w:rsidRPr="00FB118C">
        <w:rPr>
          <w:rFonts w:asciiTheme="minorHAnsi" w:hAnsiTheme="minorHAnsi"/>
        </w:rPr>
        <w:t>Architectures</w:t>
      </w:r>
      <w:bookmarkEnd w:id="9"/>
    </w:p>
    <w:p w14:paraId="3D5E9E4E" w14:textId="64A10B7A" w:rsidR="00DC2006" w:rsidRPr="00AD0BED" w:rsidRDefault="00DC2006" w:rsidP="00DC2006">
      <w:r w:rsidRPr="00AD0BED">
        <w:t xml:space="preserve">We investigated several alterations to convolutional neural networks for feature extraction, into densely connected networks for outcome. The framework of the feature extraction has three parts: First, convolution blocks are performed in a manner similar to the </w:t>
      </w:r>
      <w:proofErr w:type="spellStart"/>
      <w:r w:rsidRPr="00AD0BED">
        <w:t>DenseNet</w:t>
      </w:r>
      <w:proofErr w:type="spellEnd"/>
      <w:r>
        <w:fldChar w:fldCharType="begin" w:fldLock="1"/>
      </w:r>
      <w:r>
        <w:instrText>ADDIN CSL_CITATION {"citationItems":[{"id":"ITEM-1","itemData":{"abstract":"Recent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 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author":[{"dropping-particle":"","family":"Huang","given":"Gao","non-dropping-particle":"","parse-names":false,"suffix":""},{"dropping-particle":"","family":"Liu","given":"Zhuang","non-dropping-particle":"","parse-names":false,"suffix":""},{"dropping-particle":"","family":"Maaten","given":"Laurens","non-dropping-particle":"Van Der","parse-names":false,"suffix":""},{"dropping-particle":"","family":"Weinberger","given":"Kilian Q","non-dropping-particle":"","parse-names":false,"suffix":""}],"id":"ITEM-1","issued":{"date-parts":[["0"]]},"title":"Densely Connected Convolutional Networks","type":"report"},"uris":["http://www.mendeley.com/documents/?uuid=63966e29-88d3-35f5-8ada-41421e35da47"]}],"mendeley":{"formattedCitation":"(Huang et al., n.d.)","plainTextFormattedCitation":"(Huang et al., n.d.)","previouslyFormattedCitation":"&lt;sup&gt;68&lt;/sup&gt;"},"properties":{"noteIndex":0},"schema":"https://github.com/citation-style-language/schema/raw/master/csl-citation.json"}</w:instrText>
      </w:r>
      <w:r>
        <w:fldChar w:fldCharType="separate"/>
      </w:r>
      <w:r w:rsidRPr="00DC2006">
        <w:rPr>
          <w:noProof/>
        </w:rPr>
        <w:t>(Huang et al., n.d.)</w:t>
      </w:r>
      <w:r>
        <w:fldChar w:fldCharType="end"/>
      </w:r>
      <w:r w:rsidRPr="00AD0BED">
        <w:t xml:space="preserve"> </w:t>
      </w:r>
      <w:proofErr w:type="gramStart"/>
      <w:r w:rsidRPr="00AD0BED">
        <w:t>architecture</w:t>
      </w:r>
      <w:proofErr w:type="gramEnd"/>
      <w:r w:rsidRPr="00AD0BED">
        <w:t>, where previous feature maps are concatenated immediately to deeper layers, enabling efficient backpropagation and reuse of filters. Second, a transition block is optimized to reduce the number of filters by a fraction ranging from 0.5 to 1, where 1 indicates no reduction and 3D max pooling with a stride of 2. Third, feature extraction ends with a global max pooling layer.</w:t>
      </w:r>
    </w:p>
    <w:p w14:paraId="71EBE695" w14:textId="77777777" w:rsidR="00DC2006" w:rsidRPr="00AD0BED" w:rsidRDefault="00DC2006" w:rsidP="00DC2006">
      <w:r w:rsidRPr="00AD0BED">
        <w:t>The framework of the densely connected network has two parts: First, a set number of dense connections followed by dropout layer. Second, the model predicts two classes, progression and no-progression, with a soft-max activation.</w:t>
      </w:r>
    </w:p>
    <w:p w14:paraId="01F9D094" w14:textId="77777777" w:rsidR="00DC2006" w:rsidRPr="00AD0BED" w:rsidRDefault="00DC2006" w:rsidP="00DC2006">
      <w:r w:rsidRPr="00AD0BED">
        <w:t>We investigated several parameters in both the feature extractor, densely connected prediction, and parameters outside of the architecture. Each architectural style was run three times to ensure poor initialization was not the root cause of poor performance.</w:t>
      </w:r>
    </w:p>
    <w:p w14:paraId="67C36759" w14:textId="77777777" w:rsidR="00DC2006" w:rsidRPr="00AD0BED" w:rsidRDefault="00DC2006" w:rsidP="00DC2006">
      <w:r w:rsidRPr="00AD0BED">
        <w:t>Feature extraction parameters:</w:t>
      </w:r>
    </w:p>
    <w:p w14:paraId="4E60BA45" w14:textId="77777777" w:rsidR="00DC2006" w:rsidRPr="00AD0BED" w:rsidRDefault="00DC2006" w:rsidP="00DC2006">
      <w:pPr>
        <w:pStyle w:val="ListParagraph"/>
        <w:numPr>
          <w:ilvl w:val="0"/>
          <w:numId w:val="1"/>
        </w:numPr>
      </w:pPr>
      <w:r w:rsidRPr="00AD0BED">
        <w:t>4, 8, 16, or 32 filters as the number of filters to start the feature extraction</w:t>
      </w:r>
    </w:p>
    <w:p w14:paraId="6FD6B9FD" w14:textId="77777777" w:rsidR="00DC2006" w:rsidRPr="00AD0BED" w:rsidRDefault="00DC2006" w:rsidP="00DC2006">
      <w:pPr>
        <w:pStyle w:val="ListParagraph"/>
        <w:numPr>
          <w:ilvl w:val="0"/>
          <w:numId w:val="1"/>
        </w:numPr>
      </w:pPr>
      <w:r w:rsidRPr="00AD0BED">
        <w:t>4, 8, 16, or 32 as the rate of increase in the number of filters (growth rate)</w:t>
      </w:r>
    </w:p>
    <w:p w14:paraId="1BA9FF58" w14:textId="77777777" w:rsidR="00DC2006" w:rsidRPr="00AD0BED" w:rsidRDefault="00DC2006" w:rsidP="00DC2006">
      <w:pPr>
        <w:pStyle w:val="ListParagraph"/>
        <w:numPr>
          <w:ilvl w:val="0"/>
          <w:numId w:val="1"/>
        </w:numPr>
      </w:pPr>
      <w:r w:rsidRPr="00AD0BED">
        <w:t>1, 2, 3, 4, or 5 convolution blocks in each dense layers</w:t>
      </w:r>
    </w:p>
    <w:p w14:paraId="63B5A41D" w14:textId="77777777" w:rsidR="00DC2006" w:rsidRPr="00AD0BED" w:rsidRDefault="00DC2006" w:rsidP="00DC2006">
      <w:pPr>
        <w:pStyle w:val="ListParagraph"/>
        <w:numPr>
          <w:ilvl w:val="0"/>
          <w:numId w:val="1"/>
        </w:numPr>
      </w:pPr>
      <w:r w:rsidRPr="00AD0BED">
        <w:t>1, 2, 3, or 5 dense convolution blocks followed by transition layers</w:t>
      </w:r>
    </w:p>
    <w:p w14:paraId="4A65E1DF" w14:textId="77777777" w:rsidR="00DC2006" w:rsidRPr="00AD0BED" w:rsidRDefault="00DC2006" w:rsidP="00DC2006">
      <w:pPr>
        <w:pStyle w:val="ListParagraph"/>
        <w:numPr>
          <w:ilvl w:val="0"/>
          <w:numId w:val="1"/>
        </w:numPr>
      </w:pPr>
      <w:r w:rsidRPr="00AD0BED">
        <w:t>0.5, 0.75, or 1.0 the fraction of filters to decrease by each transition</w:t>
      </w:r>
    </w:p>
    <w:p w14:paraId="41971316" w14:textId="77777777" w:rsidR="00DC2006" w:rsidRPr="00AD0BED" w:rsidRDefault="00DC2006" w:rsidP="00DC2006">
      <w:r w:rsidRPr="00AD0BED">
        <w:t>Densely connected parameters:</w:t>
      </w:r>
    </w:p>
    <w:p w14:paraId="5BC3FC1F" w14:textId="77777777" w:rsidR="00DC2006" w:rsidRPr="00AD0BED" w:rsidRDefault="00DC2006" w:rsidP="00DC2006">
      <w:pPr>
        <w:pStyle w:val="ListParagraph"/>
        <w:numPr>
          <w:ilvl w:val="0"/>
          <w:numId w:val="1"/>
        </w:numPr>
      </w:pPr>
      <w:r w:rsidRPr="00AD0BED">
        <w:t>0, 1, 2, 3, 4, 5, or 7 number of densely connected layer</w:t>
      </w:r>
    </w:p>
    <w:p w14:paraId="08AC15E5" w14:textId="77777777" w:rsidR="00DC2006" w:rsidRPr="00AD0BED" w:rsidRDefault="00DC2006" w:rsidP="00DC2006">
      <w:pPr>
        <w:pStyle w:val="ListParagraph"/>
        <w:numPr>
          <w:ilvl w:val="0"/>
          <w:numId w:val="1"/>
        </w:numPr>
      </w:pPr>
      <w:r w:rsidRPr="00AD0BED">
        <w:t>64, 128, 256, or 512 number of connections in each layer</w:t>
      </w:r>
    </w:p>
    <w:p w14:paraId="4CD0A37E" w14:textId="77777777" w:rsidR="00DC2006" w:rsidRPr="00AD0BED" w:rsidRDefault="00DC2006" w:rsidP="00DC2006">
      <w:pPr>
        <w:pStyle w:val="ListParagraph"/>
        <w:numPr>
          <w:ilvl w:val="0"/>
          <w:numId w:val="1"/>
        </w:numPr>
      </w:pPr>
      <w:r w:rsidRPr="00AD0BED">
        <w:t>0.5 or 0.0 dropout for fraction of connections to drop</w:t>
      </w:r>
    </w:p>
    <w:p w14:paraId="7B1D068A" w14:textId="77777777" w:rsidR="00DC2006" w:rsidRPr="00AD0BED" w:rsidRDefault="00DC2006" w:rsidP="00DC2006">
      <w:r w:rsidRPr="00AD0BED">
        <w:lastRenderedPageBreak/>
        <w:t>Other hyper-parameters:</w:t>
      </w:r>
    </w:p>
    <w:p w14:paraId="2390E04F" w14:textId="77777777" w:rsidR="00DC2006" w:rsidRPr="00AD0BED" w:rsidRDefault="00DC2006" w:rsidP="00DC2006">
      <w:pPr>
        <w:pStyle w:val="ListParagraph"/>
        <w:numPr>
          <w:ilvl w:val="0"/>
          <w:numId w:val="2"/>
        </w:numPr>
      </w:pPr>
      <w:r w:rsidRPr="00AD0BED">
        <w:t>Min and max learning rate were created on a model by model basis</w:t>
      </w:r>
    </w:p>
    <w:p w14:paraId="07F9FA10" w14:textId="77777777" w:rsidR="00DC2006" w:rsidRPr="00AD0BED" w:rsidRDefault="00DC2006" w:rsidP="00DC2006">
      <w:pPr>
        <w:pStyle w:val="ListParagraph"/>
        <w:numPr>
          <w:ilvl w:val="0"/>
          <w:numId w:val="2"/>
        </w:numPr>
      </w:pPr>
      <w:r w:rsidRPr="00AD0BED">
        <w:t>Adam or Stochastic gradient descent optimizers</w:t>
      </w:r>
    </w:p>
    <w:p w14:paraId="1BFAF69B" w14:textId="77777777" w:rsidR="00DC2006" w:rsidRPr="00AD0BED" w:rsidRDefault="00DC2006" w:rsidP="00DC2006">
      <w:pPr>
        <w:pStyle w:val="ListParagraph"/>
        <w:numPr>
          <w:ilvl w:val="0"/>
          <w:numId w:val="2"/>
        </w:numPr>
      </w:pPr>
      <w:r w:rsidRPr="00AD0BED">
        <w:t>Categorical cross entropy, or Cosine loss</w:t>
      </w:r>
    </w:p>
    <w:p w14:paraId="05D35408" w14:textId="77777777" w:rsidR="00DC2006" w:rsidRPr="00FB118C" w:rsidRDefault="00DC2006" w:rsidP="00DC2006">
      <w:pPr>
        <w:pStyle w:val="Heading3"/>
        <w:rPr>
          <w:rFonts w:asciiTheme="minorHAnsi" w:hAnsiTheme="minorHAnsi"/>
        </w:rPr>
      </w:pPr>
      <w:bookmarkStart w:id="10" w:name="_Toc68787818"/>
      <w:r w:rsidRPr="00FB118C">
        <w:rPr>
          <w:rFonts w:asciiTheme="minorHAnsi" w:hAnsiTheme="minorHAnsi"/>
        </w:rPr>
        <w:t>Training the model</w:t>
      </w:r>
      <w:bookmarkEnd w:id="10"/>
    </w:p>
    <w:p w14:paraId="174B6178" w14:textId="77777777" w:rsidR="00DC2006" w:rsidRPr="00AD0BED" w:rsidRDefault="00DC2006" w:rsidP="00DC2006">
      <w:r w:rsidRPr="00AD0BED">
        <w:t xml:space="preserve">We investigated presenting the data in eight different ways, involving combinations of the pre-treatment image, the rigidly registered post-treatment image, the </w:t>
      </w:r>
      <w:proofErr w:type="spellStart"/>
      <w:r w:rsidRPr="00AD0BED">
        <w:t>deformably</w:t>
      </w:r>
      <w:proofErr w:type="spellEnd"/>
      <w:r w:rsidRPr="00AD0BED">
        <w:t xml:space="preserve"> registered post-treatment image, segmentations of the liver, and disease. A breakdown the combinations is shown in </w:t>
      </w:r>
      <w:r w:rsidRPr="00AD0BED">
        <w:fldChar w:fldCharType="begin"/>
      </w:r>
      <w:r w:rsidRPr="00AD0BED">
        <w:instrText xml:space="preserve"> REF _Ref66887381 \h </w:instrText>
      </w:r>
      <w:r>
        <w:instrText xml:space="preserve"> \* MERGEFORMAT </w:instrText>
      </w:r>
      <w:r w:rsidRPr="00AD0BED">
        <w:fldChar w:fldCharType="separate"/>
      </w:r>
      <w:r w:rsidRPr="00E82080">
        <w:t xml:space="preserve">Table </w:t>
      </w:r>
      <w:r w:rsidRPr="00E82080">
        <w:rPr>
          <w:noProof/>
        </w:rPr>
        <w:t>19</w:t>
      </w:r>
      <w:r w:rsidRPr="00AD0BED">
        <w:fldChar w:fldCharType="end"/>
      </w:r>
      <w:r w:rsidRPr="00AD0BED">
        <w:t>.</w:t>
      </w:r>
    </w:p>
    <w:p w14:paraId="41E6F2AA" w14:textId="77777777" w:rsidR="00DC2006" w:rsidRDefault="00DC2006" w:rsidP="00DC2006">
      <w:pPr>
        <w:pStyle w:val="Caption"/>
        <w:keepNext/>
      </w:pPr>
      <w:bookmarkStart w:id="11" w:name="_Ref66887381"/>
      <w:bookmarkStart w:id="12" w:name="_Toc68787942"/>
      <w:r>
        <w:t xml:space="preserve">Table </w:t>
      </w:r>
      <w:r>
        <w:fldChar w:fldCharType="begin"/>
      </w:r>
      <w:r>
        <w:instrText xml:space="preserve"> SEQ Table \* ARABIC </w:instrText>
      </w:r>
      <w:r>
        <w:fldChar w:fldCharType="separate"/>
      </w:r>
      <w:r>
        <w:rPr>
          <w:noProof/>
        </w:rPr>
        <w:t>19</w:t>
      </w:r>
      <w:r>
        <w:fldChar w:fldCharType="end"/>
      </w:r>
      <w:bookmarkEnd w:id="11"/>
      <w:r>
        <w:t>: The methods of presenting data to the model. Note that across all 8 the pre-treatment contrast enhanced CT is presented. Next, either the deformed or rigidly registered post-treatment image is presented. Segmentations of the liver and or disease are also included.</w:t>
      </w:r>
      <w:bookmarkEnd w:id="12"/>
    </w:p>
    <w:tbl>
      <w:tblPr>
        <w:tblStyle w:val="TableGrid"/>
        <w:tblW w:w="8561" w:type="dxa"/>
        <w:jc w:val="center"/>
        <w:tblLook w:val="04A0" w:firstRow="1" w:lastRow="0" w:firstColumn="1" w:lastColumn="0" w:noHBand="0" w:noVBand="1"/>
      </w:tblPr>
      <w:tblGrid>
        <w:gridCol w:w="1722"/>
        <w:gridCol w:w="2810"/>
        <w:gridCol w:w="2325"/>
        <w:gridCol w:w="693"/>
        <w:gridCol w:w="1011"/>
      </w:tblGrid>
      <w:tr w:rsidR="00DC2006" w:rsidRPr="002C71D5" w14:paraId="152F79CC" w14:textId="77777777" w:rsidTr="00532A7F">
        <w:trPr>
          <w:trHeight w:val="292"/>
          <w:jc w:val="center"/>
        </w:trPr>
        <w:tc>
          <w:tcPr>
            <w:tcW w:w="6857" w:type="dxa"/>
            <w:gridSpan w:val="3"/>
            <w:noWrap/>
            <w:vAlign w:val="center"/>
            <w:hideMark/>
          </w:tcPr>
          <w:p w14:paraId="53F834D4" w14:textId="77777777" w:rsidR="00DC2006" w:rsidRPr="002C71D5" w:rsidRDefault="00DC2006" w:rsidP="00532A7F">
            <w:pPr>
              <w:jc w:val="center"/>
            </w:pPr>
            <w:r w:rsidRPr="002C71D5">
              <w:t>Imaging</w:t>
            </w:r>
          </w:p>
        </w:tc>
        <w:tc>
          <w:tcPr>
            <w:tcW w:w="1704" w:type="dxa"/>
            <w:gridSpan w:val="2"/>
            <w:noWrap/>
            <w:vAlign w:val="center"/>
            <w:hideMark/>
          </w:tcPr>
          <w:p w14:paraId="740F9762" w14:textId="77777777" w:rsidR="00DC2006" w:rsidRPr="002C71D5" w:rsidRDefault="00DC2006" w:rsidP="00532A7F">
            <w:pPr>
              <w:jc w:val="center"/>
            </w:pPr>
            <w:r w:rsidRPr="002C71D5">
              <w:t>Contours</w:t>
            </w:r>
          </w:p>
        </w:tc>
      </w:tr>
      <w:tr w:rsidR="00DC2006" w:rsidRPr="002C71D5" w14:paraId="7FDE934C" w14:textId="77777777" w:rsidTr="00532A7F">
        <w:trPr>
          <w:trHeight w:val="292"/>
          <w:jc w:val="center"/>
        </w:trPr>
        <w:tc>
          <w:tcPr>
            <w:tcW w:w="1722" w:type="dxa"/>
            <w:noWrap/>
            <w:vAlign w:val="center"/>
            <w:hideMark/>
          </w:tcPr>
          <w:p w14:paraId="59604FDD" w14:textId="77777777" w:rsidR="00DC2006" w:rsidRPr="002C71D5" w:rsidRDefault="00DC2006" w:rsidP="00532A7F">
            <w:pPr>
              <w:jc w:val="center"/>
            </w:pPr>
            <w:r w:rsidRPr="002C71D5">
              <w:t>Pre-Treatment</w:t>
            </w:r>
          </w:p>
        </w:tc>
        <w:tc>
          <w:tcPr>
            <w:tcW w:w="2810" w:type="dxa"/>
            <w:noWrap/>
            <w:vAlign w:val="center"/>
            <w:hideMark/>
          </w:tcPr>
          <w:p w14:paraId="5EE4B96F" w14:textId="77777777" w:rsidR="00DC2006" w:rsidRPr="002C71D5" w:rsidRDefault="00DC2006" w:rsidP="00532A7F">
            <w:pPr>
              <w:jc w:val="center"/>
            </w:pPr>
            <w:r>
              <w:t xml:space="preserve">Post-Treatment </w:t>
            </w:r>
            <w:r w:rsidRPr="002C71D5">
              <w:t>Deformed</w:t>
            </w:r>
          </w:p>
        </w:tc>
        <w:tc>
          <w:tcPr>
            <w:tcW w:w="2325" w:type="dxa"/>
            <w:noWrap/>
            <w:vAlign w:val="center"/>
            <w:hideMark/>
          </w:tcPr>
          <w:p w14:paraId="07AAC399" w14:textId="77777777" w:rsidR="00DC2006" w:rsidRPr="002C71D5" w:rsidRDefault="00DC2006" w:rsidP="00532A7F">
            <w:pPr>
              <w:jc w:val="center"/>
            </w:pPr>
            <w:r w:rsidRPr="002C71D5">
              <w:t>Post-Treatment Rigid</w:t>
            </w:r>
          </w:p>
        </w:tc>
        <w:tc>
          <w:tcPr>
            <w:tcW w:w="693" w:type="dxa"/>
            <w:noWrap/>
            <w:vAlign w:val="center"/>
            <w:hideMark/>
          </w:tcPr>
          <w:p w14:paraId="3D1E8A1E" w14:textId="77777777" w:rsidR="00DC2006" w:rsidRPr="002C71D5" w:rsidRDefault="00DC2006" w:rsidP="00532A7F">
            <w:pPr>
              <w:jc w:val="center"/>
            </w:pPr>
            <w:r w:rsidRPr="002C71D5">
              <w:t>Liver</w:t>
            </w:r>
          </w:p>
        </w:tc>
        <w:tc>
          <w:tcPr>
            <w:tcW w:w="1011" w:type="dxa"/>
            <w:noWrap/>
            <w:vAlign w:val="center"/>
            <w:hideMark/>
          </w:tcPr>
          <w:p w14:paraId="57A569F4" w14:textId="77777777" w:rsidR="00DC2006" w:rsidRPr="002C71D5" w:rsidRDefault="00DC2006" w:rsidP="00532A7F">
            <w:pPr>
              <w:jc w:val="center"/>
            </w:pPr>
            <w:r w:rsidRPr="002C71D5">
              <w:t>Disease</w:t>
            </w:r>
          </w:p>
        </w:tc>
      </w:tr>
      <w:tr w:rsidR="00DC2006" w:rsidRPr="002C71D5" w14:paraId="17CD1A82" w14:textId="77777777" w:rsidTr="00532A7F">
        <w:trPr>
          <w:trHeight w:val="292"/>
          <w:jc w:val="center"/>
        </w:trPr>
        <w:tc>
          <w:tcPr>
            <w:tcW w:w="1722" w:type="dxa"/>
            <w:noWrap/>
            <w:vAlign w:val="center"/>
            <w:hideMark/>
          </w:tcPr>
          <w:p w14:paraId="18C5CCC3" w14:textId="77777777" w:rsidR="00DC2006" w:rsidRPr="002C71D5" w:rsidRDefault="00DC2006" w:rsidP="00532A7F">
            <w:pPr>
              <w:jc w:val="center"/>
            </w:pPr>
            <w:r w:rsidRPr="002C71D5">
              <w:t>x</w:t>
            </w:r>
          </w:p>
        </w:tc>
        <w:tc>
          <w:tcPr>
            <w:tcW w:w="2810" w:type="dxa"/>
            <w:noWrap/>
            <w:vAlign w:val="center"/>
            <w:hideMark/>
          </w:tcPr>
          <w:p w14:paraId="774D1BF2" w14:textId="77777777" w:rsidR="00DC2006" w:rsidRPr="002C71D5" w:rsidRDefault="00DC2006" w:rsidP="00532A7F">
            <w:pPr>
              <w:jc w:val="center"/>
            </w:pPr>
            <w:r w:rsidRPr="002C71D5">
              <w:t>x</w:t>
            </w:r>
          </w:p>
        </w:tc>
        <w:tc>
          <w:tcPr>
            <w:tcW w:w="2325" w:type="dxa"/>
            <w:noWrap/>
            <w:vAlign w:val="center"/>
            <w:hideMark/>
          </w:tcPr>
          <w:p w14:paraId="6435FB36" w14:textId="77777777" w:rsidR="00DC2006" w:rsidRPr="002C71D5" w:rsidRDefault="00DC2006" w:rsidP="00532A7F">
            <w:pPr>
              <w:jc w:val="center"/>
            </w:pPr>
          </w:p>
        </w:tc>
        <w:tc>
          <w:tcPr>
            <w:tcW w:w="693" w:type="dxa"/>
            <w:noWrap/>
            <w:vAlign w:val="center"/>
            <w:hideMark/>
          </w:tcPr>
          <w:p w14:paraId="05F340D4" w14:textId="77777777" w:rsidR="00DC2006" w:rsidRPr="002C71D5" w:rsidRDefault="00DC2006" w:rsidP="00532A7F">
            <w:pPr>
              <w:jc w:val="center"/>
            </w:pPr>
          </w:p>
        </w:tc>
        <w:tc>
          <w:tcPr>
            <w:tcW w:w="1011" w:type="dxa"/>
            <w:noWrap/>
            <w:vAlign w:val="center"/>
            <w:hideMark/>
          </w:tcPr>
          <w:p w14:paraId="600AC24E" w14:textId="77777777" w:rsidR="00DC2006" w:rsidRPr="002C71D5" w:rsidRDefault="00DC2006" w:rsidP="00532A7F">
            <w:pPr>
              <w:jc w:val="center"/>
            </w:pPr>
          </w:p>
        </w:tc>
      </w:tr>
      <w:tr w:rsidR="00DC2006" w:rsidRPr="002C71D5" w14:paraId="5FC5AEAB" w14:textId="77777777" w:rsidTr="00532A7F">
        <w:trPr>
          <w:trHeight w:val="292"/>
          <w:jc w:val="center"/>
        </w:trPr>
        <w:tc>
          <w:tcPr>
            <w:tcW w:w="1722" w:type="dxa"/>
            <w:noWrap/>
            <w:vAlign w:val="center"/>
            <w:hideMark/>
          </w:tcPr>
          <w:p w14:paraId="327E9D7B" w14:textId="77777777" w:rsidR="00DC2006" w:rsidRPr="002C71D5" w:rsidRDefault="00DC2006" w:rsidP="00532A7F">
            <w:pPr>
              <w:jc w:val="center"/>
            </w:pPr>
            <w:r w:rsidRPr="002C71D5">
              <w:t>x</w:t>
            </w:r>
          </w:p>
        </w:tc>
        <w:tc>
          <w:tcPr>
            <w:tcW w:w="2810" w:type="dxa"/>
            <w:noWrap/>
            <w:vAlign w:val="center"/>
            <w:hideMark/>
          </w:tcPr>
          <w:p w14:paraId="3E6C50A0" w14:textId="77777777" w:rsidR="00DC2006" w:rsidRPr="002C71D5" w:rsidRDefault="00DC2006" w:rsidP="00532A7F">
            <w:pPr>
              <w:jc w:val="center"/>
            </w:pPr>
            <w:r w:rsidRPr="002C71D5">
              <w:t>x</w:t>
            </w:r>
          </w:p>
        </w:tc>
        <w:tc>
          <w:tcPr>
            <w:tcW w:w="2325" w:type="dxa"/>
            <w:noWrap/>
            <w:vAlign w:val="center"/>
            <w:hideMark/>
          </w:tcPr>
          <w:p w14:paraId="5C5DD4E7" w14:textId="77777777" w:rsidR="00DC2006" w:rsidRPr="002C71D5" w:rsidRDefault="00DC2006" w:rsidP="00532A7F">
            <w:pPr>
              <w:jc w:val="center"/>
            </w:pPr>
          </w:p>
        </w:tc>
        <w:tc>
          <w:tcPr>
            <w:tcW w:w="693" w:type="dxa"/>
            <w:noWrap/>
            <w:vAlign w:val="center"/>
            <w:hideMark/>
          </w:tcPr>
          <w:p w14:paraId="16BD8666" w14:textId="77777777" w:rsidR="00DC2006" w:rsidRPr="002C71D5" w:rsidRDefault="00DC2006" w:rsidP="00532A7F">
            <w:pPr>
              <w:jc w:val="center"/>
            </w:pPr>
            <w:r w:rsidRPr="002C71D5">
              <w:t>x</w:t>
            </w:r>
          </w:p>
        </w:tc>
        <w:tc>
          <w:tcPr>
            <w:tcW w:w="1011" w:type="dxa"/>
            <w:noWrap/>
            <w:vAlign w:val="center"/>
            <w:hideMark/>
          </w:tcPr>
          <w:p w14:paraId="7FD9C0C8" w14:textId="77777777" w:rsidR="00DC2006" w:rsidRPr="002C71D5" w:rsidRDefault="00DC2006" w:rsidP="00532A7F">
            <w:pPr>
              <w:jc w:val="center"/>
            </w:pPr>
          </w:p>
        </w:tc>
      </w:tr>
      <w:tr w:rsidR="00DC2006" w:rsidRPr="002C71D5" w14:paraId="6C0103A1" w14:textId="77777777" w:rsidTr="00532A7F">
        <w:trPr>
          <w:trHeight w:val="292"/>
          <w:jc w:val="center"/>
        </w:trPr>
        <w:tc>
          <w:tcPr>
            <w:tcW w:w="1722" w:type="dxa"/>
            <w:noWrap/>
            <w:vAlign w:val="center"/>
            <w:hideMark/>
          </w:tcPr>
          <w:p w14:paraId="3DCAB342" w14:textId="77777777" w:rsidR="00DC2006" w:rsidRPr="002C71D5" w:rsidRDefault="00DC2006" w:rsidP="00532A7F">
            <w:pPr>
              <w:jc w:val="center"/>
            </w:pPr>
            <w:r w:rsidRPr="002C71D5">
              <w:t>x</w:t>
            </w:r>
          </w:p>
        </w:tc>
        <w:tc>
          <w:tcPr>
            <w:tcW w:w="2810" w:type="dxa"/>
            <w:noWrap/>
            <w:vAlign w:val="center"/>
            <w:hideMark/>
          </w:tcPr>
          <w:p w14:paraId="244BBC5A" w14:textId="77777777" w:rsidR="00DC2006" w:rsidRPr="002C71D5" w:rsidRDefault="00DC2006" w:rsidP="00532A7F">
            <w:pPr>
              <w:jc w:val="center"/>
            </w:pPr>
            <w:r w:rsidRPr="002C71D5">
              <w:t>x</w:t>
            </w:r>
          </w:p>
        </w:tc>
        <w:tc>
          <w:tcPr>
            <w:tcW w:w="2325" w:type="dxa"/>
            <w:noWrap/>
            <w:vAlign w:val="center"/>
            <w:hideMark/>
          </w:tcPr>
          <w:p w14:paraId="08858637" w14:textId="77777777" w:rsidR="00DC2006" w:rsidRPr="002C71D5" w:rsidRDefault="00DC2006" w:rsidP="00532A7F">
            <w:pPr>
              <w:jc w:val="center"/>
            </w:pPr>
          </w:p>
        </w:tc>
        <w:tc>
          <w:tcPr>
            <w:tcW w:w="693" w:type="dxa"/>
            <w:noWrap/>
            <w:vAlign w:val="center"/>
            <w:hideMark/>
          </w:tcPr>
          <w:p w14:paraId="057AA455" w14:textId="77777777" w:rsidR="00DC2006" w:rsidRPr="002C71D5" w:rsidRDefault="00DC2006" w:rsidP="00532A7F">
            <w:pPr>
              <w:jc w:val="center"/>
            </w:pPr>
          </w:p>
        </w:tc>
        <w:tc>
          <w:tcPr>
            <w:tcW w:w="1011" w:type="dxa"/>
            <w:noWrap/>
            <w:vAlign w:val="center"/>
            <w:hideMark/>
          </w:tcPr>
          <w:p w14:paraId="4CFEF4C5" w14:textId="77777777" w:rsidR="00DC2006" w:rsidRPr="002C71D5" w:rsidRDefault="00DC2006" w:rsidP="00532A7F">
            <w:pPr>
              <w:jc w:val="center"/>
            </w:pPr>
            <w:r w:rsidRPr="002C71D5">
              <w:t>x</w:t>
            </w:r>
          </w:p>
        </w:tc>
      </w:tr>
      <w:tr w:rsidR="00DC2006" w:rsidRPr="002C71D5" w14:paraId="2AE44570" w14:textId="77777777" w:rsidTr="00532A7F">
        <w:trPr>
          <w:trHeight w:val="292"/>
          <w:jc w:val="center"/>
        </w:trPr>
        <w:tc>
          <w:tcPr>
            <w:tcW w:w="1722" w:type="dxa"/>
            <w:noWrap/>
            <w:vAlign w:val="center"/>
            <w:hideMark/>
          </w:tcPr>
          <w:p w14:paraId="7DF51E10" w14:textId="77777777" w:rsidR="00DC2006" w:rsidRPr="002C71D5" w:rsidRDefault="00DC2006" w:rsidP="00532A7F">
            <w:pPr>
              <w:jc w:val="center"/>
            </w:pPr>
            <w:r w:rsidRPr="002C71D5">
              <w:t>x</w:t>
            </w:r>
          </w:p>
        </w:tc>
        <w:tc>
          <w:tcPr>
            <w:tcW w:w="2810" w:type="dxa"/>
            <w:noWrap/>
            <w:vAlign w:val="center"/>
            <w:hideMark/>
          </w:tcPr>
          <w:p w14:paraId="3F8F3F47" w14:textId="77777777" w:rsidR="00DC2006" w:rsidRPr="002C71D5" w:rsidRDefault="00DC2006" w:rsidP="00532A7F">
            <w:pPr>
              <w:jc w:val="center"/>
            </w:pPr>
            <w:r w:rsidRPr="002C71D5">
              <w:t>x</w:t>
            </w:r>
          </w:p>
        </w:tc>
        <w:tc>
          <w:tcPr>
            <w:tcW w:w="2325" w:type="dxa"/>
            <w:noWrap/>
            <w:vAlign w:val="center"/>
            <w:hideMark/>
          </w:tcPr>
          <w:p w14:paraId="757B5D2F" w14:textId="77777777" w:rsidR="00DC2006" w:rsidRPr="002C71D5" w:rsidRDefault="00DC2006" w:rsidP="00532A7F">
            <w:pPr>
              <w:jc w:val="center"/>
            </w:pPr>
          </w:p>
        </w:tc>
        <w:tc>
          <w:tcPr>
            <w:tcW w:w="693" w:type="dxa"/>
            <w:noWrap/>
            <w:vAlign w:val="center"/>
            <w:hideMark/>
          </w:tcPr>
          <w:p w14:paraId="18B2BE7A" w14:textId="77777777" w:rsidR="00DC2006" w:rsidRPr="002C71D5" w:rsidRDefault="00DC2006" w:rsidP="00532A7F">
            <w:pPr>
              <w:jc w:val="center"/>
            </w:pPr>
            <w:r w:rsidRPr="002C71D5">
              <w:t>x</w:t>
            </w:r>
          </w:p>
        </w:tc>
        <w:tc>
          <w:tcPr>
            <w:tcW w:w="1011" w:type="dxa"/>
            <w:noWrap/>
            <w:vAlign w:val="center"/>
            <w:hideMark/>
          </w:tcPr>
          <w:p w14:paraId="1C41FF1A" w14:textId="77777777" w:rsidR="00DC2006" w:rsidRPr="002C71D5" w:rsidRDefault="00DC2006" w:rsidP="00532A7F">
            <w:pPr>
              <w:jc w:val="center"/>
            </w:pPr>
            <w:r w:rsidRPr="002C71D5">
              <w:t>x</w:t>
            </w:r>
          </w:p>
        </w:tc>
      </w:tr>
      <w:tr w:rsidR="00DC2006" w:rsidRPr="002C71D5" w14:paraId="0DB3F5E9" w14:textId="77777777" w:rsidTr="00532A7F">
        <w:trPr>
          <w:trHeight w:val="292"/>
          <w:jc w:val="center"/>
        </w:trPr>
        <w:tc>
          <w:tcPr>
            <w:tcW w:w="1722" w:type="dxa"/>
            <w:noWrap/>
            <w:vAlign w:val="center"/>
            <w:hideMark/>
          </w:tcPr>
          <w:p w14:paraId="1248ADFC" w14:textId="77777777" w:rsidR="00DC2006" w:rsidRPr="002C71D5" w:rsidRDefault="00DC2006" w:rsidP="00532A7F">
            <w:pPr>
              <w:jc w:val="center"/>
            </w:pPr>
            <w:r w:rsidRPr="002C71D5">
              <w:t>x</w:t>
            </w:r>
          </w:p>
        </w:tc>
        <w:tc>
          <w:tcPr>
            <w:tcW w:w="2810" w:type="dxa"/>
            <w:noWrap/>
            <w:vAlign w:val="center"/>
            <w:hideMark/>
          </w:tcPr>
          <w:p w14:paraId="09475D4A" w14:textId="77777777" w:rsidR="00DC2006" w:rsidRPr="002C71D5" w:rsidRDefault="00DC2006" w:rsidP="00532A7F">
            <w:pPr>
              <w:jc w:val="center"/>
            </w:pPr>
          </w:p>
        </w:tc>
        <w:tc>
          <w:tcPr>
            <w:tcW w:w="2325" w:type="dxa"/>
            <w:noWrap/>
            <w:vAlign w:val="center"/>
            <w:hideMark/>
          </w:tcPr>
          <w:p w14:paraId="11D290F7" w14:textId="77777777" w:rsidR="00DC2006" w:rsidRPr="002C71D5" w:rsidRDefault="00DC2006" w:rsidP="00532A7F">
            <w:pPr>
              <w:jc w:val="center"/>
            </w:pPr>
            <w:r w:rsidRPr="002C71D5">
              <w:t>x</w:t>
            </w:r>
          </w:p>
        </w:tc>
        <w:tc>
          <w:tcPr>
            <w:tcW w:w="693" w:type="dxa"/>
            <w:noWrap/>
            <w:vAlign w:val="center"/>
            <w:hideMark/>
          </w:tcPr>
          <w:p w14:paraId="5610063B" w14:textId="77777777" w:rsidR="00DC2006" w:rsidRPr="002C71D5" w:rsidRDefault="00DC2006" w:rsidP="00532A7F">
            <w:pPr>
              <w:jc w:val="center"/>
            </w:pPr>
          </w:p>
        </w:tc>
        <w:tc>
          <w:tcPr>
            <w:tcW w:w="1011" w:type="dxa"/>
            <w:noWrap/>
            <w:vAlign w:val="center"/>
            <w:hideMark/>
          </w:tcPr>
          <w:p w14:paraId="3FCBEF9B" w14:textId="77777777" w:rsidR="00DC2006" w:rsidRPr="002C71D5" w:rsidRDefault="00DC2006" w:rsidP="00532A7F">
            <w:pPr>
              <w:jc w:val="center"/>
            </w:pPr>
          </w:p>
        </w:tc>
      </w:tr>
      <w:tr w:rsidR="00DC2006" w:rsidRPr="002C71D5" w14:paraId="3232A326" w14:textId="77777777" w:rsidTr="00532A7F">
        <w:trPr>
          <w:trHeight w:val="292"/>
          <w:jc w:val="center"/>
        </w:trPr>
        <w:tc>
          <w:tcPr>
            <w:tcW w:w="1722" w:type="dxa"/>
            <w:noWrap/>
            <w:vAlign w:val="center"/>
            <w:hideMark/>
          </w:tcPr>
          <w:p w14:paraId="4BEDB500" w14:textId="77777777" w:rsidR="00DC2006" w:rsidRPr="002C71D5" w:rsidRDefault="00DC2006" w:rsidP="00532A7F">
            <w:pPr>
              <w:jc w:val="center"/>
            </w:pPr>
            <w:r w:rsidRPr="002C71D5">
              <w:t>x</w:t>
            </w:r>
          </w:p>
        </w:tc>
        <w:tc>
          <w:tcPr>
            <w:tcW w:w="2810" w:type="dxa"/>
            <w:noWrap/>
            <w:vAlign w:val="center"/>
            <w:hideMark/>
          </w:tcPr>
          <w:p w14:paraId="7945942B" w14:textId="77777777" w:rsidR="00DC2006" w:rsidRPr="002C71D5" w:rsidRDefault="00DC2006" w:rsidP="00532A7F">
            <w:pPr>
              <w:jc w:val="center"/>
            </w:pPr>
          </w:p>
        </w:tc>
        <w:tc>
          <w:tcPr>
            <w:tcW w:w="2325" w:type="dxa"/>
            <w:noWrap/>
            <w:vAlign w:val="center"/>
            <w:hideMark/>
          </w:tcPr>
          <w:p w14:paraId="7D522749" w14:textId="77777777" w:rsidR="00DC2006" w:rsidRPr="002C71D5" w:rsidRDefault="00DC2006" w:rsidP="00532A7F">
            <w:pPr>
              <w:jc w:val="center"/>
            </w:pPr>
            <w:r w:rsidRPr="002C71D5">
              <w:t>x</w:t>
            </w:r>
          </w:p>
        </w:tc>
        <w:tc>
          <w:tcPr>
            <w:tcW w:w="693" w:type="dxa"/>
            <w:noWrap/>
            <w:vAlign w:val="center"/>
            <w:hideMark/>
          </w:tcPr>
          <w:p w14:paraId="53BA0A7D" w14:textId="77777777" w:rsidR="00DC2006" w:rsidRPr="002C71D5" w:rsidRDefault="00DC2006" w:rsidP="00532A7F">
            <w:pPr>
              <w:jc w:val="center"/>
            </w:pPr>
            <w:r w:rsidRPr="002C71D5">
              <w:t>x</w:t>
            </w:r>
          </w:p>
        </w:tc>
        <w:tc>
          <w:tcPr>
            <w:tcW w:w="1011" w:type="dxa"/>
            <w:noWrap/>
            <w:vAlign w:val="center"/>
            <w:hideMark/>
          </w:tcPr>
          <w:p w14:paraId="233137B3" w14:textId="77777777" w:rsidR="00DC2006" w:rsidRPr="002C71D5" w:rsidRDefault="00DC2006" w:rsidP="00532A7F">
            <w:pPr>
              <w:jc w:val="center"/>
            </w:pPr>
          </w:p>
        </w:tc>
      </w:tr>
      <w:tr w:rsidR="00DC2006" w:rsidRPr="002C71D5" w14:paraId="0F648333" w14:textId="77777777" w:rsidTr="00532A7F">
        <w:trPr>
          <w:trHeight w:val="292"/>
          <w:jc w:val="center"/>
        </w:trPr>
        <w:tc>
          <w:tcPr>
            <w:tcW w:w="1722" w:type="dxa"/>
            <w:noWrap/>
            <w:vAlign w:val="center"/>
            <w:hideMark/>
          </w:tcPr>
          <w:p w14:paraId="5BA9A977" w14:textId="77777777" w:rsidR="00DC2006" w:rsidRPr="002C71D5" w:rsidRDefault="00DC2006" w:rsidP="00532A7F">
            <w:pPr>
              <w:jc w:val="center"/>
            </w:pPr>
            <w:r w:rsidRPr="002C71D5">
              <w:t>x</w:t>
            </w:r>
          </w:p>
        </w:tc>
        <w:tc>
          <w:tcPr>
            <w:tcW w:w="2810" w:type="dxa"/>
            <w:noWrap/>
            <w:vAlign w:val="center"/>
            <w:hideMark/>
          </w:tcPr>
          <w:p w14:paraId="16D73112" w14:textId="77777777" w:rsidR="00DC2006" w:rsidRPr="002C71D5" w:rsidRDefault="00DC2006" w:rsidP="00532A7F">
            <w:pPr>
              <w:jc w:val="center"/>
            </w:pPr>
          </w:p>
        </w:tc>
        <w:tc>
          <w:tcPr>
            <w:tcW w:w="2325" w:type="dxa"/>
            <w:noWrap/>
            <w:vAlign w:val="center"/>
            <w:hideMark/>
          </w:tcPr>
          <w:p w14:paraId="58823629" w14:textId="77777777" w:rsidR="00DC2006" w:rsidRPr="002C71D5" w:rsidRDefault="00DC2006" w:rsidP="00532A7F">
            <w:pPr>
              <w:jc w:val="center"/>
            </w:pPr>
            <w:r w:rsidRPr="002C71D5">
              <w:t>x</w:t>
            </w:r>
          </w:p>
        </w:tc>
        <w:tc>
          <w:tcPr>
            <w:tcW w:w="693" w:type="dxa"/>
            <w:noWrap/>
            <w:vAlign w:val="center"/>
            <w:hideMark/>
          </w:tcPr>
          <w:p w14:paraId="1664ACB2" w14:textId="77777777" w:rsidR="00DC2006" w:rsidRPr="002C71D5" w:rsidRDefault="00DC2006" w:rsidP="00532A7F">
            <w:pPr>
              <w:jc w:val="center"/>
            </w:pPr>
          </w:p>
        </w:tc>
        <w:tc>
          <w:tcPr>
            <w:tcW w:w="1011" w:type="dxa"/>
            <w:noWrap/>
            <w:vAlign w:val="center"/>
            <w:hideMark/>
          </w:tcPr>
          <w:p w14:paraId="2F41EE6C" w14:textId="77777777" w:rsidR="00DC2006" w:rsidRPr="002C71D5" w:rsidRDefault="00DC2006" w:rsidP="00532A7F">
            <w:pPr>
              <w:jc w:val="center"/>
            </w:pPr>
            <w:r w:rsidRPr="002C71D5">
              <w:t>x</w:t>
            </w:r>
          </w:p>
        </w:tc>
      </w:tr>
      <w:tr w:rsidR="00DC2006" w:rsidRPr="002C71D5" w14:paraId="5C80735B" w14:textId="77777777" w:rsidTr="00532A7F">
        <w:trPr>
          <w:trHeight w:val="292"/>
          <w:jc w:val="center"/>
        </w:trPr>
        <w:tc>
          <w:tcPr>
            <w:tcW w:w="1722" w:type="dxa"/>
            <w:noWrap/>
            <w:vAlign w:val="center"/>
            <w:hideMark/>
          </w:tcPr>
          <w:p w14:paraId="1E09E677" w14:textId="77777777" w:rsidR="00DC2006" w:rsidRPr="002C71D5" w:rsidRDefault="00DC2006" w:rsidP="00532A7F">
            <w:pPr>
              <w:jc w:val="center"/>
            </w:pPr>
            <w:r w:rsidRPr="002C71D5">
              <w:t>x</w:t>
            </w:r>
          </w:p>
        </w:tc>
        <w:tc>
          <w:tcPr>
            <w:tcW w:w="2810" w:type="dxa"/>
            <w:noWrap/>
            <w:vAlign w:val="center"/>
            <w:hideMark/>
          </w:tcPr>
          <w:p w14:paraId="7CDB19C6" w14:textId="77777777" w:rsidR="00DC2006" w:rsidRPr="002C71D5" w:rsidRDefault="00DC2006" w:rsidP="00532A7F">
            <w:pPr>
              <w:jc w:val="center"/>
            </w:pPr>
          </w:p>
        </w:tc>
        <w:tc>
          <w:tcPr>
            <w:tcW w:w="2325" w:type="dxa"/>
            <w:noWrap/>
            <w:vAlign w:val="center"/>
            <w:hideMark/>
          </w:tcPr>
          <w:p w14:paraId="7C78CA1F" w14:textId="77777777" w:rsidR="00DC2006" w:rsidRPr="002C71D5" w:rsidRDefault="00DC2006" w:rsidP="00532A7F">
            <w:pPr>
              <w:jc w:val="center"/>
            </w:pPr>
            <w:r w:rsidRPr="002C71D5">
              <w:t>x</w:t>
            </w:r>
          </w:p>
        </w:tc>
        <w:tc>
          <w:tcPr>
            <w:tcW w:w="693" w:type="dxa"/>
            <w:noWrap/>
            <w:vAlign w:val="center"/>
            <w:hideMark/>
          </w:tcPr>
          <w:p w14:paraId="40EEF794" w14:textId="77777777" w:rsidR="00DC2006" w:rsidRPr="002C71D5" w:rsidRDefault="00DC2006" w:rsidP="00532A7F">
            <w:pPr>
              <w:jc w:val="center"/>
            </w:pPr>
            <w:r w:rsidRPr="002C71D5">
              <w:t>x</w:t>
            </w:r>
          </w:p>
        </w:tc>
        <w:tc>
          <w:tcPr>
            <w:tcW w:w="1011" w:type="dxa"/>
            <w:noWrap/>
            <w:vAlign w:val="center"/>
            <w:hideMark/>
          </w:tcPr>
          <w:p w14:paraId="2A9CCD65" w14:textId="77777777" w:rsidR="00DC2006" w:rsidRPr="002C71D5" w:rsidRDefault="00DC2006" w:rsidP="00532A7F">
            <w:pPr>
              <w:jc w:val="center"/>
            </w:pPr>
            <w:r w:rsidRPr="002C71D5">
              <w:t>x</w:t>
            </w:r>
          </w:p>
        </w:tc>
      </w:tr>
    </w:tbl>
    <w:p w14:paraId="46D657D4" w14:textId="77777777" w:rsidR="00DC2006" w:rsidRDefault="00DC2006" w:rsidP="00DC2006"/>
    <w:p w14:paraId="27F43DD4" w14:textId="77777777" w:rsidR="00DC2006" w:rsidRPr="00AD0BED" w:rsidRDefault="00DC2006" w:rsidP="00DC2006">
      <w:r w:rsidRPr="00AD0BED">
        <w:t xml:space="preserve">To balance the presentation of progression and no-progression, we created two </w:t>
      </w:r>
      <w:proofErr w:type="spellStart"/>
      <w:r w:rsidRPr="00AD0BED">
        <w:t>TensorFlow</w:t>
      </w:r>
      <w:proofErr w:type="spellEnd"/>
      <w:r w:rsidRPr="00AD0BED">
        <w:t xml:space="preserve"> data-generators with interleaving outputs. With a batch size of 32, this ensured each training step had 16 sites with progression and 16 sites without progression. Each generator will reshuffle and repeat, meaning the progression data is sampled more often than the no-progression data. This decision was influenced by recommendations from </w:t>
      </w:r>
      <w:proofErr w:type="spellStart"/>
      <w:r w:rsidRPr="00AD0BED">
        <w:t>Tensorflow</w:t>
      </w:r>
      <w:proofErr w:type="spellEnd"/>
      <w:r w:rsidRPr="00AD0BED">
        <w:t xml:space="preserve"> when working with imbalanced data, </w:t>
      </w:r>
      <w:hyperlink r:id="rId8" w:history="1">
        <w:r w:rsidRPr="00AD0BED">
          <w:rPr>
            <w:rStyle w:val="Hyperlink"/>
          </w:rPr>
          <w:t>https://www.tensorflow.org/tutorials/structured_data/imbalanced_data</w:t>
        </w:r>
      </w:hyperlink>
      <w:r w:rsidRPr="00AD0BED">
        <w:t>.</w:t>
      </w:r>
    </w:p>
    <w:p w14:paraId="5FF4B160" w14:textId="77777777" w:rsidR="00DC2006" w:rsidRPr="00AD0BED" w:rsidRDefault="00DC2006" w:rsidP="00DC2006">
      <w:pPr>
        <w:pStyle w:val="Heading4"/>
        <w:rPr>
          <w:rFonts w:asciiTheme="minorHAnsi" w:hAnsiTheme="minorHAnsi"/>
        </w:rPr>
      </w:pPr>
      <w:r w:rsidRPr="00AD0BED">
        <w:rPr>
          <w:rFonts w:asciiTheme="minorHAnsi" w:hAnsiTheme="minorHAnsi"/>
        </w:rPr>
        <w:t>Cosine Loss</w:t>
      </w:r>
    </w:p>
    <w:p w14:paraId="49459507" w14:textId="77777777" w:rsidR="00DC2006" w:rsidRPr="00AD0BED" w:rsidRDefault="00DC2006" w:rsidP="00DC2006">
      <w:r w:rsidRPr="00AD0BED">
        <w:t>Due to the limited, and biased nature of our dataset (69% of data is no-progression, 31% is progression), we quickly noticed a problem of model overfitting in the loss and AUC curves. Normalization was introduced to the model in the form of L</w:t>
      </w:r>
      <w:r w:rsidRPr="00AD0BED">
        <w:rPr>
          <w:vertAlign w:val="superscript"/>
        </w:rPr>
        <w:t>2</w:t>
      </w:r>
      <w:r w:rsidRPr="00AD0BED">
        <w:t xml:space="preserve"> normalization and dropout in the dense connections, unfortunately it did not seem to alleviate the overfitting. Dropout introduces sparsity into the dense connections, helping to alleviate overfitting, and L</w:t>
      </w:r>
      <w:r w:rsidRPr="00AD0BED">
        <w:rPr>
          <w:vertAlign w:val="superscript"/>
        </w:rPr>
        <w:t>2</w:t>
      </w:r>
      <w:r w:rsidRPr="00AD0BED">
        <w:t xml:space="preserve"> normalization attempts push the weights of the connections to be small but not 0.</w:t>
      </w:r>
    </w:p>
    <w:p w14:paraId="0D730FA1" w14:textId="2E99596F" w:rsidR="00DC2006" w:rsidRPr="00AD0BED" w:rsidRDefault="00DC2006" w:rsidP="00DC2006">
      <w:r w:rsidRPr="00AD0BED">
        <w:t xml:space="preserve">Recent work has shown that a large part of overfitting due to biased datasets can be related to the usage of </w:t>
      </w:r>
      <w:proofErr w:type="spellStart"/>
      <w:r w:rsidRPr="00AD0BED">
        <w:t>softmax</w:t>
      </w:r>
      <w:proofErr w:type="spellEnd"/>
      <w:r w:rsidRPr="00AD0BED">
        <w:t xml:space="preserve"> + </w:t>
      </w:r>
      <w:proofErr w:type="spellStart"/>
      <w:r w:rsidRPr="00AD0BED">
        <w:t>crossentropy</w:t>
      </w:r>
      <w:proofErr w:type="spellEnd"/>
      <w:r w:rsidRPr="00AD0BED">
        <w:t xml:space="preserve"> loss function</w:t>
      </w:r>
      <w:r>
        <w:fldChar w:fldCharType="begin" w:fldLock="1"/>
      </w:r>
      <w:r>
        <w:instrText>ADDIN CSL_CITATION {"citationItems":[{"id":"ITEM-1","itemData":{"abstract":"Two things seem to be indisputable in the contemporary deep learning discourse: 1. The categorical cross-entropy loss after softmax activation is the method of choice for classification. 2. Training a CNN classifier from scratch on small datasets does not work well. In contrast to this, we show that the cosine loss function provides substantially better performance than cross-entropy on datasets with only a handful of samples per class. For example, the accuracy achieved on the CUB-200-2011 dataset without pre-training is by 30% higher than with the cross-entropy loss. Further experiments on other popular datasets confirm our findings. Moreover, we demonstrate that integrating prior knowledge in the form of class hierarchies is straightforward with the cosine loss and improves classification performance further.","author":[{"dropping-particle":"","family":"Barz","given":"Björn","non-dropping-particle":"","parse-names":false,"suffix":""},{"dropping-particle":"","family":"Denzler","given":"Joachim","non-dropping-particle":"","parse-names":false,"suffix":""}],"id":"ITEM-1","issued":{"date-parts":[["0"]]},"number-of-pages":"2020","title":"Deep Learning on Small Datasets without Pre-Training using Cosine Loss","type":"report"},"uris":["http://www.mendeley.com/documents/?uuid=d8491bcf-b94f-3b16-ada4-0ecf2e184c8d"]}],"mendeley":{"formattedCitation":"(Barz &amp; Denzler, n.d.)","plainTextFormattedCitation":"(Barz &amp; Denzler, n.d.)","previouslyFormattedCitation":"&lt;sup&gt;195&lt;/sup&gt;"},"properties":{"noteIndex":0},"schema":"https://github.com/citation-style-language/schema/raw/master/csl-citation.json"}</w:instrText>
      </w:r>
      <w:r>
        <w:fldChar w:fldCharType="separate"/>
      </w:r>
      <w:r w:rsidRPr="00DC2006">
        <w:rPr>
          <w:noProof/>
        </w:rPr>
        <w:t>(</w:t>
      </w:r>
      <w:proofErr w:type="spellStart"/>
      <w:r w:rsidRPr="00DC2006">
        <w:rPr>
          <w:noProof/>
        </w:rPr>
        <w:t>Barz</w:t>
      </w:r>
      <w:proofErr w:type="spellEnd"/>
      <w:r w:rsidRPr="00DC2006">
        <w:rPr>
          <w:noProof/>
        </w:rPr>
        <w:t xml:space="preserve"> &amp; Denzler, n.d.)</w:t>
      </w:r>
      <w:r>
        <w:fldChar w:fldCharType="end"/>
      </w:r>
      <w:r w:rsidRPr="00AD0BED">
        <w:t>, and the authors propose the use of a cosine loss function. The cosine loss focuses on increasing the similarity between the L</w:t>
      </w:r>
      <w:r w:rsidRPr="00AD0BED">
        <w:rPr>
          <w:vertAlign w:val="superscript"/>
        </w:rPr>
        <w:t>2</w:t>
      </w:r>
      <w:r w:rsidRPr="00AD0BED">
        <w:t xml:space="preserve">-norm of the prediction and the ground truth, ‘bounding’ the loss to a unit sphere, </w:t>
      </w:r>
      <w:r w:rsidRPr="00AD0BED">
        <w:fldChar w:fldCharType="begin"/>
      </w:r>
      <w:r w:rsidRPr="00AD0BED">
        <w:instrText xml:space="preserve"> REF _Ref68171650 \h </w:instrText>
      </w:r>
      <w:r>
        <w:instrText xml:space="preserve"> \* MERGEFORMAT </w:instrText>
      </w:r>
      <w:r w:rsidRPr="00AD0BED">
        <w:fldChar w:fldCharType="separate"/>
      </w:r>
      <w:r w:rsidRPr="00E82080">
        <w:t>Equation (</w:t>
      </w:r>
      <w:r w:rsidRPr="00E82080">
        <w:rPr>
          <w:noProof/>
        </w:rPr>
        <w:t>1</w:t>
      </w:r>
      <w:r w:rsidRPr="00E82080">
        <w:t>)</w:t>
      </w:r>
      <w:r w:rsidRPr="00AD0BED">
        <w:fldChar w:fldCharType="end"/>
      </w:r>
      <w:r w:rsidRPr="00AD0BED">
        <w:t xml:space="preserve">. Note that we add 1 </w:t>
      </w:r>
      <w:r w:rsidRPr="00AD0BED">
        <w:lastRenderedPageBreak/>
        <w:t xml:space="preserve">to scale it from 0-2, rather than -1 to 1. In contrast, the cross entropy and </w:t>
      </w:r>
      <w:proofErr w:type="spellStart"/>
      <w:r w:rsidRPr="00AD0BED">
        <w:t>softmax</w:t>
      </w:r>
      <w:proofErr w:type="spellEnd"/>
      <w:r w:rsidRPr="00AD0BED">
        <w:t xml:space="preserve"> contains exponential and log functions, allowing arbitrarily high values to appear.</w:t>
      </w:r>
    </w:p>
    <w:p w14:paraId="122B3E0D" w14:textId="5510BB78" w:rsidR="00DC2006" w:rsidRDefault="00DC2006" w:rsidP="00DC2006">
      <w:pPr>
        <w:keepNext/>
      </w:pPr>
      <w:r w:rsidRPr="00B522D6">
        <w:rPr>
          <w:noProof/>
        </w:rPr>
        <w:drawing>
          <wp:inline distT="0" distB="0" distL="0" distR="0" wp14:anchorId="46D65D65" wp14:editId="122CA05D">
            <wp:extent cx="568642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4576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2190750"/>
                    </a:xfrm>
                    <a:prstGeom prst="rect">
                      <a:avLst/>
                    </a:prstGeom>
                    <a:noFill/>
                    <a:ln>
                      <a:noFill/>
                    </a:ln>
                  </pic:spPr>
                </pic:pic>
              </a:graphicData>
            </a:graphic>
          </wp:inline>
        </w:drawing>
      </w:r>
    </w:p>
    <w:p w14:paraId="1FF832CB" w14:textId="130D349F" w:rsidR="00DC2006" w:rsidRDefault="00DC2006" w:rsidP="00DC2006">
      <w:pPr>
        <w:pStyle w:val="Caption"/>
      </w:pPr>
      <w:bookmarkStart w:id="13" w:name="_Toc68787911"/>
      <w:r>
        <w:t xml:space="preserve">Figure </w:t>
      </w:r>
      <w:r>
        <w:fldChar w:fldCharType="begin"/>
      </w:r>
      <w:r>
        <w:instrText xml:space="preserve"> SEQ Figure \* ARABIC </w:instrText>
      </w:r>
      <w:r>
        <w:fldChar w:fldCharType="separate"/>
      </w:r>
      <w:r>
        <w:rPr>
          <w:noProof/>
        </w:rPr>
        <w:t>71</w:t>
      </w:r>
      <w:r>
        <w:fldChar w:fldCharType="end"/>
      </w:r>
      <w:r>
        <w:t xml:space="preserve">: Heat maps of two loss functions in a 2-D feature space. Note that cosine loss is bounded from 0 to 2, while </w:t>
      </w:r>
      <w:proofErr w:type="spellStart"/>
      <w:r>
        <w:t>softmax</w:t>
      </w:r>
      <w:proofErr w:type="spellEnd"/>
      <w:r>
        <w:t xml:space="preserve"> + cross-entropy can take on arbitrarily large values. Figure copied from </w:t>
      </w:r>
      <w:r>
        <w:fldChar w:fldCharType="begin" w:fldLock="1"/>
      </w:r>
      <w:r>
        <w:instrText>ADDIN CSL_CITATION {"citationItems":[{"id":"ITEM-1","itemData":{"abstract":"Two things seem to be indisputable in the contemporary deep learning discourse: 1. The categorical cross-entropy loss after softmax activation is the method of choice for classification. 2. Training a CNN classifier from scratch on small datasets does not work well. In contrast to this, we show that the cosine loss function provides substantially better performance than cross-entropy on datasets with only a handful of samples per class. For example, the accuracy achieved on the CUB-200-2011 dataset without pre-training is by 30% higher than with the cross-entropy loss. Further experiments on other popular datasets confirm our findings. Moreover, we demonstrate that integrating prior knowledge in the form of class hierarchies is straightforward with the cosine loss and improves classification performance further.","author":[{"dropping-particle":"","family":"Barz","given":"Björn","non-dropping-particle":"","parse-names":false,"suffix":""},{"dropping-particle":"","family":"Denzler","given":"Joachim","non-dropping-particle":"","parse-names":false,"suffix":""}],"id":"ITEM-1","issued":{"date-parts":[["0"]]},"number-of-pages":"2020","title":"Deep Learning on Small Datasets without Pre-Training using Cosine Loss","type":"report"},"uris":["http://www.mendeley.com/documents/?uuid=d8491bcf-b94f-3b16-ada4-0ecf2e184c8d"]}],"mendeley":{"formattedCitation":"(Barz &amp; Denzler, n.d.)","plainTextFormattedCitation":"(Barz &amp; Denzler, n.d.)","previouslyFormattedCitation":"&lt;sup&gt;195&lt;/sup&gt;"},"properties":{"noteIndex":0},"schema":"https://github.com/citation-style-language/schema/raw/master/csl-citation.json"}</w:instrText>
      </w:r>
      <w:r>
        <w:fldChar w:fldCharType="separate"/>
      </w:r>
      <w:r w:rsidRPr="00DC2006">
        <w:rPr>
          <w:i w:val="0"/>
          <w:noProof/>
        </w:rPr>
        <w:t>(Barz &amp; Denzler, n.d.)</w:t>
      </w:r>
      <w:r>
        <w:fldChar w:fldCharType="end"/>
      </w:r>
      <w:r>
        <w:t>.</w:t>
      </w:r>
      <w:bookmarkEnd w:id="13"/>
    </w:p>
    <w:p w14:paraId="0FC166D2" w14:textId="77777777" w:rsidR="00DC2006" w:rsidRDefault="00DC2006" w:rsidP="00DC2006">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7290"/>
        <w:gridCol w:w="1430"/>
      </w:tblGrid>
      <w:tr w:rsidR="00DC2006" w14:paraId="176353FD" w14:textId="77777777" w:rsidTr="00532A7F">
        <w:tc>
          <w:tcPr>
            <w:tcW w:w="630" w:type="dxa"/>
            <w:vAlign w:val="center"/>
          </w:tcPr>
          <w:p w14:paraId="09924E4C" w14:textId="77777777" w:rsidR="00DC2006" w:rsidRDefault="00DC2006" w:rsidP="00532A7F">
            <w:pPr>
              <w:jc w:val="center"/>
            </w:pPr>
          </w:p>
        </w:tc>
        <w:tc>
          <w:tcPr>
            <w:tcW w:w="7290" w:type="dxa"/>
            <w:vAlign w:val="center"/>
          </w:tcPr>
          <w:p w14:paraId="4CD28270" w14:textId="77777777" w:rsidR="00DC2006" w:rsidRDefault="00DC2006" w:rsidP="00532A7F">
            <w:pPr>
              <w:jc w:val="center"/>
            </w:pPr>
            <m:oMathPara>
              <m:oMath>
                <m:r>
                  <w:rPr>
                    <w:rFonts w:ascii="Cambria Math" w:hAnsi="Cambria Math"/>
                  </w:rPr>
                  <m:t xml:space="preserve">Cosine Loss= 1- </m:t>
                </m:r>
                <m:sSub>
                  <m:sSubPr>
                    <m:ctrlPr>
                      <w:rPr>
                        <w:rFonts w:ascii="Cambria Math" w:hAnsi="Cambria Math"/>
                        <w:i/>
                      </w:rPr>
                    </m:ctrlPr>
                  </m:sSubPr>
                  <m:e>
                    <m:r>
                      <w:rPr>
                        <w:rFonts w:ascii="Cambria Math" w:hAnsi="Cambria Math"/>
                      </w:rPr>
                      <m:t>σ</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 xml:space="preserve">=1- </m:t>
                </m:r>
                <m:f>
                  <m:fPr>
                    <m:ctrlPr>
                      <w:rPr>
                        <w:rFonts w:ascii="Cambria Math" w:hAnsi="Cambria Math"/>
                        <w:i/>
                      </w:rPr>
                    </m:ctrlPr>
                  </m:fPr>
                  <m:num>
                    <m:r>
                      <w:rPr>
                        <w:rFonts w:ascii="Cambria Math" w:hAnsi="Cambria Math"/>
                      </w:rPr>
                      <m:t>⟨x,y⟩</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e>
                        </m:d>
                      </m:e>
                      <m:sub>
                        <m:r>
                          <w:rPr>
                            <w:rFonts w:ascii="Cambria Math" w:hAnsi="Cambria Math"/>
                          </w:rPr>
                          <m:t>2</m:t>
                        </m:r>
                      </m:sub>
                    </m:sSub>
                  </m:den>
                </m:f>
              </m:oMath>
            </m:oMathPara>
          </w:p>
        </w:tc>
        <w:tc>
          <w:tcPr>
            <w:tcW w:w="1430" w:type="dxa"/>
            <w:vAlign w:val="center"/>
          </w:tcPr>
          <w:p w14:paraId="42E2F1CE" w14:textId="77777777" w:rsidR="00DC2006" w:rsidRDefault="00DC2006" w:rsidP="00532A7F">
            <w:pPr>
              <w:jc w:val="center"/>
            </w:pPr>
            <w:bookmarkStart w:id="14" w:name="_Ref68171650"/>
            <w:r>
              <w:t>Equation (</w:t>
            </w:r>
            <w:r>
              <w:fldChar w:fldCharType="begin"/>
            </w:r>
            <w:r>
              <w:instrText xml:space="preserve"> SEQ Equation \* ARABIC </w:instrText>
            </w:r>
            <w:r>
              <w:fldChar w:fldCharType="separate"/>
            </w:r>
            <w:r>
              <w:rPr>
                <w:noProof/>
              </w:rPr>
              <w:t>1</w:t>
            </w:r>
            <w:r>
              <w:fldChar w:fldCharType="end"/>
            </w:r>
            <w:r>
              <w:t>)</w:t>
            </w:r>
            <w:bookmarkEnd w:id="14"/>
          </w:p>
        </w:tc>
      </w:tr>
    </w:tbl>
    <w:p w14:paraId="5899D6D1" w14:textId="77777777" w:rsidR="00DC2006" w:rsidRPr="00C12550" w:rsidRDefault="00DC2006" w:rsidP="00DC2006"/>
    <w:p w14:paraId="20D2FBD3" w14:textId="77777777" w:rsidR="00DC2006" w:rsidRPr="00AD0BED" w:rsidRDefault="00DC2006" w:rsidP="00DC2006">
      <w:r w:rsidRPr="00AD0BED">
        <w:t>After adopting the cosine loss function the model loss curves appeared to have less overfitting and was adopted for the rest of the work.</w:t>
      </w:r>
    </w:p>
    <w:p w14:paraId="591396B5" w14:textId="77777777" w:rsidR="00DC2006" w:rsidRPr="00AD0BED" w:rsidRDefault="00DC2006" w:rsidP="00DC2006">
      <w:pPr>
        <w:pStyle w:val="Heading4"/>
        <w:rPr>
          <w:rFonts w:asciiTheme="minorHAnsi" w:hAnsiTheme="minorHAnsi"/>
        </w:rPr>
      </w:pPr>
      <w:r w:rsidRPr="00AD0BED">
        <w:rPr>
          <w:rFonts w:asciiTheme="minorHAnsi" w:hAnsiTheme="minorHAnsi"/>
        </w:rPr>
        <w:t>Learning Rates</w:t>
      </w:r>
    </w:p>
    <w:p w14:paraId="5F897B6A" w14:textId="77777777" w:rsidR="00DC2006" w:rsidRPr="00AD0BED" w:rsidRDefault="00DC2006" w:rsidP="00DC2006">
      <w:r w:rsidRPr="00AD0BED">
        <w:t xml:space="preserve">Unique minimum and maximum learning rates were identified using our in-house learning rate finder (GitHub link redacted), adapted from code presented in </w:t>
      </w:r>
      <w:hyperlink r:id="rId10" w:history="1">
        <w:r w:rsidRPr="00AD0BED">
          <w:rPr>
            <w:rStyle w:val="Hyperlink"/>
          </w:rPr>
          <w:t>https://www.pyimagesearch.com/2019/08/05/keras-learning-rate-finder/</w:t>
        </w:r>
      </w:hyperlink>
      <w:r w:rsidRPr="00AD0BED">
        <w:t>. These minimum and maximum learning rates were used in a Cosine annealing learning rate scheduler (GitHub link redacted). Step-size was varied to be 2000, 5000, or 10,000, with a reduction factor of 0.5.</w:t>
      </w:r>
    </w:p>
    <w:p w14:paraId="38506D4C" w14:textId="77777777" w:rsidR="00DC2006" w:rsidRPr="00AD0BED" w:rsidRDefault="00DC2006" w:rsidP="00DC2006">
      <w:pPr>
        <w:pStyle w:val="Heading3"/>
        <w:rPr>
          <w:rFonts w:asciiTheme="minorHAnsi" w:hAnsiTheme="minorHAnsi"/>
        </w:rPr>
      </w:pPr>
      <w:bookmarkStart w:id="15" w:name="_Toc68787819"/>
      <w:r w:rsidRPr="00AD0BED">
        <w:rPr>
          <w:rFonts w:asciiTheme="minorHAnsi" w:hAnsiTheme="minorHAnsi"/>
        </w:rPr>
        <w:t>Evaluating Training</w:t>
      </w:r>
      <w:bookmarkEnd w:id="15"/>
    </w:p>
    <w:p w14:paraId="007DC3A5" w14:textId="77777777" w:rsidR="00DC2006" w:rsidRPr="00AD0BED" w:rsidRDefault="00DC2006" w:rsidP="00DC2006">
      <w:pPr>
        <w:pStyle w:val="Heading4"/>
        <w:rPr>
          <w:rFonts w:asciiTheme="minorHAnsi" w:hAnsiTheme="minorHAnsi"/>
        </w:rPr>
      </w:pPr>
      <w:r w:rsidRPr="00AD0BED">
        <w:rPr>
          <w:rFonts w:asciiTheme="minorHAnsi" w:hAnsiTheme="minorHAnsi"/>
        </w:rPr>
        <w:t>Quantitative</w:t>
      </w:r>
    </w:p>
    <w:p w14:paraId="73C74BE8" w14:textId="44D07055" w:rsidR="00DC2006" w:rsidRPr="00AD0BED" w:rsidRDefault="00DC2006" w:rsidP="00DC2006">
      <w:r w:rsidRPr="00AD0BED">
        <w:t xml:space="preserve">Training was monitored using the </w:t>
      </w:r>
      <w:proofErr w:type="spellStart"/>
      <w:r w:rsidRPr="00AD0BED">
        <w:t>Tensorboard</w:t>
      </w:r>
      <w:proofErr w:type="spellEnd"/>
      <w:r w:rsidRPr="00AD0BED">
        <w:t xml:space="preserve"> module</w:t>
      </w:r>
      <w:r>
        <w:fldChar w:fldCharType="begin" w:fldLock="1"/>
      </w:r>
      <w:r>
        <w:instrText>ADDIN CSL_CITATION {"citationItems":[{"id":"ITEM-1","itemData":{"abstract":"TensorFlow [1]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author":[{"dropping-particle":"","family":"Abadi","given":"Martín","non-dropping-particle":"","parse-names":false,"suffix":""},{"dropping-particle":"","family":"Agarwal","given":"Ashish","non-dropping-particle":"","parse-names":false,"suffix":""},{"dropping-particle":"","family":"Barham","given":"Paul","non-dropping-particle":"","parse-names":false,"suffix":""},{"dropping-particle":"","family":"Brevdo","given":"Eugene","non-dropping-particle":"","parse-names":false,"suffix":""},{"dropping-particle":"","family":"Chen","given":"Zhifeng","non-dropping-particle":"","parse-names":false,"suffix":""},{"dropping-particle":"","family":"Citro","given":"Craig","non-dropping-particle":"","parse-names":false,"suffix":""},{"dropping-particle":"","family":"Corrado","given":"Greg S","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Goodfellow","given":"Ian","non-dropping-particle":"","parse-names":false,"suffix":""},{"dropping-particle":"","family":"Harp","given":"Andrew","non-dropping-particle":"","parse-names":false,"suffix":""},{"dropping-particle":"","family":"Irving","given":"Geoffrey","non-dropping-particle":"","parse-names":false,"suffix":""},{"dropping-particle":"","family":"Isard","given":"Michael","non-dropping-particle":"","parse-names":false,"suffix":""},{"dropping-particle":"","family":"Jia","given":"Yangqing","non-dropping-particle":"","parse-names":false,"suffix":""},{"dropping-particle":"","family":"Jozefowicz","given":"Rafal","non-dropping-particle":"","parse-names":false,"suffix":""},{"dropping-particle":"","family":"Kaiser","given":"Lukasz","non-dropping-particle":"","parse-names":false,"suffix":""},{"dropping-particle":"","family":"Kudlur","given":"Manjunath","non-dropping-particle":"","parse-names":false,"suffix":""},{"dropping-particle":"","family":"Levenberg","given":"Josh","non-dropping-particle":"","parse-names":false,"suffix":""},{"dropping-particle":"","family":"Mané","given":"Dan","non-dropping-particle":"","parse-names":false,"suffix":""},{"dropping-particle":"","family":"Monga","given":"Rajat","non-dropping-particle":"","parse-names":false,"suffix":""},{"dropping-particle":"","family":"Moore","given":"Sherry","non-dropping-particle":"","parse-names":false,"suffix":""},{"dropping-particle":"","family":"Murray","given":"Derek","non-dropping-particle":"","parse-names":false,"suffix":""},{"dropping-particle":"","family":"Olah","given":"Chris","non-dropping-particle":"","parse-names":false,"suffix":""},{"dropping-particle":"","family":"Schuster","given":"Mike","non-dropping-particle":"","parse-names":false,"suffix":""},{"dropping-particle":"","family":"Shlens","given":"Jonathon","non-dropping-particle":"","parse-names":false,"suffix":""},{"dropping-particle":"","family":"Steiner","given":"Benoit","non-dropping-particle":"","parse-names":false,"suffix":""},{"dropping-particle":"","family":"Sutskever","given":"Ilya","non-dropping-particle":"","parse-names":false,"suffix":""},{"dropping-particle":"","family":"Talwar","given":"Kunal","non-dropping-particle":"","parse-names":false,"suffix":""},{"dropping-particle":"","family":"Tucker","given":"Paul","non-dropping-particle":"","parse-names":false,"suffix":""},{"dropping-particle":"","family":"Vanhoucke","given":"Vincent","non-dropping-particle":"","parse-names":false,"suffix":""},{"dropping-particle":"","family":"Vasudevan","given":"Vijay","non-dropping-particle":"","parse-names":false,"suffix":""},{"dropping-particle":"","family":"Viégas","given":"Fernanda","non-dropping-particle":"","parse-names":false,"suffix":""},{"dropping-particle":"","family":"Vinyals","given":"Oriol","non-dropping-particle":"","parse-names":false,"suffix":""},{"dropping-particle":"","family":"Warden","given":"Pete","non-dropping-particle":"","parse-names":false,"suffix":""},{"dropping-particle":"","family":"Wattenberg","given":"Martin","non-dropping-particle":"","parse-names":false,"suffix":""},{"dropping-particle":"","family":"Wicke","given":"Martin","non-dropping-particle":"","parse-names":false,"suffix":""},{"dropping-particle":"","family":"Yu","given":"Yuan","non-dropping-particle":"","parse-names":false,"suffix":""},{"dropping-particle":"","family":"Zheng","given":"Xiaoqiang","non-dropping-particle":"","parse-names":false,"suffix":""},{"dropping-particle":"","family":"Research","given":"Google","non-dropping-particle":"","parse-names":false,"suffix":""}],"id":"ITEM-1","issued":{"date-parts":[["0"]]},"title":"TensorFlow: Large-Scale Machine Learning on Heterogeneous Distributed Systems","type":"report"},"uris":["http://www.mendeley.com/documents/?uuid=2d3a4105-7330-35e6-b82f-999f072a2849"]}],"mendeley":{"formattedCitation":"(Abadi et al., n.d.)","plainTextFormattedCitation":"(Abadi et al., n.d.)","previouslyFormattedCitation":"&lt;sup&gt;105&lt;/sup&gt;"},"properties":{"noteIndex":0},"schema":"https://github.com/citation-style-language/schema/raw/master/csl-citation.json"}</w:instrText>
      </w:r>
      <w:r>
        <w:fldChar w:fldCharType="separate"/>
      </w:r>
      <w:r w:rsidRPr="00DC2006">
        <w:rPr>
          <w:noProof/>
        </w:rPr>
        <w:t>(</w:t>
      </w:r>
      <w:proofErr w:type="spellStart"/>
      <w:r w:rsidRPr="00DC2006">
        <w:rPr>
          <w:noProof/>
        </w:rPr>
        <w:t>Abadi</w:t>
      </w:r>
      <w:proofErr w:type="spellEnd"/>
      <w:r w:rsidRPr="00DC2006">
        <w:rPr>
          <w:noProof/>
        </w:rPr>
        <w:t xml:space="preserve"> et al., n.d.)</w:t>
      </w:r>
      <w:r>
        <w:fldChar w:fldCharType="end"/>
      </w:r>
      <w:r w:rsidRPr="00AD0BED">
        <w:t>. Area under the curve (AUC) was the metric of choice for overall model performance, as well as sensitivity and specificity at a 50% prediction cutoff. Top performing models, as identified by the AUC, were selected for prediction visualization.</w:t>
      </w:r>
    </w:p>
    <w:p w14:paraId="3FB8019D" w14:textId="77777777" w:rsidR="00DC2006" w:rsidRPr="00AD0BED" w:rsidRDefault="00DC2006" w:rsidP="00DC2006">
      <w:pPr>
        <w:pStyle w:val="Heading4"/>
        <w:rPr>
          <w:rFonts w:asciiTheme="minorHAnsi" w:hAnsiTheme="minorHAnsi"/>
        </w:rPr>
      </w:pPr>
      <w:r w:rsidRPr="00AD0BED">
        <w:rPr>
          <w:rFonts w:asciiTheme="minorHAnsi" w:hAnsiTheme="minorHAnsi"/>
        </w:rPr>
        <w:t>Qualitative</w:t>
      </w:r>
    </w:p>
    <w:p w14:paraId="1122AC7E" w14:textId="480A58F9" w:rsidR="00DC2006" w:rsidRPr="00AD0BED" w:rsidRDefault="00DC2006" w:rsidP="00DC2006">
      <w:r w:rsidRPr="00AD0BED">
        <w:t xml:space="preserve">To provide human interpretable explanations about the model predictions, we use the integrated gradient (IG) method of identifying which aspect of the image led to model prediction. IG were originally proposed by </w:t>
      </w:r>
      <w:proofErr w:type="spellStart"/>
      <w:r w:rsidRPr="00AD0BED">
        <w:t>Sundarajaran</w:t>
      </w:r>
      <w:proofErr w:type="spellEnd"/>
      <w:r w:rsidRPr="00AD0BED">
        <w:t xml:space="preserve"> et al.</w:t>
      </w:r>
      <w:r>
        <w:fldChar w:fldCharType="begin" w:fldLock="1"/>
      </w:r>
      <w:r>
        <w:instrText>ADDIN CSL_CITATION {"citationItems":[{"id":"ITEM-1","itemData":{"abstract":"We study the problem of attributing the prediction of a deep network to its input features, a problem previously studied by several other works. We identify two fundamental axioms-Sensitivity and Implementation Invariance that attribution methods ought to satisfy. We show that they are not satisfied by most known attri-bution methods, which we consider to be a fundamental weakness of those methods. We use the axioms to guide the design of a new attri-bution method called Integrated Gradients. Our method requires no modification to the original network and is extremely simple to implement; it just needs a few calls to the standard gradient operator. We apply this method to a couple of image models, a couple of text models and a chemistry model, demonstrating its ability to de-bug networks, to extract rules from a network, and to enable users to engage with models better.","author":[{"dropping-particle":"","family":"Sundararajan","given":"Mukund","non-dropping-particle":"","parse-names":false,"suffix":""},{"dropping-particle":"","family":"Taly","given":"Ankur","non-dropping-particle":"","parse-names":false,"suffix":""},{"dropping-particle":"","family":"Yan","given":"Qiqi","non-dropping-particle":"","parse-names":false,"suffix":""}],"id":"ITEM-1","issued":{"date-parts":[["2017"]]},"title":"Axiomatic Attribution for Deep Networks","type":"report"},"uris":["http://www.mendeley.com/documents/?uuid=807c1723-118a-35da-a8ad-5add66df152d"]}],"mendeley":{"formattedCitation":"(Sundararajan et al., 2017)","plainTextFormattedCitation":"(Sundararajan et al., 2017)","previouslyFormattedCitation":"&lt;sup&gt;196&lt;/sup&gt;"},"properties":{"noteIndex":0},"schema":"https://github.com/citation-style-language/schema/raw/master/csl-citation.json"}</w:instrText>
      </w:r>
      <w:r>
        <w:fldChar w:fldCharType="separate"/>
      </w:r>
      <w:r w:rsidRPr="00DC2006">
        <w:rPr>
          <w:noProof/>
        </w:rPr>
        <w:t>(Sundararajan et al., 2017)</w:t>
      </w:r>
      <w:r>
        <w:fldChar w:fldCharType="end"/>
      </w:r>
      <w:r w:rsidRPr="00AD0BED">
        <w:t xml:space="preserve"> to identify which aspects of the image were most important in the decision process. </w:t>
      </w:r>
      <w:proofErr w:type="spellStart"/>
      <w:r w:rsidRPr="00AD0BED">
        <w:t>Tensorflow</w:t>
      </w:r>
      <w:proofErr w:type="spellEnd"/>
      <w:r w:rsidRPr="00AD0BED">
        <w:t xml:space="preserve"> offers a tutorial on implementation of the IG method (</w:t>
      </w:r>
      <w:hyperlink r:id="rId11" w:history="1">
        <w:r w:rsidRPr="00AD0BED">
          <w:rPr>
            <w:rStyle w:val="Hyperlink"/>
          </w:rPr>
          <w:t>https://www.tensorflow.org/tutorials/interpretability/integrated_gradients</w:t>
        </w:r>
      </w:hyperlink>
      <w:r w:rsidRPr="00AD0BED">
        <w:t xml:space="preserve">) which we adapted </w:t>
      </w:r>
      <w:r w:rsidRPr="00AD0BED">
        <w:lastRenderedPageBreak/>
        <w:t xml:space="preserve">from 2D images to 3D images as seen in our data. Each top performing model from the eight possible input data presentations given in </w:t>
      </w:r>
      <w:r w:rsidRPr="00AD0BED">
        <w:fldChar w:fldCharType="begin"/>
      </w:r>
      <w:r w:rsidRPr="00AD0BED">
        <w:instrText xml:space="preserve"> REF _Ref66887381 \h </w:instrText>
      </w:r>
      <w:r>
        <w:instrText xml:space="preserve"> \* MERGEFORMAT </w:instrText>
      </w:r>
      <w:r w:rsidRPr="00AD0BED">
        <w:fldChar w:fldCharType="separate"/>
      </w:r>
      <w:r w:rsidRPr="00E82080">
        <w:t xml:space="preserve">Table </w:t>
      </w:r>
      <w:r w:rsidRPr="00E82080">
        <w:rPr>
          <w:noProof/>
        </w:rPr>
        <w:t>19</w:t>
      </w:r>
      <w:r w:rsidRPr="00AD0BED">
        <w:fldChar w:fldCharType="end"/>
      </w:r>
      <w:r w:rsidRPr="00AD0BED">
        <w:t xml:space="preserve"> was investigated qualitatively.</w:t>
      </w:r>
    </w:p>
    <w:p w14:paraId="7A402A0C" w14:textId="77777777" w:rsidR="00DC2006" w:rsidRPr="00AD0BED" w:rsidRDefault="00DC2006" w:rsidP="00DC2006">
      <w:pPr>
        <w:pStyle w:val="Heading2"/>
        <w:rPr>
          <w:rFonts w:asciiTheme="minorHAnsi" w:hAnsiTheme="minorHAnsi"/>
        </w:rPr>
      </w:pPr>
      <w:bookmarkStart w:id="16" w:name="_Toc68787820"/>
      <w:r w:rsidRPr="00AD0BED">
        <w:rPr>
          <w:rFonts w:asciiTheme="minorHAnsi" w:hAnsiTheme="minorHAnsi"/>
        </w:rPr>
        <w:t>6.3 Results</w:t>
      </w:r>
      <w:bookmarkEnd w:id="16"/>
    </w:p>
    <w:p w14:paraId="0A9A0B1E" w14:textId="77777777" w:rsidR="00DC2006" w:rsidRPr="00482C2A" w:rsidRDefault="00DC2006" w:rsidP="00DC2006">
      <w:pPr>
        <w:pStyle w:val="Heading3"/>
        <w:rPr>
          <w:rFonts w:asciiTheme="minorHAnsi" w:hAnsiTheme="minorHAnsi"/>
        </w:rPr>
      </w:pPr>
      <w:bookmarkStart w:id="17" w:name="_Toc68787821"/>
      <w:r w:rsidRPr="00482C2A">
        <w:rPr>
          <w:rFonts w:asciiTheme="minorHAnsi" w:hAnsiTheme="minorHAnsi"/>
        </w:rPr>
        <w:t>Quantitative</w:t>
      </w:r>
      <w:bookmarkEnd w:id="17"/>
    </w:p>
    <w:p w14:paraId="52A94202" w14:textId="77777777" w:rsidR="00DC2006" w:rsidRDefault="00DC2006" w:rsidP="00DC2006">
      <w:r>
        <w:t xml:space="preserve">We present the results between ‘pre-treatment and deformable post-treatment’ or ‘pre-treatment and rigidly registered post-treatment’. The accuracy, sensitivity, specificity, and the AUC for each data presentation method are presented in </w:t>
      </w:r>
      <w:r>
        <w:fldChar w:fldCharType="begin"/>
      </w:r>
      <w:r>
        <w:instrText xml:space="preserve"> REF _Ref68007272 \h </w:instrText>
      </w:r>
      <w:r>
        <w:fldChar w:fldCharType="separate"/>
      </w:r>
      <w:r>
        <w:t xml:space="preserve">Table </w:t>
      </w:r>
      <w:r>
        <w:rPr>
          <w:noProof/>
        </w:rPr>
        <w:t>20</w:t>
      </w:r>
      <w:r>
        <w:fldChar w:fldCharType="end"/>
      </w:r>
      <w:r>
        <w:t>. Note that sensitivity and specificity assume a 50% prediction cutoff.</w:t>
      </w:r>
    </w:p>
    <w:p w14:paraId="425624D6" w14:textId="77777777" w:rsidR="00DC2006" w:rsidRDefault="00DC2006" w:rsidP="00DC2006">
      <w:pPr>
        <w:pStyle w:val="Caption"/>
        <w:keepNext/>
        <w:keepLines/>
      </w:pPr>
      <w:bookmarkStart w:id="18" w:name="_Ref68007272"/>
      <w:bookmarkStart w:id="19" w:name="_Toc68787943"/>
      <w:r>
        <w:t xml:space="preserve">Table </w:t>
      </w:r>
      <w:r>
        <w:fldChar w:fldCharType="begin"/>
      </w:r>
      <w:r>
        <w:instrText xml:space="preserve"> SEQ Table \* ARABIC </w:instrText>
      </w:r>
      <w:r>
        <w:fldChar w:fldCharType="separate"/>
      </w:r>
      <w:r>
        <w:rPr>
          <w:noProof/>
        </w:rPr>
        <w:t>20</w:t>
      </w:r>
      <w:r>
        <w:fldChar w:fldCharType="end"/>
      </w:r>
      <w:bookmarkEnd w:id="18"/>
      <w:r>
        <w:t>: Accuracy, percentage of progression sites accurately predicted, percentage of non-progression sites accurately predicted, and the area under the curve (AUC) values for the eight presentation methods of data. Note that accuracy and percentage correct assumes a prediction cut-off of 50%.</w:t>
      </w:r>
      <w:bookmarkEnd w:id="19"/>
    </w:p>
    <w:tbl>
      <w:tblPr>
        <w:tblStyle w:val="TableGrid"/>
        <w:tblW w:w="8658" w:type="dxa"/>
        <w:tblLook w:val="04A0" w:firstRow="1" w:lastRow="0" w:firstColumn="1" w:lastColumn="0" w:noHBand="0" w:noVBand="1"/>
      </w:tblPr>
      <w:tblGrid>
        <w:gridCol w:w="4113"/>
        <w:gridCol w:w="1218"/>
        <w:gridCol w:w="1304"/>
        <w:gridCol w:w="1304"/>
        <w:gridCol w:w="719"/>
      </w:tblGrid>
      <w:tr w:rsidR="00DC2006" w:rsidRPr="004603CC" w14:paraId="063E6F9F" w14:textId="77777777" w:rsidTr="00532A7F">
        <w:trPr>
          <w:trHeight w:val="300"/>
        </w:trPr>
        <w:tc>
          <w:tcPr>
            <w:tcW w:w="4113" w:type="dxa"/>
            <w:noWrap/>
            <w:vAlign w:val="center"/>
            <w:hideMark/>
          </w:tcPr>
          <w:p w14:paraId="7DD004F9" w14:textId="77777777" w:rsidR="00DC2006" w:rsidRPr="004603CC" w:rsidRDefault="00DC2006" w:rsidP="00532A7F">
            <w:pPr>
              <w:keepNext/>
              <w:keepLines/>
              <w:jc w:val="center"/>
              <w:rPr>
                <w:b/>
                <w:bCs/>
              </w:rPr>
            </w:pPr>
            <w:r w:rsidRPr="004603CC">
              <w:rPr>
                <w:b/>
                <w:bCs/>
              </w:rPr>
              <w:t>Description</w:t>
            </w:r>
          </w:p>
        </w:tc>
        <w:tc>
          <w:tcPr>
            <w:tcW w:w="1218" w:type="dxa"/>
            <w:noWrap/>
            <w:vAlign w:val="center"/>
            <w:hideMark/>
          </w:tcPr>
          <w:p w14:paraId="305BBF7E" w14:textId="77777777" w:rsidR="00DC2006" w:rsidRPr="004603CC" w:rsidRDefault="00DC2006" w:rsidP="00532A7F">
            <w:pPr>
              <w:keepNext/>
              <w:keepLines/>
              <w:jc w:val="center"/>
              <w:rPr>
                <w:b/>
                <w:bCs/>
              </w:rPr>
            </w:pPr>
            <w:r w:rsidRPr="004603CC">
              <w:rPr>
                <w:b/>
                <w:bCs/>
              </w:rPr>
              <w:t>Accuracy</w:t>
            </w:r>
          </w:p>
        </w:tc>
        <w:tc>
          <w:tcPr>
            <w:tcW w:w="1304" w:type="dxa"/>
            <w:noWrap/>
            <w:vAlign w:val="center"/>
            <w:hideMark/>
          </w:tcPr>
          <w:p w14:paraId="4ACE0224" w14:textId="77777777" w:rsidR="00DC2006" w:rsidRPr="004603CC" w:rsidRDefault="00DC2006" w:rsidP="00532A7F">
            <w:pPr>
              <w:keepNext/>
              <w:keepLines/>
              <w:jc w:val="center"/>
              <w:rPr>
                <w:b/>
                <w:bCs/>
              </w:rPr>
            </w:pPr>
            <w:r>
              <w:rPr>
                <w:b/>
                <w:bCs/>
              </w:rPr>
              <w:t>Sensitivity</w:t>
            </w:r>
          </w:p>
        </w:tc>
        <w:tc>
          <w:tcPr>
            <w:tcW w:w="1304" w:type="dxa"/>
            <w:noWrap/>
            <w:vAlign w:val="center"/>
            <w:hideMark/>
          </w:tcPr>
          <w:p w14:paraId="5C34EFD9" w14:textId="77777777" w:rsidR="00DC2006" w:rsidRPr="004603CC" w:rsidRDefault="00DC2006" w:rsidP="00532A7F">
            <w:pPr>
              <w:keepNext/>
              <w:keepLines/>
              <w:jc w:val="center"/>
              <w:rPr>
                <w:b/>
                <w:bCs/>
              </w:rPr>
            </w:pPr>
            <w:r>
              <w:rPr>
                <w:b/>
                <w:bCs/>
              </w:rPr>
              <w:t>Specificity</w:t>
            </w:r>
          </w:p>
        </w:tc>
        <w:tc>
          <w:tcPr>
            <w:tcW w:w="719" w:type="dxa"/>
            <w:noWrap/>
            <w:vAlign w:val="center"/>
            <w:hideMark/>
          </w:tcPr>
          <w:p w14:paraId="75E250B0" w14:textId="77777777" w:rsidR="00DC2006" w:rsidRPr="004603CC" w:rsidRDefault="00DC2006" w:rsidP="00532A7F">
            <w:pPr>
              <w:keepNext/>
              <w:keepLines/>
              <w:jc w:val="center"/>
              <w:rPr>
                <w:b/>
                <w:bCs/>
              </w:rPr>
            </w:pPr>
            <w:r w:rsidRPr="004603CC">
              <w:rPr>
                <w:b/>
                <w:bCs/>
              </w:rPr>
              <w:t>AUC</w:t>
            </w:r>
          </w:p>
        </w:tc>
      </w:tr>
      <w:tr w:rsidR="00DC2006" w:rsidRPr="004603CC" w14:paraId="182BFAAF" w14:textId="77777777" w:rsidTr="00532A7F">
        <w:trPr>
          <w:trHeight w:val="300"/>
        </w:trPr>
        <w:tc>
          <w:tcPr>
            <w:tcW w:w="4113" w:type="dxa"/>
            <w:noWrap/>
            <w:vAlign w:val="center"/>
            <w:hideMark/>
          </w:tcPr>
          <w:p w14:paraId="244CC7A8" w14:textId="77777777" w:rsidR="00DC2006" w:rsidRPr="004603CC" w:rsidRDefault="00DC2006" w:rsidP="00532A7F">
            <w:pPr>
              <w:keepNext/>
              <w:keepLines/>
              <w:jc w:val="center"/>
            </w:pPr>
            <w:r w:rsidRPr="004603CC">
              <w:t>Primary + Secondary Deform</w:t>
            </w:r>
          </w:p>
        </w:tc>
        <w:tc>
          <w:tcPr>
            <w:tcW w:w="1218" w:type="dxa"/>
            <w:noWrap/>
            <w:vAlign w:val="center"/>
            <w:hideMark/>
          </w:tcPr>
          <w:p w14:paraId="309447E8" w14:textId="77777777" w:rsidR="00DC2006" w:rsidRPr="004603CC" w:rsidRDefault="00DC2006" w:rsidP="00532A7F">
            <w:pPr>
              <w:keepNext/>
              <w:keepLines/>
              <w:jc w:val="center"/>
            </w:pPr>
            <w:r>
              <w:rPr>
                <w:rFonts w:ascii="Calibri" w:hAnsi="Calibri" w:cs="Calibri"/>
                <w:color w:val="000000"/>
              </w:rPr>
              <w:t>67</w:t>
            </w:r>
          </w:p>
        </w:tc>
        <w:tc>
          <w:tcPr>
            <w:tcW w:w="1304" w:type="dxa"/>
            <w:noWrap/>
            <w:vAlign w:val="center"/>
            <w:hideMark/>
          </w:tcPr>
          <w:p w14:paraId="43975AE2" w14:textId="77777777" w:rsidR="00DC2006" w:rsidRPr="004603CC" w:rsidRDefault="00DC2006" w:rsidP="00532A7F">
            <w:pPr>
              <w:keepNext/>
              <w:keepLines/>
              <w:jc w:val="center"/>
            </w:pPr>
            <w:r>
              <w:rPr>
                <w:rFonts w:ascii="Calibri" w:hAnsi="Calibri" w:cs="Calibri"/>
                <w:color w:val="000000"/>
              </w:rPr>
              <w:t>18</w:t>
            </w:r>
          </w:p>
        </w:tc>
        <w:tc>
          <w:tcPr>
            <w:tcW w:w="1304" w:type="dxa"/>
            <w:noWrap/>
            <w:vAlign w:val="center"/>
            <w:hideMark/>
          </w:tcPr>
          <w:p w14:paraId="20867482" w14:textId="77777777" w:rsidR="00DC2006" w:rsidRPr="004603CC" w:rsidRDefault="00DC2006" w:rsidP="00532A7F">
            <w:pPr>
              <w:keepNext/>
              <w:keepLines/>
              <w:jc w:val="center"/>
            </w:pPr>
            <w:r>
              <w:t>95</w:t>
            </w:r>
          </w:p>
        </w:tc>
        <w:tc>
          <w:tcPr>
            <w:tcW w:w="719" w:type="dxa"/>
            <w:noWrap/>
            <w:vAlign w:val="center"/>
            <w:hideMark/>
          </w:tcPr>
          <w:p w14:paraId="613061FC" w14:textId="77777777" w:rsidR="00DC2006" w:rsidRPr="004603CC" w:rsidRDefault="00DC2006" w:rsidP="00532A7F">
            <w:pPr>
              <w:keepNext/>
              <w:keepLines/>
              <w:jc w:val="center"/>
            </w:pPr>
            <w:r>
              <w:rPr>
                <w:rFonts w:ascii="Calibri" w:hAnsi="Calibri" w:cs="Calibri"/>
                <w:color w:val="000000"/>
              </w:rPr>
              <w:t>0.66</w:t>
            </w:r>
          </w:p>
        </w:tc>
      </w:tr>
      <w:tr w:rsidR="00DC2006" w:rsidRPr="004603CC" w14:paraId="3AEA4E8F" w14:textId="77777777" w:rsidTr="00532A7F">
        <w:trPr>
          <w:trHeight w:val="300"/>
        </w:trPr>
        <w:tc>
          <w:tcPr>
            <w:tcW w:w="4113" w:type="dxa"/>
            <w:noWrap/>
            <w:vAlign w:val="center"/>
            <w:hideMark/>
          </w:tcPr>
          <w:p w14:paraId="6A3CC1E5" w14:textId="77777777" w:rsidR="00DC2006" w:rsidRPr="004603CC" w:rsidRDefault="00DC2006" w:rsidP="00532A7F">
            <w:pPr>
              <w:keepNext/>
              <w:keepLines/>
              <w:jc w:val="center"/>
            </w:pPr>
            <w:r w:rsidRPr="004603CC">
              <w:t>Primary + Secondary Deform + Liver</w:t>
            </w:r>
          </w:p>
        </w:tc>
        <w:tc>
          <w:tcPr>
            <w:tcW w:w="1218" w:type="dxa"/>
            <w:noWrap/>
            <w:vAlign w:val="center"/>
            <w:hideMark/>
          </w:tcPr>
          <w:p w14:paraId="37E7627B" w14:textId="77777777" w:rsidR="00DC2006" w:rsidRPr="004603CC" w:rsidRDefault="00DC2006" w:rsidP="00532A7F">
            <w:pPr>
              <w:keepNext/>
              <w:keepLines/>
              <w:jc w:val="center"/>
            </w:pPr>
            <w:r>
              <w:rPr>
                <w:rFonts w:ascii="Calibri" w:hAnsi="Calibri" w:cs="Calibri"/>
                <w:color w:val="000000"/>
              </w:rPr>
              <w:t>70</w:t>
            </w:r>
          </w:p>
        </w:tc>
        <w:tc>
          <w:tcPr>
            <w:tcW w:w="1304" w:type="dxa"/>
            <w:noWrap/>
            <w:vAlign w:val="center"/>
            <w:hideMark/>
          </w:tcPr>
          <w:p w14:paraId="42B9DEED" w14:textId="77777777" w:rsidR="00DC2006" w:rsidRPr="004603CC" w:rsidRDefault="00DC2006" w:rsidP="00532A7F">
            <w:pPr>
              <w:keepNext/>
              <w:keepLines/>
              <w:jc w:val="center"/>
            </w:pPr>
            <w:r>
              <w:rPr>
                <w:rFonts w:ascii="Calibri" w:hAnsi="Calibri" w:cs="Calibri"/>
                <w:color w:val="000000"/>
              </w:rPr>
              <w:t>23</w:t>
            </w:r>
          </w:p>
        </w:tc>
        <w:tc>
          <w:tcPr>
            <w:tcW w:w="1304" w:type="dxa"/>
            <w:noWrap/>
            <w:vAlign w:val="center"/>
            <w:hideMark/>
          </w:tcPr>
          <w:p w14:paraId="6FAA068E" w14:textId="77777777" w:rsidR="00DC2006" w:rsidRPr="004603CC" w:rsidRDefault="00DC2006" w:rsidP="00532A7F">
            <w:pPr>
              <w:keepNext/>
              <w:keepLines/>
              <w:jc w:val="center"/>
            </w:pPr>
            <w:r>
              <w:rPr>
                <w:rFonts w:ascii="Calibri" w:hAnsi="Calibri" w:cs="Calibri"/>
                <w:color w:val="000000"/>
              </w:rPr>
              <w:t>97</w:t>
            </w:r>
          </w:p>
        </w:tc>
        <w:tc>
          <w:tcPr>
            <w:tcW w:w="719" w:type="dxa"/>
            <w:noWrap/>
            <w:vAlign w:val="center"/>
            <w:hideMark/>
          </w:tcPr>
          <w:p w14:paraId="68CA7B55" w14:textId="77777777" w:rsidR="00DC2006" w:rsidRPr="004603CC" w:rsidRDefault="00DC2006" w:rsidP="00532A7F">
            <w:pPr>
              <w:keepNext/>
              <w:keepLines/>
              <w:jc w:val="center"/>
            </w:pPr>
            <w:r>
              <w:rPr>
                <w:rFonts w:ascii="Calibri" w:hAnsi="Calibri" w:cs="Calibri"/>
                <w:color w:val="000000"/>
              </w:rPr>
              <w:t>0.68</w:t>
            </w:r>
          </w:p>
        </w:tc>
      </w:tr>
      <w:tr w:rsidR="00DC2006" w:rsidRPr="004603CC" w14:paraId="360EBD39" w14:textId="77777777" w:rsidTr="00532A7F">
        <w:trPr>
          <w:trHeight w:val="300"/>
        </w:trPr>
        <w:tc>
          <w:tcPr>
            <w:tcW w:w="4113" w:type="dxa"/>
            <w:noWrap/>
            <w:vAlign w:val="center"/>
            <w:hideMark/>
          </w:tcPr>
          <w:p w14:paraId="49D4A641" w14:textId="77777777" w:rsidR="00DC2006" w:rsidRPr="004603CC" w:rsidRDefault="00DC2006" w:rsidP="00532A7F">
            <w:pPr>
              <w:keepNext/>
              <w:keepLines/>
              <w:jc w:val="center"/>
            </w:pPr>
            <w:r w:rsidRPr="004603CC">
              <w:t>Primary + Secondary Deform + GTV</w:t>
            </w:r>
          </w:p>
        </w:tc>
        <w:tc>
          <w:tcPr>
            <w:tcW w:w="1218" w:type="dxa"/>
            <w:noWrap/>
            <w:vAlign w:val="center"/>
            <w:hideMark/>
          </w:tcPr>
          <w:p w14:paraId="7DFAF170" w14:textId="77777777" w:rsidR="00DC2006" w:rsidRPr="004603CC" w:rsidRDefault="00DC2006" w:rsidP="00532A7F">
            <w:pPr>
              <w:keepNext/>
              <w:keepLines/>
              <w:jc w:val="center"/>
            </w:pPr>
            <w:r>
              <w:rPr>
                <w:rFonts w:ascii="Calibri" w:hAnsi="Calibri" w:cs="Calibri"/>
                <w:color w:val="000000"/>
              </w:rPr>
              <w:t>77</w:t>
            </w:r>
          </w:p>
        </w:tc>
        <w:tc>
          <w:tcPr>
            <w:tcW w:w="1304" w:type="dxa"/>
            <w:noWrap/>
            <w:vAlign w:val="center"/>
            <w:hideMark/>
          </w:tcPr>
          <w:p w14:paraId="1F0D501F" w14:textId="77777777" w:rsidR="00DC2006" w:rsidRPr="004603CC" w:rsidRDefault="00DC2006" w:rsidP="00532A7F">
            <w:pPr>
              <w:keepNext/>
              <w:keepLines/>
              <w:jc w:val="center"/>
            </w:pPr>
            <w:r>
              <w:rPr>
                <w:rFonts w:ascii="Calibri" w:hAnsi="Calibri" w:cs="Calibri"/>
                <w:color w:val="000000"/>
              </w:rPr>
              <w:t>55</w:t>
            </w:r>
          </w:p>
        </w:tc>
        <w:tc>
          <w:tcPr>
            <w:tcW w:w="1304" w:type="dxa"/>
            <w:noWrap/>
            <w:vAlign w:val="center"/>
            <w:hideMark/>
          </w:tcPr>
          <w:p w14:paraId="5CC7879B" w14:textId="77777777" w:rsidR="00DC2006" w:rsidRPr="004603CC" w:rsidRDefault="00DC2006" w:rsidP="00532A7F">
            <w:pPr>
              <w:keepNext/>
              <w:keepLines/>
              <w:jc w:val="center"/>
            </w:pPr>
            <w:r>
              <w:rPr>
                <w:rFonts w:ascii="Calibri" w:hAnsi="Calibri" w:cs="Calibri"/>
                <w:color w:val="000000"/>
              </w:rPr>
              <w:t>89</w:t>
            </w:r>
          </w:p>
        </w:tc>
        <w:tc>
          <w:tcPr>
            <w:tcW w:w="719" w:type="dxa"/>
            <w:noWrap/>
            <w:vAlign w:val="center"/>
            <w:hideMark/>
          </w:tcPr>
          <w:p w14:paraId="6DAA370C" w14:textId="77777777" w:rsidR="00DC2006" w:rsidRPr="004603CC" w:rsidRDefault="00DC2006" w:rsidP="00532A7F">
            <w:pPr>
              <w:keepNext/>
              <w:keepLines/>
              <w:jc w:val="center"/>
            </w:pPr>
            <w:r>
              <w:rPr>
                <w:rFonts w:ascii="Calibri" w:hAnsi="Calibri" w:cs="Calibri"/>
                <w:color w:val="000000"/>
              </w:rPr>
              <w:t>0.81</w:t>
            </w:r>
          </w:p>
        </w:tc>
      </w:tr>
      <w:tr w:rsidR="00DC2006" w:rsidRPr="004603CC" w14:paraId="40B69CCA" w14:textId="77777777" w:rsidTr="00532A7F">
        <w:trPr>
          <w:trHeight w:val="300"/>
        </w:trPr>
        <w:tc>
          <w:tcPr>
            <w:tcW w:w="4113" w:type="dxa"/>
            <w:noWrap/>
            <w:vAlign w:val="center"/>
            <w:hideMark/>
          </w:tcPr>
          <w:p w14:paraId="6E7E02E7" w14:textId="77777777" w:rsidR="00DC2006" w:rsidRPr="004603CC" w:rsidRDefault="00DC2006" w:rsidP="00532A7F">
            <w:pPr>
              <w:keepNext/>
              <w:keepLines/>
              <w:jc w:val="center"/>
            </w:pPr>
            <w:r w:rsidRPr="004603CC">
              <w:t>Primary + Secondary Deform + GTV + Liver</w:t>
            </w:r>
          </w:p>
        </w:tc>
        <w:tc>
          <w:tcPr>
            <w:tcW w:w="1218" w:type="dxa"/>
            <w:noWrap/>
            <w:vAlign w:val="center"/>
            <w:hideMark/>
          </w:tcPr>
          <w:p w14:paraId="734257E5" w14:textId="77777777" w:rsidR="00DC2006" w:rsidRPr="004603CC" w:rsidRDefault="00DC2006" w:rsidP="00532A7F">
            <w:pPr>
              <w:keepNext/>
              <w:keepLines/>
              <w:jc w:val="center"/>
            </w:pPr>
            <w:r>
              <w:rPr>
                <w:rFonts w:ascii="Calibri" w:hAnsi="Calibri" w:cs="Calibri"/>
                <w:color w:val="000000"/>
              </w:rPr>
              <w:t>70</w:t>
            </w:r>
          </w:p>
        </w:tc>
        <w:tc>
          <w:tcPr>
            <w:tcW w:w="1304" w:type="dxa"/>
            <w:noWrap/>
            <w:vAlign w:val="center"/>
            <w:hideMark/>
          </w:tcPr>
          <w:p w14:paraId="5332CF52" w14:textId="77777777" w:rsidR="00DC2006" w:rsidRPr="004603CC" w:rsidRDefault="00DC2006" w:rsidP="00532A7F">
            <w:pPr>
              <w:keepNext/>
              <w:keepLines/>
              <w:jc w:val="center"/>
            </w:pPr>
            <w:r>
              <w:rPr>
                <w:rFonts w:ascii="Calibri" w:hAnsi="Calibri" w:cs="Calibri"/>
                <w:color w:val="000000"/>
              </w:rPr>
              <w:t>36</w:t>
            </w:r>
          </w:p>
        </w:tc>
        <w:tc>
          <w:tcPr>
            <w:tcW w:w="1304" w:type="dxa"/>
            <w:noWrap/>
            <w:vAlign w:val="center"/>
            <w:hideMark/>
          </w:tcPr>
          <w:p w14:paraId="5F48629D" w14:textId="77777777" w:rsidR="00DC2006" w:rsidRPr="004603CC" w:rsidRDefault="00DC2006" w:rsidP="00532A7F">
            <w:pPr>
              <w:keepNext/>
              <w:keepLines/>
              <w:jc w:val="center"/>
            </w:pPr>
            <w:r>
              <w:rPr>
                <w:rFonts w:ascii="Calibri" w:hAnsi="Calibri" w:cs="Calibri"/>
                <w:color w:val="000000"/>
              </w:rPr>
              <w:t>89</w:t>
            </w:r>
          </w:p>
        </w:tc>
        <w:tc>
          <w:tcPr>
            <w:tcW w:w="719" w:type="dxa"/>
            <w:noWrap/>
            <w:vAlign w:val="center"/>
            <w:hideMark/>
          </w:tcPr>
          <w:p w14:paraId="76FC1B77" w14:textId="77777777" w:rsidR="00DC2006" w:rsidRPr="004603CC" w:rsidRDefault="00DC2006" w:rsidP="00532A7F">
            <w:pPr>
              <w:keepNext/>
              <w:keepLines/>
              <w:jc w:val="center"/>
            </w:pPr>
            <w:r>
              <w:rPr>
                <w:rFonts w:ascii="Calibri" w:hAnsi="Calibri" w:cs="Calibri"/>
                <w:color w:val="000000"/>
              </w:rPr>
              <w:t>0.78</w:t>
            </w:r>
          </w:p>
        </w:tc>
      </w:tr>
      <w:tr w:rsidR="00DC2006" w:rsidRPr="004603CC" w14:paraId="030FFA51" w14:textId="77777777" w:rsidTr="00532A7F">
        <w:trPr>
          <w:trHeight w:val="300"/>
        </w:trPr>
        <w:tc>
          <w:tcPr>
            <w:tcW w:w="4113" w:type="dxa"/>
            <w:noWrap/>
            <w:vAlign w:val="center"/>
            <w:hideMark/>
          </w:tcPr>
          <w:p w14:paraId="38A9D543" w14:textId="77777777" w:rsidR="00DC2006" w:rsidRPr="004603CC" w:rsidRDefault="00DC2006" w:rsidP="00532A7F">
            <w:pPr>
              <w:keepNext/>
              <w:keepLines/>
              <w:jc w:val="center"/>
            </w:pPr>
            <w:r w:rsidRPr="004603CC">
              <w:t>Primary + Secondary Rigid</w:t>
            </w:r>
          </w:p>
        </w:tc>
        <w:tc>
          <w:tcPr>
            <w:tcW w:w="1218" w:type="dxa"/>
            <w:noWrap/>
            <w:vAlign w:val="center"/>
            <w:hideMark/>
          </w:tcPr>
          <w:p w14:paraId="66674A0C" w14:textId="77777777" w:rsidR="00DC2006" w:rsidRPr="004603CC" w:rsidRDefault="00DC2006" w:rsidP="00532A7F">
            <w:pPr>
              <w:keepNext/>
              <w:keepLines/>
              <w:jc w:val="center"/>
            </w:pPr>
            <w:r>
              <w:rPr>
                <w:rFonts w:ascii="Calibri" w:hAnsi="Calibri" w:cs="Calibri"/>
                <w:color w:val="000000"/>
              </w:rPr>
              <w:t>63</w:t>
            </w:r>
          </w:p>
        </w:tc>
        <w:tc>
          <w:tcPr>
            <w:tcW w:w="1304" w:type="dxa"/>
            <w:noWrap/>
            <w:vAlign w:val="center"/>
            <w:hideMark/>
          </w:tcPr>
          <w:p w14:paraId="23909EFB" w14:textId="77777777" w:rsidR="00DC2006" w:rsidRPr="004603CC" w:rsidRDefault="00DC2006" w:rsidP="00532A7F">
            <w:pPr>
              <w:keepNext/>
              <w:keepLines/>
              <w:jc w:val="center"/>
            </w:pPr>
            <w:r>
              <w:rPr>
                <w:rFonts w:ascii="Calibri" w:hAnsi="Calibri" w:cs="Calibri"/>
                <w:color w:val="000000"/>
              </w:rPr>
              <w:t>0</w:t>
            </w:r>
          </w:p>
        </w:tc>
        <w:tc>
          <w:tcPr>
            <w:tcW w:w="1304" w:type="dxa"/>
            <w:noWrap/>
            <w:vAlign w:val="center"/>
            <w:hideMark/>
          </w:tcPr>
          <w:p w14:paraId="7E2FB6E1" w14:textId="77777777" w:rsidR="00DC2006" w:rsidRPr="004603CC" w:rsidRDefault="00DC2006" w:rsidP="00532A7F">
            <w:pPr>
              <w:keepNext/>
              <w:keepLines/>
              <w:jc w:val="center"/>
            </w:pPr>
            <w:r>
              <w:rPr>
                <w:rFonts w:ascii="Calibri" w:hAnsi="Calibri" w:cs="Calibri"/>
                <w:color w:val="000000"/>
              </w:rPr>
              <w:t>100</w:t>
            </w:r>
          </w:p>
        </w:tc>
        <w:tc>
          <w:tcPr>
            <w:tcW w:w="719" w:type="dxa"/>
            <w:noWrap/>
            <w:vAlign w:val="center"/>
            <w:hideMark/>
          </w:tcPr>
          <w:p w14:paraId="0787E2AF" w14:textId="77777777" w:rsidR="00DC2006" w:rsidRPr="004603CC" w:rsidRDefault="00DC2006" w:rsidP="00532A7F">
            <w:pPr>
              <w:keepNext/>
              <w:keepLines/>
              <w:jc w:val="center"/>
            </w:pPr>
            <w:r>
              <w:rPr>
                <w:rFonts w:ascii="Calibri" w:hAnsi="Calibri" w:cs="Calibri"/>
                <w:color w:val="000000"/>
              </w:rPr>
              <w:t>0.66</w:t>
            </w:r>
          </w:p>
        </w:tc>
      </w:tr>
      <w:tr w:rsidR="00DC2006" w:rsidRPr="004603CC" w14:paraId="3C9BDC82" w14:textId="77777777" w:rsidTr="00532A7F">
        <w:trPr>
          <w:trHeight w:val="300"/>
        </w:trPr>
        <w:tc>
          <w:tcPr>
            <w:tcW w:w="4113" w:type="dxa"/>
            <w:noWrap/>
            <w:vAlign w:val="center"/>
            <w:hideMark/>
          </w:tcPr>
          <w:p w14:paraId="1702A562" w14:textId="77777777" w:rsidR="00DC2006" w:rsidRPr="004603CC" w:rsidRDefault="00DC2006" w:rsidP="00532A7F">
            <w:pPr>
              <w:keepNext/>
              <w:keepLines/>
              <w:jc w:val="center"/>
            </w:pPr>
            <w:r w:rsidRPr="004603CC">
              <w:t>Primary + Secondary Rigid + Liver</w:t>
            </w:r>
          </w:p>
        </w:tc>
        <w:tc>
          <w:tcPr>
            <w:tcW w:w="1218" w:type="dxa"/>
            <w:noWrap/>
            <w:vAlign w:val="center"/>
            <w:hideMark/>
          </w:tcPr>
          <w:p w14:paraId="5B8F5DAB" w14:textId="77777777" w:rsidR="00DC2006" w:rsidRPr="004603CC" w:rsidRDefault="00DC2006" w:rsidP="00532A7F">
            <w:pPr>
              <w:keepNext/>
              <w:keepLines/>
              <w:jc w:val="center"/>
            </w:pPr>
            <w:r>
              <w:rPr>
                <w:rFonts w:ascii="Calibri" w:hAnsi="Calibri" w:cs="Calibri"/>
                <w:color w:val="000000"/>
              </w:rPr>
              <w:t>67</w:t>
            </w:r>
          </w:p>
        </w:tc>
        <w:tc>
          <w:tcPr>
            <w:tcW w:w="1304" w:type="dxa"/>
            <w:noWrap/>
            <w:vAlign w:val="center"/>
            <w:hideMark/>
          </w:tcPr>
          <w:p w14:paraId="26095B63" w14:textId="77777777" w:rsidR="00DC2006" w:rsidRPr="004603CC" w:rsidRDefault="00DC2006" w:rsidP="00532A7F">
            <w:pPr>
              <w:keepNext/>
              <w:keepLines/>
              <w:jc w:val="center"/>
            </w:pPr>
            <w:r>
              <w:rPr>
                <w:rFonts w:ascii="Calibri" w:hAnsi="Calibri" w:cs="Calibri"/>
                <w:color w:val="000000"/>
              </w:rPr>
              <w:t>32</w:t>
            </w:r>
          </w:p>
        </w:tc>
        <w:tc>
          <w:tcPr>
            <w:tcW w:w="1304" w:type="dxa"/>
            <w:noWrap/>
            <w:vAlign w:val="center"/>
            <w:hideMark/>
          </w:tcPr>
          <w:p w14:paraId="5003BEE1" w14:textId="77777777" w:rsidR="00DC2006" w:rsidRPr="004603CC" w:rsidRDefault="00DC2006" w:rsidP="00532A7F">
            <w:pPr>
              <w:keepNext/>
              <w:keepLines/>
              <w:jc w:val="center"/>
            </w:pPr>
            <w:r>
              <w:rPr>
                <w:rFonts w:ascii="Calibri" w:hAnsi="Calibri" w:cs="Calibri"/>
                <w:color w:val="000000"/>
              </w:rPr>
              <w:t>87</w:t>
            </w:r>
          </w:p>
        </w:tc>
        <w:tc>
          <w:tcPr>
            <w:tcW w:w="719" w:type="dxa"/>
            <w:noWrap/>
            <w:vAlign w:val="center"/>
            <w:hideMark/>
          </w:tcPr>
          <w:p w14:paraId="3ABE9661" w14:textId="77777777" w:rsidR="00DC2006" w:rsidRPr="004603CC" w:rsidRDefault="00DC2006" w:rsidP="00532A7F">
            <w:pPr>
              <w:keepNext/>
              <w:keepLines/>
              <w:jc w:val="center"/>
            </w:pPr>
            <w:r>
              <w:rPr>
                <w:rFonts w:ascii="Calibri" w:hAnsi="Calibri" w:cs="Calibri"/>
                <w:color w:val="000000"/>
              </w:rPr>
              <w:t>0.66</w:t>
            </w:r>
          </w:p>
        </w:tc>
      </w:tr>
      <w:tr w:rsidR="00DC2006" w:rsidRPr="004603CC" w14:paraId="49643985" w14:textId="77777777" w:rsidTr="00532A7F">
        <w:trPr>
          <w:trHeight w:val="300"/>
        </w:trPr>
        <w:tc>
          <w:tcPr>
            <w:tcW w:w="4113" w:type="dxa"/>
            <w:noWrap/>
            <w:vAlign w:val="center"/>
            <w:hideMark/>
          </w:tcPr>
          <w:p w14:paraId="426735D4" w14:textId="77777777" w:rsidR="00DC2006" w:rsidRPr="004603CC" w:rsidRDefault="00DC2006" w:rsidP="00532A7F">
            <w:pPr>
              <w:keepNext/>
              <w:keepLines/>
              <w:jc w:val="center"/>
            </w:pPr>
            <w:r w:rsidRPr="004603CC">
              <w:t>Primary + Secondary Rigid + GTV</w:t>
            </w:r>
          </w:p>
        </w:tc>
        <w:tc>
          <w:tcPr>
            <w:tcW w:w="1218" w:type="dxa"/>
            <w:noWrap/>
            <w:vAlign w:val="center"/>
            <w:hideMark/>
          </w:tcPr>
          <w:p w14:paraId="0C88CE40" w14:textId="77777777" w:rsidR="00DC2006" w:rsidRPr="004603CC" w:rsidRDefault="00DC2006" w:rsidP="00532A7F">
            <w:pPr>
              <w:keepNext/>
              <w:keepLines/>
              <w:jc w:val="center"/>
            </w:pPr>
            <w:r>
              <w:rPr>
                <w:rFonts w:ascii="Calibri" w:hAnsi="Calibri" w:cs="Calibri"/>
                <w:color w:val="000000"/>
              </w:rPr>
              <w:t>72</w:t>
            </w:r>
          </w:p>
        </w:tc>
        <w:tc>
          <w:tcPr>
            <w:tcW w:w="1304" w:type="dxa"/>
            <w:noWrap/>
            <w:vAlign w:val="center"/>
            <w:hideMark/>
          </w:tcPr>
          <w:p w14:paraId="775D249E" w14:textId="77777777" w:rsidR="00DC2006" w:rsidRPr="004603CC" w:rsidRDefault="00DC2006" w:rsidP="00532A7F">
            <w:pPr>
              <w:keepNext/>
              <w:keepLines/>
              <w:jc w:val="center"/>
            </w:pPr>
            <w:r>
              <w:rPr>
                <w:rFonts w:ascii="Calibri" w:hAnsi="Calibri" w:cs="Calibri"/>
                <w:color w:val="000000"/>
              </w:rPr>
              <w:t>32</w:t>
            </w:r>
          </w:p>
        </w:tc>
        <w:tc>
          <w:tcPr>
            <w:tcW w:w="1304" w:type="dxa"/>
            <w:noWrap/>
            <w:vAlign w:val="center"/>
            <w:hideMark/>
          </w:tcPr>
          <w:p w14:paraId="4B52CA84" w14:textId="77777777" w:rsidR="00DC2006" w:rsidRPr="004603CC" w:rsidRDefault="00DC2006" w:rsidP="00532A7F">
            <w:pPr>
              <w:keepNext/>
              <w:keepLines/>
              <w:jc w:val="center"/>
            </w:pPr>
            <w:r>
              <w:rPr>
                <w:rFonts w:ascii="Calibri" w:hAnsi="Calibri" w:cs="Calibri"/>
                <w:color w:val="000000"/>
              </w:rPr>
              <w:t>95</w:t>
            </w:r>
          </w:p>
        </w:tc>
        <w:tc>
          <w:tcPr>
            <w:tcW w:w="719" w:type="dxa"/>
            <w:noWrap/>
            <w:vAlign w:val="center"/>
            <w:hideMark/>
          </w:tcPr>
          <w:p w14:paraId="42301361" w14:textId="77777777" w:rsidR="00DC2006" w:rsidRPr="004603CC" w:rsidRDefault="00DC2006" w:rsidP="00532A7F">
            <w:pPr>
              <w:keepNext/>
              <w:keepLines/>
              <w:jc w:val="center"/>
            </w:pPr>
            <w:r>
              <w:rPr>
                <w:rFonts w:ascii="Calibri" w:hAnsi="Calibri" w:cs="Calibri"/>
                <w:color w:val="000000"/>
              </w:rPr>
              <w:t>0.72</w:t>
            </w:r>
          </w:p>
        </w:tc>
      </w:tr>
      <w:tr w:rsidR="00DC2006" w:rsidRPr="004603CC" w14:paraId="6C8F0BF4" w14:textId="77777777" w:rsidTr="00532A7F">
        <w:trPr>
          <w:trHeight w:val="300"/>
        </w:trPr>
        <w:tc>
          <w:tcPr>
            <w:tcW w:w="4113" w:type="dxa"/>
            <w:noWrap/>
            <w:vAlign w:val="center"/>
            <w:hideMark/>
          </w:tcPr>
          <w:p w14:paraId="24FF6F85" w14:textId="77777777" w:rsidR="00DC2006" w:rsidRPr="004603CC" w:rsidRDefault="00DC2006" w:rsidP="00532A7F">
            <w:pPr>
              <w:keepNext/>
              <w:keepLines/>
              <w:jc w:val="center"/>
            </w:pPr>
            <w:r w:rsidRPr="004603CC">
              <w:t>Primary + Secondary Rigid + GTV + Liver</w:t>
            </w:r>
          </w:p>
        </w:tc>
        <w:tc>
          <w:tcPr>
            <w:tcW w:w="1218" w:type="dxa"/>
            <w:noWrap/>
            <w:vAlign w:val="center"/>
            <w:hideMark/>
          </w:tcPr>
          <w:p w14:paraId="766610BD" w14:textId="77777777" w:rsidR="00DC2006" w:rsidRPr="004603CC" w:rsidRDefault="00DC2006" w:rsidP="00532A7F">
            <w:pPr>
              <w:keepNext/>
              <w:keepLines/>
              <w:jc w:val="center"/>
            </w:pPr>
            <w:r>
              <w:rPr>
                <w:rFonts w:ascii="Calibri" w:hAnsi="Calibri" w:cs="Calibri"/>
                <w:color w:val="000000"/>
              </w:rPr>
              <w:t>67</w:t>
            </w:r>
          </w:p>
        </w:tc>
        <w:tc>
          <w:tcPr>
            <w:tcW w:w="1304" w:type="dxa"/>
            <w:noWrap/>
            <w:vAlign w:val="center"/>
            <w:hideMark/>
          </w:tcPr>
          <w:p w14:paraId="449D112E" w14:textId="77777777" w:rsidR="00DC2006" w:rsidRPr="004603CC" w:rsidRDefault="00DC2006" w:rsidP="00532A7F">
            <w:pPr>
              <w:keepNext/>
              <w:keepLines/>
              <w:jc w:val="center"/>
            </w:pPr>
            <w:r>
              <w:rPr>
                <w:rFonts w:ascii="Calibri" w:hAnsi="Calibri" w:cs="Calibri"/>
                <w:color w:val="000000"/>
              </w:rPr>
              <w:t>23</w:t>
            </w:r>
          </w:p>
        </w:tc>
        <w:tc>
          <w:tcPr>
            <w:tcW w:w="1304" w:type="dxa"/>
            <w:noWrap/>
            <w:vAlign w:val="center"/>
            <w:hideMark/>
          </w:tcPr>
          <w:p w14:paraId="58A8E88D" w14:textId="77777777" w:rsidR="00DC2006" w:rsidRPr="004603CC" w:rsidRDefault="00DC2006" w:rsidP="00532A7F">
            <w:pPr>
              <w:keepNext/>
              <w:keepLines/>
              <w:jc w:val="center"/>
            </w:pPr>
            <w:r>
              <w:rPr>
                <w:rFonts w:ascii="Calibri" w:hAnsi="Calibri" w:cs="Calibri"/>
                <w:color w:val="000000"/>
              </w:rPr>
              <w:t>92</w:t>
            </w:r>
          </w:p>
        </w:tc>
        <w:tc>
          <w:tcPr>
            <w:tcW w:w="719" w:type="dxa"/>
            <w:noWrap/>
            <w:vAlign w:val="center"/>
            <w:hideMark/>
          </w:tcPr>
          <w:p w14:paraId="62EE5711" w14:textId="77777777" w:rsidR="00DC2006" w:rsidRPr="004603CC" w:rsidRDefault="00DC2006" w:rsidP="00532A7F">
            <w:pPr>
              <w:keepNext/>
              <w:keepLines/>
              <w:jc w:val="center"/>
            </w:pPr>
            <w:r>
              <w:rPr>
                <w:rFonts w:ascii="Calibri" w:hAnsi="Calibri" w:cs="Calibri"/>
                <w:color w:val="000000"/>
              </w:rPr>
              <w:t>0.75</w:t>
            </w:r>
          </w:p>
        </w:tc>
      </w:tr>
    </w:tbl>
    <w:p w14:paraId="46CA753E" w14:textId="77777777" w:rsidR="00DC2006" w:rsidRDefault="00DC2006" w:rsidP="00DC2006">
      <w:r>
        <w:t xml:space="preserve">With the deformable registered images, increasing the information presented to the model raised the overall performance from just the pre-treatment and post-treatment images (AUC=0.66) to both images and disease segmentation (AUC 0.81). Adding the liver to the deformed images and disease segmentation had a small decrease in AUC. The received operating characteristic (ROC) lines for the individual data presentation methods of pre-treatment and deformed post-treatment images are shown in </w:t>
      </w:r>
      <w:r>
        <w:fldChar w:fldCharType="begin"/>
      </w:r>
      <w:r>
        <w:instrText xml:space="preserve"> REF _Ref68008586 \h </w:instrText>
      </w:r>
      <w:r>
        <w:fldChar w:fldCharType="separate"/>
      </w:r>
      <w:r>
        <w:t xml:space="preserve">Figure </w:t>
      </w:r>
      <w:r>
        <w:rPr>
          <w:noProof/>
        </w:rPr>
        <w:t>72</w:t>
      </w:r>
      <w:r>
        <w:fldChar w:fldCharType="end"/>
      </w:r>
      <w:r>
        <w:t>.</w:t>
      </w:r>
    </w:p>
    <w:p w14:paraId="6000B10D" w14:textId="251A0274" w:rsidR="00DC2006" w:rsidRDefault="00DC2006" w:rsidP="00DC2006">
      <w:pPr>
        <w:keepNext/>
      </w:pPr>
      <w:r w:rsidRPr="00B522D6">
        <w:rPr>
          <w:noProof/>
        </w:rPr>
        <w:lastRenderedPageBreak/>
        <w:drawing>
          <wp:inline distT="0" distB="0" distL="0" distR="0" wp14:anchorId="28C9C0D0" wp14:editId="1812D249">
            <wp:extent cx="58483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4576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8350" cy="3114675"/>
                    </a:xfrm>
                    <a:prstGeom prst="rect">
                      <a:avLst/>
                    </a:prstGeom>
                    <a:noFill/>
                    <a:ln>
                      <a:noFill/>
                    </a:ln>
                  </pic:spPr>
                </pic:pic>
              </a:graphicData>
            </a:graphic>
          </wp:inline>
        </w:drawing>
      </w:r>
    </w:p>
    <w:p w14:paraId="15951E49" w14:textId="77777777" w:rsidR="00DC2006" w:rsidRDefault="00DC2006" w:rsidP="00DC2006">
      <w:pPr>
        <w:pStyle w:val="Caption"/>
      </w:pPr>
      <w:bookmarkStart w:id="20" w:name="_Ref68008586"/>
      <w:bookmarkStart w:id="21" w:name="_Toc68787912"/>
      <w:r>
        <w:t xml:space="preserve">Figure </w:t>
      </w:r>
      <w:r>
        <w:fldChar w:fldCharType="begin"/>
      </w:r>
      <w:r>
        <w:instrText xml:space="preserve"> SEQ Figure \* ARABIC </w:instrText>
      </w:r>
      <w:r>
        <w:fldChar w:fldCharType="separate"/>
      </w:r>
      <w:r>
        <w:rPr>
          <w:noProof/>
        </w:rPr>
        <w:t>72</w:t>
      </w:r>
      <w:r>
        <w:fldChar w:fldCharType="end"/>
      </w:r>
      <w:bookmarkEnd w:id="20"/>
      <w:r>
        <w:t>: Receiver operating characteristic lines for each presentation of pre-treatment and deformable registered post-treatment data to the model. Area under the curve (AUC) recorded in legend.</w:t>
      </w:r>
      <w:bookmarkEnd w:id="21"/>
    </w:p>
    <w:p w14:paraId="14B792D7" w14:textId="77777777" w:rsidR="00DC2006" w:rsidRDefault="00DC2006" w:rsidP="00DC2006">
      <w:r>
        <w:t xml:space="preserve">With the rigidly registered images, increasing the information presented to the model raised the overall performance from just the pre-treatment and post-treatment images (AUC=0.66) to both images, disease and liver segmentation (AUC 0.75). Adding the liver to the images had no increase in AUC, while adding the disease increased AUC to 0.72, and liver plus disease to 0.75 and disease segmentation had a small decrease in AUC. </w:t>
      </w:r>
      <w:r w:rsidRPr="009B6A81">
        <w:t xml:space="preserve"> </w:t>
      </w:r>
      <w:r>
        <w:t xml:space="preserve">The received operating characteristic (ROC) lines for the individual data presentation methods of pre-treatment and rigidly registered post-treatment images are shown in </w:t>
      </w:r>
      <w:r>
        <w:fldChar w:fldCharType="begin"/>
      </w:r>
      <w:r>
        <w:instrText xml:space="preserve"> REF _Ref68009430 \h </w:instrText>
      </w:r>
      <w:r>
        <w:fldChar w:fldCharType="separate"/>
      </w:r>
      <w:r>
        <w:t xml:space="preserve">Figure </w:t>
      </w:r>
      <w:r>
        <w:rPr>
          <w:noProof/>
        </w:rPr>
        <w:t>73</w:t>
      </w:r>
      <w:r>
        <w:fldChar w:fldCharType="end"/>
      </w:r>
      <w:r>
        <w:t>.</w:t>
      </w:r>
    </w:p>
    <w:p w14:paraId="6188FE0C" w14:textId="70C04C25" w:rsidR="00DC2006" w:rsidRDefault="00DC2006" w:rsidP="00DC2006">
      <w:pPr>
        <w:keepNext/>
      </w:pPr>
      <w:r w:rsidRPr="00B522D6">
        <w:rPr>
          <w:noProof/>
        </w:rPr>
        <w:lastRenderedPageBreak/>
        <w:drawing>
          <wp:inline distT="0" distB="0" distL="0" distR="0" wp14:anchorId="5EF6AC39" wp14:editId="32C2A853">
            <wp:extent cx="581977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4576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9775" cy="3124200"/>
                    </a:xfrm>
                    <a:prstGeom prst="rect">
                      <a:avLst/>
                    </a:prstGeom>
                    <a:noFill/>
                    <a:ln>
                      <a:noFill/>
                    </a:ln>
                  </pic:spPr>
                </pic:pic>
              </a:graphicData>
            </a:graphic>
          </wp:inline>
        </w:drawing>
      </w:r>
    </w:p>
    <w:p w14:paraId="5F86F82F" w14:textId="77777777" w:rsidR="00DC2006" w:rsidRPr="00B54FFA" w:rsidRDefault="00DC2006" w:rsidP="00DC2006">
      <w:pPr>
        <w:pStyle w:val="Caption"/>
      </w:pPr>
      <w:bookmarkStart w:id="22" w:name="_Ref68009430"/>
      <w:bookmarkStart w:id="23" w:name="_Toc68787913"/>
      <w:r>
        <w:t xml:space="preserve">Figure </w:t>
      </w:r>
      <w:r>
        <w:fldChar w:fldCharType="begin"/>
      </w:r>
      <w:r>
        <w:instrText xml:space="preserve"> SEQ Figure \* ARABIC </w:instrText>
      </w:r>
      <w:r>
        <w:fldChar w:fldCharType="separate"/>
      </w:r>
      <w:r>
        <w:rPr>
          <w:noProof/>
        </w:rPr>
        <w:t>73</w:t>
      </w:r>
      <w:r>
        <w:fldChar w:fldCharType="end"/>
      </w:r>
      <w:bookmarkEnd w:id="22"/>
      <w:r>
        <w:t>:</w:t>
      </w:r>
      <w:r w:rsidRPr="009B6A81">
        <w:t xml:space="preserve"> </w:t>
      </w:r>
      <w:r>
        <w:t>Receiver operating characteristic lines for each presentation of pre-treatment and rigidly registered post-treatment data to the model. Area under the curve (AUC) recorded in legend.</w:t>
      </w:r>
      <w:bookmarkEnd w:id="23"/>
    </w:p>
    <w:p w14:paraId="57EC1D82" w14:textId="77777777" w:rsidR="00DC2006" w:rsidRDefault="00DC2006" w:rsidP="00DC2006">
      <w:pPr>
        <w:pStyle w:val="Heading3"/>
      </w:pPr>
      <w:bookmarkStart w:id="24" w:name="_Toc68787822"/>
      <w:r>
        <w:t>Qualitative</w:t>
      </w:r>
      <w:bookmarkEnd w:id="24"/>
    </w:p>
    <w:p w14:paraId="1834D66D" w14:textId="77777777" w:rsidR="00DC2006" w:rsidRDefault="00DC2006" w:rsidP="00DC2006">
      <w:r>
        <w:t xml:space="preserve">Qualitative visualization of the integrated gradients (IG) varied across models and sites. We used visualizations of the IG to qualitatively identify if the model was focusing on aspects of the image relevant to the PTA procedure. For example, in </w:t>
      </w:r>
      <w:r>
        <w:fldChar w:fldCharType="begin"/>
      </w:r>
      <w:r>
        <w:instrText xml:space="preserve"> REF _Ref66967105 \h </w:instrText>
      </w:r>
      <w:r>
        <w:fldChar w:fldCharType="separate"/>
      </w:r>
      <w:r>
        <w:t xml:space="preserve">Figure </w:t>
      </w:r>
      <w:r>
        <w:rPr>
          <w:noProof/>
        </w:rPr>
        <w:t>74</w:t>
      </w:r>
      <w:r>
        <w:fldChar w:fldCharType="end"/>
      </w:r>
      <w:r>
        <w:t>, the model was presented the pre-treatment image, rigidly registered post-treatment image, and the contours of the liver and disease. Visualizing the IG, the model appears to be most focusing on regions overlapping between the ribs and lung, an artifact of the rigid registration, rather than near the disease site. This would lead us to believe that the model’s prediction were based on aspects outside of what would we consider useful in the decision process for this case.</w:t>
      </w:r>
    </w:p>
    <w:p w14:paraId="3E12D10A" w14:textId="0B907770" w:rsidR="00DC2006" w:rsidRDefault="00DC2006" w:rsidP="00DC2006">
      <w:pPr>
        <w:keepNext/>
      </w:pPr>
      <w:r w:rsidRPr="00B522D6">
        <w:rPr>
          <w:noProof/>
        </w:rPr>
        <w:drawing>
          <wp:inline distT="0" distB="0" distL="0" distR="0" wp14:anchorId="3839FD8B" wp14:editId="41B9AF8C">
            <wp:extent cx="1200150" cy="5857875"/>
            <wp:effectExtent l="0" t="476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1200150" cy="5857875"/>
                    </a:xfrm>
                    <a:prstGeom prst="rect">
                      <a:avLst/>
                    </a:prstGeom>
                    <a:noFill/>
                    <a:ln>
                      <a:noFill/>
                    </a:ln>
                  </pic:spPr>
                </pic:pic>
              </a:graphicData>
            </a:graphic>
          </wp:inline>
        </w:drawing>
      </w:r>
    </w:p>
    <w:p w14:paraId="72EA445F" w14:textId="77777777" w:rsidR="00DC2006" w:rsidRDefault="00DC2006" w:rsidP="00DC2006">
      <w:pPr>
        <w:pStyle w:val="Caption"/>
      </w:pPr>
      <w:bookmarkStart w:id="25" w:name="_Ref66967105"/>
      <w:bookmarkStart w:id="26" w:name="_Toc68787914"/>
      <w:r>
        <w:t xml:space="preserve">Figure </w:t>
      </w:r>
      <w:r>
        <w:fldChar w:fldCharType="begin"/>
      </w:r>
      <w:r>
        <w:instrText xml:space="preserve"> SEQ Figure \* ARABIC </w:instrText>
      </w:r>
      <w:r>
        <w:fldChar w:fldCharType="separate"/>
      </w:r>
      <w:r>
        <w:rPr>
          <w:noProof/>
        </w:rPr>
        <w:t>74</w:t>
      </w:r>
      <w:r>
        <w:fldChar w:fldCharType="end"/>
      </w:r>
      <w:bookmarkEnd w:id="25"/>
      <w:r>
        <w:t>: Overlapping heat map from Integrated Gradients on a progression case. Images (from left to right) are Pre-treatment CT, rigidly registered post-treatment CT, pre-treatment liver, disease, and post-treatment liver. Note that disease is blank, as the disease is not present in these slices. However, the IG show importance was heavily weighted to an area far from the disease.</w:t>
      </w:r>
      <w:bookmarkEnd w:id="26"/>
    </w:p>
    <w:p w14:paraId="204DE541" w14:textId="77777777" w:rsidR="00DC2006" w:rsidRPr="00AD0BED" w:rsidRDefault="00DC2006" w:rsidP="00DC2006">
      <w:pPr>
        <w:pStyle w:val="Heading2"/>
        <w:rPr>
          <w:rFonts w:asciiTheme="minorHAnsi" w:hAnsiTheme="minorHAnsi"/>
        </w:rPr>
      </w:pPr>
      <w:bookmarkStart w:id="27" w:name="_Toc68787823"/>
      <w:r w:rsidRPr="00AD0BED">
        <w:rPr>
          <w:rFonts w:asciiTheme="minorHAnsi" w:hAnsiTheme="minorHAnsi"/>
        </w:rPr>
        <w:t>Discussion</w:t>
      </w:r>
      <w:bookmarkEnd w:id="27"/>
    </w:p>
    <w:p w14:paraId="6760A216" w14:textId="77777777" w:rsidR="00DC2006" w:rsidRDefault="00DC2006" w:rsidP="00DC2006">
      <w:r>
        <w:t xml:space="preserve">Across all eight models there appears to be a similar relationship to the AUC as different data is presented. The presentation of the images alone for both rigid and deformable perform equally poorly, with an AUC of 0.66. We believe this is due to the model being presented with a relatively large search space without guidance on the important aspects of the image, and that the limited overall training data </w:t>
      </w:r>
      <w:r>
        <w:lastRenderedPageBreak/>
        <w:t>does not facilitate sufficient examples before overfitting occurs. Adding the information of the liver segmentation provides minimum improvement to the deformable registration model and none to the rigid registration model, likely due to the fact that the data is centered on the disease within the liver already, simply providing the liver contour doesn’t inform the model much on important aspects. In addition, it may distract the model since the entire liver boundary is not consistently presented in all of the cases, causing additional random variability within the training set.</w:t>
      </w:r>
    </w:p>
    <w:p w14:paraId="01371E08" w14:textId="77777777" w:rsidR="00DC2006" w:rsidRDefault="00DC2006" w:rsidP="00DC2006">
      <w:r>
        <w:t>Both models show a marked improvement when adding the segmentation of the disease information, from 0.66 to 0.81 with deformable registration model, and from 0.66 to 0.72 with rigid registration. We believe that this information helps the model to focus more closely on what is important, being the disease and the corresponding ablation zone between the two images.</w:t>
      </w:r>
    </w:p>
    <w:p w14:paraId="3A87CBEF" w14:textId="77777777" w:rsidR="00DC2006" w:rsidRDefault="00DC2006" w:rsidP="00DC2006">
      <w:r>
        <w:t xml:space="preserve">With the deformable registration model, adding the liver and disease segmentations caused a slight decrease in performance. We believe that this is due to the fact that the liver contour is not providing substantial new information in the deformed model, as the two livers are already deformed to each other. Visualization of the IG shows that the model sometimes focuses on the boundary edge of the liver contour, rather than the disease segmentation, </w:t>
      </w:r>
      <w:r>
        <w:fldChar w:fldCharType="begin"/>
      </w:r>
      <w:r>
        <w:instrText xml:space="preserve"> REF _Ref68084039 \h </w:instrText>
      </w:r>
      <w:r>
        <w:fldChar w:fldCharType="separate"/>
      </w:r>
      <w:r>
        <w:t xml:space="preserve">Figure </w:t>
      </w:r>
      <w:r>
        <w:rPr>
          <w:noProof/>
        </w:rPr>
        <w:t>75</w:t>
      </w:r>
      <w:r>
        <w:fldChar w:fldCharType="end"/>
      </w:r>
      <w:r>
        <w:t xml:space="preserve">. </w:t>
      </w:r>
    </w:p>
    <w:p w14:paraId="06A75E0E" w14:textId="5DDF41AC" w:rsidR="00DC2006" w:rsidRDefault="00DC2006" w:rsidP="00DC2006">
      <w:pPr>
        <w:keepNext/>
      </w:pPr>
      <w:r w:rsidRPr="00B522D6">
        <w:rPr>
          <w:noProof/>
        </w:rPr>
        <w:drawing>
          <wp:inline distT="0" distB="0" distL="0" distR="0" wp14:anchorId="23C09A7C" wp14:editId="329A208B">
            <wp:extent cx="1495425" cy="5943600"/>
            <wp:effectExtent l="4763"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r="2771" b="20235"/>
                    <a:stretch>
                      <a:fillRect/>
                    </a:stretch>
                  </pic:blipFill>
                  <pic:spPr bwMode="auto">
                    <a:xfrm rot="-5400000">
                      <a:off x="0" y="0"/>
                      <a:ext cx="1495425" cy="5943600"/>
                    </a:xfrm>
                    <a:prstGeom prst="rect">
                      <a:avLst/>
                    </a:prstGeom>
                    <a:noFill/>
                    <a:ln>
                      <a:noFill/>
                    </a:ln>
                  </pic:spPr>
                </pic:pic>
              </a:graphicData>
            </a:graphic>
          </wp:inline>
        </w:drawing>
      </w:r>
    </w:p>
    <w:p w14:paraId="5DCFEFF0" w14:textId="77777777" w:rsidR="00DC2006" w:rsidRDefault="00DC2006" w:rsidP="00DC2006">
      <w:pPr>
        <w:pStyle w:val="Caption"/>
      </w:pPr>
      <w:bookmarkStart w:id="28" w:name="_Ref68084039"/>
      <w:bookmarkStart w:id="29" w:name="_Toc68787915"/>
      <w:r>
        <w:t xml:space="preserve">Figure </w:t>
      </w:r>
      <w:r>
        <w:fldChar w:fldCharType="begin"/>
      </w:r>
      <w:r>
        <w:instrText xml:space="preserve"> SEQ Figure \* ARABIC </w:instrText>
      </w:r>
      <w:r>
        <w:fldChar w:fldCharType="separate"/>
      </w:r>
      <w:r>
        <w:rPr>
          <w:noProof/>
        </w:rPr>
        <w:t>75</w:t>
      </w:r>
      <w:r>
        <w:fldChar w:fldCharType="end"/>
      </w:r>
      <w:bookmarkEnd w:id="28"/>
      <w:r>
        <w:t>: Overlay of the integrated gradients onto images presented to the deformable model. From the left, the pre-treatment CT, post-treatment CT, liver contour, and disease. Note that the IG are focusing on the boundary of the liver contour in the top right corner and not the disease.</w:t>
      </w:r>
      <w:bookmarkEnd w:id="29"/>
    </w:p>
    <w:p w14:paraId="0D34B484" w14:textId="77777777" w:rsidR="00DC2006" w:rsidRDefault="00DC2006" w:rsidP="00DC2006">
      <w:r>
        <w:t>In the rigid model, adding the liver with the disease contour provided a slight increase in AUC, we speculate this is because the registration is not perfect in the presence of deformation, and the liver contours help orient the model slightly. Despite this increase in AUC, the rigid model’s best AUC is still only 0.75, compared to 0.81 with the deformable registration model. We believe this due to the rigid model’s inability to model deformation present between the pre-treatment and post-treatment images.</w:t>
      </w:r>
    </w:p>
    <w:p w14:paraId="39FDD5C4" w14:textId="77777777" w:rsidR="00DC2006" w:rsidRDefault="00DC2006" w:rsidP="00DC2006">
      <w:r>
        <w:t xml:space="preserve">It is important to note that the IG method does not tell the user </w:t>
      </w:r>
      <w:r>
        <w:rPr>
          <w:i/>
        </w:rPr>
        <w:t>exactly</w:t>
      </w:r>
      <w:r>
        <w:t xml:space="preserve"> why a decision was made. The confidence of a prediction by the model is not directly tied to which aspects of the image would cause a certain output. For example, if the model predicted that the treated site was likely to progress, the output visualizations are a representation of the question ‘which aspects of the image would cause the model predict progression with the highest confidence’. This question can be asked of the model even if the model predicts that no progression is likely to occur. For this reason, it is very important to not only look at the IG heat map, but also look at the model’s prediction confidence. Furthermore, if the model predicts progression, but the IG are not anywhere near the disease/ablation volume, the user should be skeptical as to the benefit of the model’s prediction.</w:t>
      </w:r>
    </w:p>
    <w:p w14:paraId="59FE8151" w14:textId="77777777" w:rsidR="00DC2006" w:rsidRDefault="00DC2006" w:rsidP="00DC2006">
      <w:r>
        <w:lastRenderedPageBreak/>
        <w:t xml:space="preserve">The IG can be useful not only for identifying regions of potentially insufficient ablation, but also for assurances of sufficient ablation. In </w:t>
      </w:r>
      <w:r>
        <w:fldChar w:fldCharType="begin"/>
      </w:r>
      <w:r>
        <w:instrText xml:space="preserve"> REF _Ref68531256 \h </w:instrText>
      </w:r>
      <w:r>
        <w:fldChar w:fldCharType="separate"/>
      </w:r>
      <w:r>
        <w:t xml:space="preserve">Figure </w:t>
      </w:r>
      <w:r>
        <w:rPr>
          <w:noProof/>
        </w:rPr>
        <w:t>76</w:t>
      </w:r>
      <w:r>
        <w:fldChar w:fldCharType="end"/>
      </w:r>
      <w:r>
        <w:t>, a case with no local progression, which the model accurately predicted as no progression, we can see that the gradients are focused on the exact center of the disease site and is fully encapsulated by the ablation cavity. We speculate that this is the model identifying that sufficient ablation was delivered around each aspect of the site.</w:t>
      </w:r>
    </w:p>
    <w:p w14:paraId="13B3D459" w14:textId="53851F1E" w:rsidR="00DC2006" w:rsidRDefault="00DC2006" w:rsidP="00DC2006">
      <w:pPr>
        <w:keepNext/>
      </w:pPr>
      <w:r w:rsidRPr="00B522D6">
        <w:rPr>
          <w:noProof/>
        </w:rPr>
        <w:drawing>
          <wp:inline distT="0" distB="0" distL="0" distR="0" wp14:anchorId="2EF34A7C" wp14:editId="1CE9E1B8">
            <wp:extent cx="1724025" cy="530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1724025" cy="5305425"/>
                    </a:xfrm>
                    <a:prstGeom prst="rect">
                      <a:avLst/>
                    </a:prstGeom>
                    <a:noFill/>
                    <a:ln>
                      <a:noFill/>
                    </a:ln>
                  </pic:spPr>
                </pic:pic>
              </a:graphicData>
            </a:graphic>
          </wp:inline>
        </w:drawing>
      </w:r>
    </w:p>
    <w:p w14:paraId="74E61E97" w14:textId="77777777" w:rsidR="00DC2006" w:rsidRDefault="00DC2006" w:rsidP="00DC2006">
      <w:pPr>
        <w:pStyle w:val="Caption"/>
      </w:pPr>
      <w:bookmarkStart w:id="30" w:name="_Ref68531256"/>
      <w:bookmarkStart w:id="31" w:name="_Toc68787916"/>
      <w:r>
        <w:t xml:space="preserve">Figure </w:t>
      </w:r>
      <w:r>
        <w:fldChar w:fldCharType="begin"/>
      </w:r>
      <w:r>
        <w:instrText xml:space="preserve"> SEQ Figure \* ARABIC </w:instrText>
      </w:r>
      <w:r>
        <w:fldChar w:fldCharType="separate"/>
      </w:r>
      <w:r>
        <w:rPr>
          <w:noProof/>
        </w:rPr>
        <w:t>76</w:t>
      </w:r>
      <w:r>
        <w:fldChar w:fldCharType="end"/>
      </w:r>
      <w:bookmarkEnd w:id="30"/>
      <w:r>
        <w:t>: Overlapping heat map from the integrated gradients on a non-progression case. Images (from left to right) are pre-treatment CT, deformable registered post-treatment CT, and disease segmentation. The model’s prediction of ‘non-progression’ appears to have focused entirely on the disease site encapsulated within the ablation volume.</w:t>
      </w:r>
      <w:bookmarkEnd w:id="31"/>
    </w:p>
    <w:p w14:paraId="3B3072E7" w14:textId="319B6BC7" w:rsidR="00DC2006" w:rsidRDefault="00DC2006" w:rsidP="00DC2006">
      <w:r>
        <w:t>Exact metrics of what corresponds to a useful AUC can vary based on application. A score of 0.5 suggests the model has no ability to discriminate between two outcomes, equivalent to the flip of a coin. Values from 0.7 to 0.8 are generally acceptable, 0.8-0.9 are excellent, and 0.9-1.0 are outstanding</w:t>
      </w:r>
      <w:r>
        <w:fldChar w:fldCharType="begin" w:fldLock="1"/>
      </w:r>
      <w:r>
        <w:instrText>ADDIN CSL_CITATION {"citationItems":[{"id":"ITEM-1","itemData":{"DOI":"10.1097/JTO.0b013e3181ec173d","ISSN":"15561380","PMID":"20736804","abstract":"The performance of a diagnostic test in the case of a binary predictor can be evaluated using the measures of sensitivity and specificity.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 © 2010 by the International Association for the Study of Lung Cancer.","author":[{"dropping-particle":"","family":"Mandrekar","given":"Jayawant N.","non-dropping-particle":"","parse-names":false,"suffix":""}],"container-title":"Journal of Thoracic Oncology","id":"ITEM-1","issue":"9","issued":{"date-parts":[["2010","9","1"]]},"page":"1315-1316","publisher":"Lippincott Williams and Wilkins","title":"Receiver operating characteristic curve in diagnostic test assessment","type":"article-journal","volume":"5"},"uris":["http://www.mendeley.com/documents/?uuid=fd706f29-d4a4-3ec3-b988-797e2a6a3f8c"]}],"mendeley":{"formattedCitation":"(Mandrekar, 2010)","plainTextFormattedCitation":"(Mandrekar, 2010)","previouslyFormattedCitation":"&lt;sup&gt;197&lt;/sup&gt;"},"properties":{"noteIndex":0},"schema":"https://github.com/citation-style-language/schema/raw/master/csl-citation.json"}</w:instrText>
      </w:r>
      <w:r>
        <w:fldChar w:fldCharType="separate"/>
      </w:r>
      <w:r w:rsidRPr="00DC2006">
        <w:rPr>
          <w:noProof/>
        </w:rPr>
        <w:t>(</w:t>
      </w:r>
      <w:proofErr w:type="spellStart"/>
      <w:r w:rsidRPr="00DC2006">
        <w:rPr>
          <w:noProof/>
        </w:rPr>
        <w:t>Mandrekar</w:t>
      </w:r>
      <w:proofErr w:type="spellEnd"/>
      <w:r w:rsidRPr="00DC2006">
        <w:rPr>
          <w:noProof/>
        </w:rPr>
        <w:t>, 2010)</w:t>
      </w:r>
      <w:r>
        <w:fldChar w:fldCharType="end"/>
      </w:r>
      <w:r>
        <w:t>.</w:t>
      </w:r>
    </w:p>
    <w:p w14:paraId="4CB4DF0F" w14:textId="77777777" w:rsidR="00DC2006" w:rsidRDefault="00DC2006" w:rsidP="00DC2006">
      <w:r>
        <w:t>Depending on the conservativeness of the user, they might prefer a higher specificity to sensitivity, or vice-versa. For this work, we believe that a higher sensitivity to local progression is most important, hopefully identifying regions of insufficient ablation with the combination of prediction and IG map. The desire to be more conservative means the user should lean towards a potential addition ablation if the prediction for local progression is slightly less than 50%. This would lead to an increased sensitivity in identifying patients with potentially insufficient ablation, but would also lead to an increase in the number of patients receiving potentially unnecessary additional ablation. The desired balance between these two potential outcomes will be determined by the individual user, and their knowledge of the particular case being treated.</w:t>
      </w:r>
    </w:p>
    <w:p w14:paraId="51DE25CE" w14:textId="77777777" w:rsidR="00DC2006" w:rsidRPr="00AD0BED" w:rsidRDefault="00DC2006" w:rsidP="00DC2006">
      <w:pPr>
        <w:pStyle w:val="Heading2"/>
        <w:rPr>
          <w:rFonts w:asciiTheme="minorHAnsi" w:hAnsiTheme="minorHAnsi"/>
        </w:rPr>
      </w:pPr>
      <w:bookmarkStart w:id="32" w:name="_Toc68787824"/>
      <w:r w:rsidRPr="00AD0BED">
        <w:rPr>
          <w:rFonts w:asciiTheme="minorHAnsi" w:hAnsiTheme="minorHAnsi"/>
        </w:rPr>
        <w:t>Conclusion</w:t>
      </w:r>
      <w:bookmarkEnd w:id="32"/>
    </w:p>
    <w:p w14:paraId="1A9901CE" w14:textId="0902E524" w:rsidR="00B13609" w:rsidRDefault="00DC2006" w:rsidP="00DC2006">
      <w:r>
        <w:t xml:space="preserve">We have created an outcome prediction model which assess the likelihood of outcome based on pre-treatment contrast enhanced CT, a </w:t>
      </w:r>
      <w:bookmarkStart w:id="33" w:name="_GoBack"/>
      <w:bookmarkEnd w:id="33"/>
      <w:r>
        <w:t>deformed post-treatment contrast enhanced CT, and segmentations of the disease site with an AUC of 0.81. Visualization of the integrated gradients for a given prediction should be used to assess model efficacy, and can help identify potential regions of interest in the treatment images. We believe that the prediction output of the model along with the integrated gradients can help provide meaningful information to the interventional radiologist.</w:t>
      </w:r>
    </w:p>
    <w:p w14:paraId="4F1D4B6D" w14:textId="35821BA0" w:rsidR="00DC2006" w:rsidRPr="00DC2006" w:rsidRDefault="00DC2006" w:rsidP="00DC2006">
      <w:pPr>
        <w:pStyle w:val="Heading2"/>
        <w:pageBreakBefore/>
        <w:rPr>
          <w:rFonts w:asciiTheme="minorHAnsi" w:hAnsiTheme="minorHAnsi"/>
        </w:rPr>
      </w:pPr>
      <w:r>
        <w:rPr>
          <w:rFonts w:asciiTheme="minorHAnsi" w:hAnsiTheme="minorHAnsi"/>
        </w:rPr>
        <w:lastRenderedPageBreak/>
        <w:t>References</w:t>
      </w:r>
    </w:p>
    <w:p w14:paraId="5D47F76E" w14:textId="1C12F2CE"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DC2006">
        <w:rPr>
          <w:rFonts w:ascii="Calibri" w:hAnsi="Calibri" w:cs="Calibri"/>
          <w:noProof/>
          <w:szCs w:val="24"/>
        </w:rPr>
        <w:t xml:space="preserve">Abadi, M., Agarwal, A., Barham, P., Brevdo, E., Chen, Z., Citro, C., Corrado, G. S., Davis, A., Dean, J., Devin, M., Ghemawat, S., Goodfellow, I., Harp, A., Irving, G., Isard, M., Jia, Y., Jozefowicz, R., Kaiser, L., Kudlur, M., … Research, G. (n.d.). </w:t>
      </w:r>
      <w:r w:rsidRPr="00DC2006">
        <w:rPr>
          <w:rFonts w:ascii="Calibri" w:hAnsi="Calibri" w:cs="Calibri"/>
          <w:i/>
          <w:iCs/>
          <w:noProof/>
          <w:szCs w:val="24"/>
        </w:rPr>
        <w:t>TensorFlow: Large-Scale Machine Learning on Heterogeneous Distributed Systems</w:t>
      </w:r>
      <w:r w:rsidRPr="00DC2006">
        <w:rPr>
          <w:rFonts w:ascii="Calibri" w:hAnsi="Calibri" w:cs="Calibri"/>
          <w:noProof/>
          <w:szCs w:val="24"/>
        </w:rPr>
        <w:t>. Retrieved July 28, 2020, from www.tensorflow.org.</w:t>
      </w:r>
    </w:p>
    <w:p w14:paraId="2CEC0E07"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Adam, R., De Gramont, A., Figueras, J., Guthrie, A., Kokudo, N., Kunstlinger, F., Loyer, E., Poston, G., Rougier, P., Rubbia‐Brandt, L., Sobrero, A., Tabernero, J., Teh, C., &amp; Van Cutsem, E. (2012). The Oncosurgery Approach to Managing Liver Metastases from Colorectal Cancer: A Multidisciplinary International Consensus. </w:t>
      </w:r>
      <w:r w:rsidRPr="00DC2006">
        <w:rPr>
          <w:rFonts w:ascii="Calibri" w:hAnsi="Calibri" w:cs="Calibri"/>
          <w:i/>
          <w:iCs/>
          <w:noProof/>
          <w:szCs w:val="24"/>
        </w:rPr>
        <w:t>The Oncologist</w:t>
      </w:r>
      <w:r w:rsidRPr="00DC2006">
        <w:rPr>
          <w:rFonts w:ascii="Calibri" w:hAnsi="Calibri" w:cs="Calibri"/>
          <w:noProof/>
          <w:szCs w:val="24"/>
        </w:rPr>
        <w:t xml:space="preserve">, </w:t>
      </w:r>
      <w:r w:rsidRPr="00DC2006">
        <w:rPr>
          <w:rFonts w:ascii="Calibri" w:hAnsi="Calibri" w:cs="Calibri"/>
          <w:i/>
          <w:iCs/>
          <w:noProof/>
          <w:szCs w:val="24"/>
        </w:rPr>
        <w:t>17</w:t>
      </w:r>
      <w:r w:rsidRPr="00DC2006">
        <w:rPr>
          <w:rFonts w:ascii="Calibri" w:hAnsi="Calibri" w:cs="Calibri"/>
          <w:noProof/>
          <w:szCs w:val="24"/>
        </w:rPr>
        <w:t>(10), 1225–1239. https://doi.org/10.1634/theoncologist.2012-0121</w:t>
      </w:r>
    </w:p>
    <w:p w14:paraId="76E2FEED"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Adloff, M., Arnaud, J. P., Thebault, Y., Ollier, J. C., &amp; Schloegel, M. (2017). Hepatic metastases from colorectal cancers. </w:t>
      </w:r>
      <w:r w:rsidRPr="00DC2006">
        <w:rPr>
          <w:rFonts w:ascii="Calibri" w:hAnsi="Calibri" w:cs="Calibri"/>
          <w:i/>
          <w:iCs/>
          <w:noProof/>
          <w:szCs w:val="24"/>
        </w:rPr>
        <w:t>Chirurgie - Memoires de l’Academie de Chirurgie</w:t>
      </w:r>
      <w:r w:rsidRPr="00DC2006">
        <w:rPr>
          <w:rFonts w:ascii="Calibri" w:hAnsi="Calibri" w:cs="Calibri"/>
          <w:noProof/>
          <w:szCs w:val="24"/>
        </w:rPr>
        <w:t xml:space="preserve">, </w:t>
      </w:r>
      <w:r w:rsidRPr="00DC2006">
        <w:rPr>
          <w:rFonts w:ascii="Calibri" w:hAnsi="Calibri" w:cs="Calibri"/>
          <w:i/>
          <w:iCs/>
          <w:noProof/>
          <w:szCs w:val="24"/>
        </w:rPr>
        <w:t>116</w:t>
      </w:r>
      <w:r w:rsidRPr="00DC2006">
        <w:rPr>
          <w:rFonts w:ascii="Calibri" w:hAnsi="Calibri" w:cs="Calibri"/>
          <w:noProof/>
          <w:szCs w:val="24"/>
        </w:rPr>
        <w:t>(2), 144–149. https://doi.org/10.5005/jp-journals-10018-1241</w:t>
      </w:r>
    </w:p>
    <w:p w14:paraId="7D5AC8DF"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Al-Mayah, A., Moseley, J., Hunter, S., Velec, M., Chau, L., Breen, S., &amp; Brock, K. (2010). Biomechanical-based image registration for head and neck radiation treatment. </w:t>
      </w:r>
      <w:r w:rsidRPr="00DC2006">
        <w:rPr>
          <w:rFonts w:ascii="Calibri" w:hAnsi="Calibri" w:cs="Calibri"/>
          <w:i/>
          <w:iCs/>
          <w:noProof/>
          <w:szCs w:val="24"/>
        </w:rPr>
        <w:t>Physics in Medicine and Biology</w:t>
      </w:r>
      <w:r w:rsidRPr="00DC2006">
        <w:rPr>
          <w:rFonts w:ascii="Calibri" w:hAnsi="Calibri" w:cs="Calibri"/>
          <w:noProof/>
          <w:szCs w:val="24"/>
        </w:rPr>
        <w:t xml:space="preserve">, </w:t>
      </w:r>
      <w:r w:rsidRPr="00DC2006">
        <w:rPr>
          <w:rFonts w:ascii="Calibri" w:hAnsi="Calibri" w:cs="Calibri"/>
          <w:i/>
          <w:iCs/>
          <w:noProof/>
          <w:szCs w:val="24"/>
        </w:rPr>
        <w:t>55</w:t>
      </w:r>
      <w:r w:rsidRPr="00DC2006">
        <w:rPr>
          <w:rFonts w:ascii="Calibri" w:hAnsi="Calibri" w:cs="Calibri"/>
          <w:noProof/>
          <w:szCs w:val="24"/>
        </w:rPr>
        <w:t>(21), 6491–6500. https://doi.org/10.1088/0031-9155/55/21/010</w:t>
      </w:r>
    </w:p>
    <w:p w14:paraId="1ED9201B"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Al-Mayah, A., Moseley, J., Velec, M., &amp; Brock, K. (2011). Toward efficient biomechanical-based deformable image registration of lungs for image-guided radiotherapy. </w:t>
      </w:r>
      <w:r w:rsidRPr="00DC2006">
        <w:rPr>
          <w:rFonts w:ascii="Calibri" w:hAnsi="Calibri" w:cs="Calibri"/>
          <w:i/>
          <w:iCs/>
          <w:noProof/>
          <w:szCs w:val="24"/>
        </w:rPr>
        <w:t>Physics in Medicine and Biology</w:t>
      </w:r>
      <w:r w:rsidRPr="00DC2006">
        <w:rPr>
          <w:rFonts w:ascii="Calibri" w:hAnsi="Calibri" w:cs="Calibri"/>
          <w:noProof/>
          <w:szCs w:val="24"/>
        </w:rPr>
        <w:t xml:space="preserve">, </w:t>
      </w:r>
      <w:r w:rsidRPr="00DC2006">
        <w:rPr>
          <w:rFonts w:ascii="Calibri" w:hAnsi="Calibri" w:cs="Calibri"/>
          <w:i/>
          <w:iCs/>
          <w:noProof/>
          <w:szCs w:val="24"/>
        </w:rPr>
        <w:t>56</w:t>
      </w:r>
      <w:r w:rsidRPr="00DC2006">
        <w:rPr>
          <w:rFonts w:ascii="Calibri" w:hAnsi="Calibri" w:cs="Calibri"/>
          <w:noProof/>
          <w:szCs w:val="24"/>
        </w:rPr>
        <w:t>(15), 4701–4713. https://doi.org/10.1088/0031-9155/56/15/005</w:t>
      </w:r>
    </w:p>
    <w:p w14:paraId="0AB1607D"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Alper Sag, A., Selcukbiricik, F., &amp; Mandel, N. M. (2016). Evidence-based medical oncology and interventional radiology paradigms for liver-dominant colorectal cancer metastases. In </w:t>
      </w:r>
      <w:r w:rsidRPr="00DC2006">
        <w:rPr>
          <w:rFonts w:ascii="Calibri" w:hAnsi="Calibri" w:cs="Calibri"/>
          <w:i/>
          <w:iCs/>
          <w:noProof/>
          <w:szCs w:val="24"/>
        </w:rPr>
        <w:t>World Journal of Gastroenterology</w:t>
      </w:r>
      <w:r w:rsidRPr="00DC2006">
        <w:rPr>
          <w:rFonts w:ascii="Calibri" w:hAnsi="Calibri" w:cs="Calibri"/>
          <w:noProof/>
          <w:szCs w:val="24"/>
        </w:rPr>
        <w:t xml:space="preserve"> (Vol. 22, Issue 11, pp. 3127–3149). Baishideng Publishing Group Co., Limited. https://doi.org/10.3748/wjg.v22.i11.3127</w:t>
      </w:r>
    </w:p>
    <w:p w14:paraId="51CF431F"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Anderson, B. M., Lin, E. Y., Cardenas, C. E., Gress, D. A., Erwin, W. D., Odisio, B. C., Koay, E. J., &amp; Brock, K. K. (2020). Automated Contouring of Contrast and Noncontrast Computed Tomography Liver Images With Fully Convolutional Networks. </w:t>
      </w:r>
      <w:r w:rsidRPr="00DC2006">
        <w:rPr>
          <w:rFonts w:ascii="Calibri" w:hAnsi="Calibri" w:cs="Calibri"/>
          <w:i/>
          <w:iCs/>
          <w:noProof/>
          <w:szCs w:val="24"/>
        </w:rPr>
        <w:t>Advancesradonc</w:t>
      </w:r>
      <w:r w:rsidRPr="00DC2006">
        <w:rPr>
          <w:rFonts w:ascii="Calibri" w:hAnsi="Calibri" w:cs="Calibri"/>
          <w:noProof/>
          <w:szCs w:val="24"/>
        </w:rPr>
        <w:t>. https://doi.org/10.1016/j.adro.2020.04.023</w:t>
      </w:r>
    </w:p>
    <w:p w14:paraId="174EE072"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Anderson, B. M., Wahid, K. A., &amp; Brock, K. K. (2021). Simple Python Module for Conversions between DICOM Images and Radiation Therapy Structures, Masks, and Prediction Arrays. </w:t>
      </w:r>
      <w:r w:rsidRPr="00DC2006">
        <w:rPr>
          <w:rFonts w:ascii="Calibri" w:hAnsi="Calibri" w:cs="Calibri"/>
          <w:i/>
          <w:iCs/>
          <w:noProof/>
          <w:szCs w:val="24"/>
        </w:rPr>
        <w:t>Practical Radiation Oncology</w:t>
      </w:r>
      <w:r w:rsidRPr="00DC2006">
        <w:rPr>
          <w:rFonts w:ascii="Calibri" w:hAnsi="Calibri" w:cs="Calibri"/>
          <w:noProof/>
          <w:szCs w:val="24"/>
        </w:rPr>
        <w:t>. https://doi.org/10.1016/j.prro.2021.02.003</w:t>
      </w:r>
    </w:p>
    <w:p w14:paraId="48052345"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Barz, B., &amp; Denzler, J. (n.d.). </w:t>
      </w:r>
      <w:r w:rsidRPr="00DC2006">
        <w:rPr>
          <w:rFonts w:ascii="Calibri" w:hAnsi="Calibri" w:cs="Calibri"/>
          <w:i/>
          <w:iCs/>
          <w:noProof/>
          <w:szCs w:val="24"/>
        </w:rPr>
        <w:t>Deep Learning on Small Datasets without Pre-Training using Cosine Loss</w:t>
      </w:r>
      <w:r w:rsidRPr="00DC2006">
        <w:rPr>
          <w:rFonts w:ascii="Calibri" w:hAnsi="Calibri" w:cs="Calibri"/>
          <w:noProof/>
          <w:szCs w:val="24"/>
        </w:rPr>
        <w:t>.</w:t>
      </w:r>
    </w:p>
    <w:p w14:paraId="0826EE34"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Beare, R., Lowekamp, B., &amp; Yaniv, Z. (2018). Image segmentation, registration and characterization in R with simpleITK. </w:t>
      </w:r>
      <w:r w:rsidRPr="00DC2006">
        <w:rPr>
          <w:rFonts w:ascii="Calibri" w:hAnsi="Calibri" w:cs="Calibri"/>
          <w:i/>
          <w:iCs/>
          <w:noProof/>
          <w:szCs w:val="24"/>
        </w:rPr>
        <w:t>Journal of Statistical Software</w:t>
      </w:r>
      <w:r w:rsidRPr="00DC2006">
        <w:rPr>
          <w:rFonts w:ascii="Calibri" w:hAnsi="Calibri" w:cs="Calibri"/>
          <w:noProof/>
          <w:szCs w:val="24"/>
        </w:rPr>
        <w:t xml:space="preserve">, </w:t>
      </w:r>
      <w:r w:rsidRPr="00DC2006">
        <w:rPr>
          <w:rFonts w:ascii="Calibri" w:hAnsi="Calibri" w:cs="Calibri"/>
          <w:i/>
          <w:iCs/>
          <w:noProof/>
          <w:szCs w:val="24"/>
        </w:rPr>
        <w:t>86</w:t>
      </w:r>
      <w:r w:rsidRPr="00DC2006">
        <w:rPr>
          <w:rFonts w:ascii="Calibri" w:hAnsi="Calibri" w:cs="Calibri"/>
          <w:noProof/>
          <w:szCs w:val="24"/>
        </w:rPr>
        <w:t>(1), 1–35. https://doi.org/10.18637/jss.v086.i08</w:t>
      </w:r>
    </w:p>
    <w:p w14:paraId="588CF617"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Bodensteiner, D. (2018). RayStation: External beam treatment planning system. </w:t>
      </w:r>
      <w:r w:rsidRPr="00DC2006">
        <w:rPr>
          <w:rFonts w:ascii="Calibri" w:hAnsi="Calibri" w:cs="Calibri"/>
          <w:i/>
          <w:iCs/>
          <w:noProof/>
          <w:szCs w:val="24"/>
        </w:rPr>
        <w:t>Medical Dosimetry</w:t>
      </w:r>
      <w:r w:rsidRPr="00DC2006">
        <w:rPr>
          <w:rFonts w:ascii="Calibri" w:hAnsi="Calibri" w:cs="Calibri"/>
          <w:noProof/>
          <w:szCs w:val="24"/>
        </w:rPr>
        <w:t xml:space="preserve">, </w:t>
      </w:r>
      <w:r w:rsidRPr="00DC2006">
        <w:rPr>
          <w:rFonts w:ascii="Calibri" w:hAnsi="Calibri" w:cs="Calibri"/>
          <w:i/>
          <w:iCs/>
          <w:noProof/>
          <w:szCs w:val="24"/>
        </w:rPr>
        <w:t>43</w:t>
      </w:r>
      <w:r w:rsidRPr="00DC2006">
        <w:rPr>
          <w:rFonts w:ascii="Calibri" w:hAnsi="Calibri" w:cs="Calibri"/>
          <w:noProof/>
          <w:szCs w:val="24"/>
        </w:rPr>
        <w:t>(2), 168–176. https://doi.org/10.1016/j.meddos.2018.02.013</w:t>
      </w:r>
    </w:p>
    <w:p w14:paraId="32C9A8D9"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Brock, K. K., Sharpe, M. B., Dawson, L. A., Kim, S. M., &amp; Jaffray, D. A. (2005). Accuracy of finite element model-based multi-organ deformable image registration. </w:t>
      </w:r>
      <w:r w:rsidRPr="00DC2006">
        <w:rPr>
          <w:rFonts w:ascii="Calibri" w:hAnsi="Calibri" w:cs="Calibri"/>
          <w:i/>
          <w:iCs/>
          <w:noProof/>
          <w:szCs w:val="24"/>
        </w:rPr>
        <w:t>Medical Physics</w:t>
      </w:r>
      <w:r w:rsidRPr="00DC2006">
        <w:rPr>
          <w:rFonts w:ascii="Calibri" w:hAnsi="Calibri" w:cs="Calibri"/>
          <w:noProof/>
          <w:szCs w:val="24"/>
        </w:rPr>
        <w:t xml:space="preserve">, </w:t>
      </w:r>
      <w:r w:rsidRPr="00DC2006">
        <w:rPr>
          <w:rFonts w:ascii="Calibri" w:hAnsi="Calibri" w:cs="Calibri"/>
          <w:i/>
          <w:iCs/>
          <w:noProof/>
          <w:szCs w:val="24"/>
        </w:rPr>
        <w:t>32</w:t>
      </w:r>
      <w:r w:rsidRPr="00DC2006">
        <w:rPr>
          <w:rFonts w:ascii="Calibri" w:hAnsi="Calibri" w:cs="Calibri"/>
          <w:noProof/>
          <w:szCs w:val="24"/>
        </w:rPr>
        <w:t>(6Part1), 1647–1659. https://doi.org/10.1118/1.1915012</w:t>
      </w:r>
    </w:p>
    <w:p w14:paraId="7D5F5429"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Brock, Kristy K., Hawkins, M., Eccles, C., Moseley, J. L., Moseley, D. J., Jaffray, D. A., &amp; Dawson, L. A. (2008). Improving image-guided target localization through deformable registration. </w:t>
      </w:r>
      <w:r w:rsidRPr="00DC2006">
        <w:rPr>
          <w:rFonts w:ascii="Calibri" w:hAnsi="Calibri" w:cs="Calibri"/>
          <w:i/>
          <w:iCs/>
          <w:noProof/>
          <w:szCs w:val="24"/>
        </w:rPr>
        <w:t xml:space="preserve">Acta </w:t>
      </w:r>
      <w:r w:rsidRPr="00DC2006">
        <w:rPr>
          <w:rFonts w:ascii="Calibri" w:hAnsi="Calibri" w:cs="Calibri"/>
          <w:i/>
          <w:iCs/>
          <w:noProof/>
          <w:szCs w:val="24"/>
        </w:rPr>
        <w:lastRenderedPageBreak/>
        <w:t>Oncologica</w:t>
      </w:r>
      <w:r w:rsidRPr="00DC2006">
        <w:rPr>
          <w:rFonts w:ascii="Calibri" w:hAnsi="Calibri" w:cs="Calibri"/>
          <w:noProof/>
          <w:szCs w:val="24"/>
        </w:rPr>
        <w:t xml:space="preserve">, </w:t>
      </w:r>
      <w:r w:rsidRPr="00DC2006">
        <w:rPr>
          <w:rFonts w:ascii="Calibri" w:hAnsi="Calibri" w:cs="Calibri"/>
          <w:i/>
          <w:iCs/>
          <w:noProof/>
          <w:szCs w:val="24"/>
        </w:rPr>
        <w:t>47</w:t>
      </w:r>
      <w:r w:rsidRPr="00DC2006">
        <w:rPr>
          <w:rFonts w:ascii="Calibri" w:hAnsi="Calibri" w:cs="Calibri"/>
          <w:noProof/>
          <w:szCs w:val="24"/>
        </w:rPr>
        <w:t>(7), 1279–1285. https://doi.org/10.1080/02841860802256491</w:t>
      </w:r>
    </w:p>
    <w:p w14:paraId="4D2CA619"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Cazoulat, G., Owen, D., Matuszak, M. M., Balter, J. M., &amp; Brock, K. K. (2016). Biomechanical deformable image registration of longitudinal lung CT images using vessel information. </w:t>
      </w:r>
      <w:r w:rsidRPr="00DC2006">
        <w:rPr>
          <w:rFonts w:ascii="Calibri" w:hAnsi="Calibri" w:cs="Calibri"/>
          <w:i/>
          <w:iCs/>
          <w:noProof/>
          <w:szCs w:val="24"/>
        </w:rPr>
        <w:t>Physics in Medicine and Biology</w:t>
      </w:r>
      <w:r w:rsidRPr="00DC2006">
        <w:rPr>
          <w:rFonts w:ascii="Calibri" w:hAnsi="Calibri" w:cs="Calibri"/>
          <w:noProof/>
          <w:szCs w:val="24"/>
        </w:rPr>
        <w:t xml:space="preserve">, </w:t>
      </w:r>
      <w:r w:rsidRPr="00DC2006">
        <w:rPr>
          <w:rFonts w:ascii="Calibri" w:hAnsi="Calibri" w:cs="Calibri"/>
          <w:i/>
          <w:iCs/>
          <w:noProof/>
          <w:szCs w:val="24"/>
        </w:rPr>
        <w:t>61</w:t>
      </w:r>
      <w:r w:rsidRPr="00DC2006">
        <w:rPr>
          <w:rFonts w:ascii="Calibri" w:hAnsi="Calibri" w:cs="Calibri"/>
          <w:noProof/>
          <w:szCs w:val="24"/>
        </w:rPr>
        <w:t>(13), 4826–4839. https://doi.org/10.1088/0031-9155/61/13/4826</w:t>
      </w:r>
    </w:p>
    <w:p w14:paraId="44ECFB00"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Fujioka, C., Horiguchi, J., Ishifuro, M., Kakizawa, H., Kiguchi, M., Matsuura, N., Hieda, M., Tachikake, T., Alam, F., Furukawa, T., &amp; Ito, K. (2006). A Feasibility Study. Evaluation of Radiofrequency Ablation Therapy to Hepatocellular Carcinoma Using Image Registration of Preoperative and Postoperative CT. </w:t>
      </w:r>
      <w:r w:rsidRPr="00DC2006">
        <w:rPr>
          <w:rFonts w:ascii="Calibri" w:hAnsi="Calibri" w:cs="Calibri"/>
          <w:i/>
          <w:iCs/>
          <w:noProof/>
          <w:szCs w:val="24"/>
        </w:rPr>
        <w:t>Academic Radiology</w:t>
      </w:r>
      <w:r w:rsidRPr="00DC2006">
        <w:rPr>
          <w:rFonts w:ascii="Calibri" w:hAnsi="Calibri" w:cs="Calibri"/>
          <w:noProof/>
          <w:szCs w:val="24"/>
        </w:rPr>
        <w:t xml:space="preserve">, </w:t>
      </w:r>
      <w:r w:rsidRPr="00DC2006">
        <w:rPr>
          <w:rFonts w:ascii="Calibri" w:hAnsi="Calibri" w:cs="Calibri"/>
          <w:i/>
          <w:iCs/>
          <w:noProof/>
          <w:szCs w:val="24"/>
        </w:rPr>
        <w:t>13</w:t>
      </w:r>
      <w:r w:rsidRPr="00DC2006">
        <w:rPr>
          <w:rFonts w:ascii="Calibri" w:hAnsi="Calibri" w:cs="Calibri"/>
          <w:noProof/>
          <w:szCs w:val="24"/>
        </w:rPr>
        <w:t>(8), 986–994. https://doi.org/10.1016/j.acra.2006.05.011</w:t>
      </w:r>
    </w:p>
    <w:p w14:paraId="52661ABF"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Gillams, A. R., &amp; Lees, W. R. (2009). Five-year survival in 309 patients with colorectal liver metastases treated with radiofrequency ablation. </w:t>
      </w:r>
      <w:r w:rsidRPr="00DC2006">
        <w:rPr>
          <w:rFonts w:ascii="Calibri" w:hAnsi="Calibri" w:cs="Calibri"/>
          <w:i/>
          <w:iCs/>
          <w:noProof/>
          <w:szCs w:val="24"/>
        </w:rPr>
        <w:t>Eur Radiol</w:t>
      </w:r>
      <w:r w:rsidRPr="00DC2006">
        <w:rPr>
          <w:rFonts w:ascii="Calibri" w:hAnsi="Calibri" w:cs="Calibri"/>
          <w:noProof/>
          <w:szCs w:val="24"/>
        </w:rPr>
        <w:t xml:space="preserve">, </w:t>
      </w:r>
      <w:r w:rsidRPr="00DC2006">
        <w:rPr>
          <w:rFonts w:ascii="Calibri" w:hAnsi="Calibri" w:cs="Calibri"/>
          <w:i/>
          <w:iCs/>
          <w:noProof/>
          <w:szCs w:val="24"/>
        </w:rPr>
        <w:t>19</w:t>
      </w:r>
      <w:r w:rsidRPr="00DC2006">
        <w:rPr>
          <w:rFonts w:ascii="Calibri" w:hAnsi="Calibri" w:cs="Calibri"/>
          <w:noProof/>
          <w:szCs w:val="24"/>
        </w:rPr>
        <w:t>, 1206–1213. https://doi.org/10.1007/s00330-008-1258-5</w:t>
      </w:r>
    </w:p>
    <w:p w14:paraId="321CF2DF"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Hackl, C., Neumann, P., Gerken, M., Loss, M., Klinkhammer-Schalke, M., &amp; Schlitt, H. J. (2014). Treatment of colorectal liver metastases in Germany: A ten-year population-based analysis of 5772 cases of primary colorectal adenocarcinoma. </w:t>
      </w:r>
      <w:r w:rsidRPr="00DC2006">
        <w:rPr>
          <w:rFonts w:ascii="Calibri" w:hAnsi="Calibri" w:cs="Calibri"/>
          <w:i/>
          <w:iCs/>
          <w:noProof/>
          <w:szCs w:val="24"/>
        </w:rPr>
        <w:t>BMC Cancer</w:t>
      </w:r>
      <w:r w:rsidRPr="00DC2006">
        <w:rPr>
          <w:rFonts w:ascii="Calibri" w:hAnsi="Calibri" w:cs="Calibri"/>
          <w:noProof/>
          <w:szCs w:val="24"/>
        </w:rPr>
        <w:t xml:space="preserve">, </w:t>
      </w:r>
      <w:r w:rsidRPr="00DC2006">
        <w:rPr>
          <w:rFonts w:ascii="Calibri" w:hAnsi="Calibri" w:cs="Calibri"/>
          <w:i/>
          <w:iCs/>
          <w:noProof/>
          <w:szCs w:val="24"/>
        </w:rPr>
        <w:t>14</w:t>
      </w:r>
      <w:r w:rsidRPr="00DC2006">
        <w:rPr>
          <w:rFonts w:ascii="Calibri" w:hAnsi="Calibri" w:cs="Calibri"/>
          <w:noProof/>
          <w:szCs w:val="24"/>
        </w:rPr>
        <w:t>(1). https://doi.org/10.1186/1471-2407-14-810</w:t>
      </w:r>
    </w:p>
    <w:p w14:paraId="1B9E148E"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Hashmi, M. F., Katiyar, S., Keskar, A. G., Bokde, N. D., &amp; Geem, Z. W. (2020). Efficient pneumonia detection in chest xray images using deep transfer learning. </w:t>
      </w:r>
      <w:r w:rsidRPr="00DC2006">
        <w:rPr>
          <w:rFonts w:ascii="Calibri" w:hAnsi="Calibri" w:cs="Calibri"/>
          <w:i/>
          <w:iCs/>
          <w:noProof/>
          <w:szCs w:val="24"/>
        </w:rPr>
        <w:t>Diagnostics</w:t>
      </w:r>
      <w:r w:rsidRPr="00DC2006">
        <w:rPr>
          <w:rFonts w:ascii="Calibri" w:hAnsi="Calibri" w:cs="Calibri"/>
          <w:noProof/>
          <w:szCs w:val="24"/>
        </w:rPr>
        <w:t xml:space="preserve">, </w:t>
      </w:r>
      <w:r w:rsidRPr="00DC2006">
        <w:rPr>
          <w:rFonts w:ascii="Calibri" w:hAnsi="Calibri" w:cs="Calibri"/>
          <w:i/>
          <w:iCs/>
          <w:noProof/>
          <w:szCs w:val="24"/>
        </w:rPr>
        <w:t>10</w:t>
      </w:r>
      <w:r w:rsidRPr="00DC2006">
        <w:rPr>
          <w:rFonts w:ascii="Calibri" w:hAnsi="Calibri" w:cs="Calibri"/>
          <w:noProof/>
          <w:szCs w:val="24"/>
        </w:rPr>
        <w:t>(6). https://doi.org/10.3390/diagnostics10060417</w:t>
      </w:r>
    </w:p>
    <w:p w14:paraId="1A874043"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Hosokawa, I., Allard, M. A., Gelli, M., Ciacio, O., Vibert, E., Cherqui, D., Sa Cunha, A., Castaing, D., Miyazaki, M., &amp; Adam, R. (2016). Long-Term Survival Benefit and Potential for Cure after R1 Resection for Colorectal Liver Metastases. </w:t>
      </w:r>
      <w:r w:rsidRPr="00DC2006">
        <w:rPr>
          <w:rFonts w:ascii="Calibri" w:hAnsi="Calibri" w:cs="Calibri"/>
          <w:i/>
          <w:iCs/>
          <w:noProof/>
          <w:szCs w:val="24"/>
        </w:rPr>
        <w:t>Annals of Surgical Oncology</w:t>
      </w:r>
      <w:r w:rsidRPr="00DC2006">
        <w:rPr>
          <w:rFonts w:ascii="Calibri" w:hAnsi="Calibri" w:cs="Calibri"/>
          <w:noProof/>
          <w:szCs w:val="24"/>
        </w:rPr>
        <w:t xml:space="preserve">, </w:t>
      </w:r>
      <w:r w:rsidRPr="00DC2006">
        <w:rPr>
          <w:rFonts w:ascii="Calibri" w:hAnsi="Calibri" w:cs="Calibri"/>
          <w:i/>
          <w:iCs/>
          <w:noProof/>
          <w:szCs w:val="24"/>
        </w:rPr>
        <w:t>23</w:t>
      </w:r>
      <w:r w:rsidRPr="00DC2006">
        <w:rPr>
          <w:rFonts w:ascii="Calibri" w:hAnsi="Calibri" w:cs="Calibri"/>
          <w:noProof/>
          <w:szCs w:val="24"/>
        </w:rPr>
        <w:t>(6), 1897–1905. https://doi.org/10.1245/s10434-015-5060-8</w:t>
      </w:r>
    </w:p>
    <w:p w14:paraId="51B9186A"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House, M. G., Ito, H., Gönen, M., Fong, Y., Allen, P. J., DeMatteo, R. P., Brennan, M. F., Blumgart, L. H., Jarnagin, W. R., &amp; D’Angelica, M. I. (2010). Survival after Hepatic Resection for Metastatic Colorectal Cancer: Trends in Outcomes for 1,600 Patients during Two Decades at a Single Institution. </w:t>
      </w:r>
      <w:r w:rsidRPr="00DC2006">
        <w:rPr>
          <w:rFonts w:ascii="Calibri" w:hAnsi="Calibri" w:cs="Calibri"/>
          <w:i/>
          <w:iCs/>
          <w:noProof/>
          <w:szCs w:val="24"/>
        </w:rPr>
        <w:t>Journal of the American College of Surgeons</w:t>
      </w:r>
      <w:r w:rsidRPr="00DC2006">
        <w:rPr>
          <w:rFonts w:ascii="Calibri" w:hAnsi="Calibri" w:cs="Calibri"/>
          <w:noProof/>
          <w:szCs w:val="24"/>
        </w:rPr>
        <w:t xml:space="preserve">, </w:t>
      </w:r>
      <w:r w:rsidRPr="00DC2006">
        <w:rPr>
          <w:rFonts w:ascii="Calibri" w:hAnsi="Calibri" w:cs="Calibri"/>
          <w:i/>
          <w:iCs/>
          <w:noProof/>
          <w:szCs w:val="24"/>
        </w:rPr>
        <w:t>210</w:t>
      </w:r>
      <w:r w:rsidRPr="00DC2006">
        <w:rPr>
          <w:rFonts w:ascii="Calibri" w:hAnsi="Calibri" w:cs="Calibri"/>
          <w:noProof/>
          <w:szCs w:val="24"/>
        </w:rPr>
        <w:t>(5), 744–752. https://doi.org/10.1016/j.jamcollsurg.2009.12.040</w:t>
      </w:r>
    </w:p>
    <w:p w14:paraId="44EA7EB0"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Huang, G., Liu, Z., Van Der Maaten, L., &amp; Weinberger, K. Q. (n.d.). </w:t>
      </w:r>
      <w:r w:rsidRPr="00DC2006">
        <w:rPr>
          <w:rFonts w:ascii="Calibri" w:hAnsi="Calibri" w:cs="Calibri"/>
          <w:i/>
          <w:iCs/>
          <w:noProof/>
          <w:szCs w:val="24"/>
        </w:rPr>
        <w:t>Densely Connected Convolutional Networks</w:t>
      </w:r>
      <w:r w:rsidRPr="00DC2006">
        <w:rPr>
          <w:rFonts w:ascii="Calibri" w:hAnsi="Calibri" w:cs="Calibri"/>
          <w:noProof/>
          <w:szCs w:val="24"/>
        </w:rPr>
        <w:t>. Retrieved July 28, 2020, from https://github.com/liuzhuang13/DenseNet.</w:t>
      </w:r>
    </w:p>
    <w:p w14:paraId="730AFA27"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Iizuka, O., Kanavati, F., Kato, K., Rambeau, M., Arihiro, K., &amp; Tsuneki, M. (2020). Deep Learning Models for Histopathological Classification of Gastric and Colonic Epithelial Tumours. </w:t>
      </w:r>
      <w:r w:rsidRPr="00DC2006">
        <w:rPr>
          <w:rFonts w:ascii="Calibri" w:hAnsi="Calibri" w:cs="Calibri"/>
          <w:i/>
          <w:iCs/>
          <w:noProof/>
          <w:szCs w:val="24"/>
        </w:rPr>
        <w:t>Scientific Reports</w:t>
      </w:r>
      <w:r w:rsidRPr="00DC2006">
        <w:rPr>
          <w:rFonts w:ascii="Calibri" w:hAnsi="Calibri" w:cs="Calibri"/>
          <w:noProof/>
          <w:szCs w:val="24"/>
        </w:rPr>
        <w:t xml:space="preserve">, </w:t>
      </w:r>
      <w:r w:rsidRPr="00DC2006">
        <w:rPr>
          <w:rFonts w:ascii="Calibri" w:hAnsi="Calibri" w:cs="Calibri"/>
          <w:i/>
          <w:iCs/>
          <w:noProof/>
          <w:szCs w:val="24"/>
        </w:rPr>
        <w:t>10</w:t>
      </w:r>
      <w:r w:rsidRPr="00DC2006">
        <w:rPr>
          <w:rFonts w:ascii="Calibri" w:hAnsi="Calibri" w:cs="Calibri"/>
          <w:noProof/>
          <w:szCs w:val="24"/>
        </w:rPr>
        <w:t>(1), 1–11. https://doi.org/10.1038/s41598-020-58467-9</w:t>
      </w:r>
    </w:p>
    <w:p w14:paraId="072BB0AB"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Kaye, E. A., Cornelis, F. H., Petre, E. N., Tyagi, N., Shady, W., Shi, W., Zhang, Z., Solomon, S. B., Sofocleous, C. T., &amp; Durack, J. C. (n.d.). </w:t>
      </w:r>
      <w:r w:rsidRPr="00DC2006">
        <w:rPr>
          <w:rFonts w:ascii="Calibri" w:hAnsi="Calibri" w:cs="Calibri"/>
          <w:i/>
          <w:iCs/>
          <w:noProof/>
          <w:szCs w:val="24"/>
        </w:rPr>
        <w:t>Volumetric 3D assessment of ablation zones after thermal ablation of colorectal liver metastases to improve prediction of local tumor progression</w:t>
      </w:r>
      <w:r w:rsidRPr="00DC2006">
        <w:rPr>
          <w:rFonts w:ascii="Calibri" w:hAnsi="Calibri" w:cs="Calibri"/>
          <w:noProof/>
          <w:szCs w:val="24"/>
        </w:rPr>
        <w:t>. https://doi.org/10.1007/s00330-018-5809-0</w:t>
      </w:r>
    </w:p>
    <w:p w14:paraId="32254565"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Kim, K. H., Yoon, Y. S., Yu, C. S., Kim, T. W., Kim, H. J., Kim, P. N., Ha, H. K., &amp; Kim, J. C. (2011). Comparative analysis of radiofrequency ablation and surgical resection for colorectal liver metastases. </w:t>
      </w:r>
      <w:r w:rsidRPr="00DC2006">
        <w:rPr>
          <w:rFonts w:ascii="Calibri" w:hAnsi="Calibri" w:cs="Calibri"/>
          <w:i/>
          <w:iCs/>
          <w:noProof/>
          <w:szCs w:val="24"/>
        </w:rPr>
        <w:t>Journal of the Korean Surgical Society</w:t>
      </w:r>
      <w:r w:rsidRPr="00DC2006">
        <w:rPr>
          <w:rFonts w:ascii="Calibri" w:hAnsi="Calibri" w:cs="Calibri"/>
          <w:noProof/>
          <w:szCs w:val="24"/>
        </w:rPr>
        <w:t xml:space="preserve">, </w:t>
      </w:r>
      <w:r w:rsidRPr="00DC2006">
        <w:rPr>
          <w:rFonts w:ascii="Calibri" w:hAnsi="Calibri" w:cs="Calibri"/>
          <w:i/>
          <w:iCs/>
          <w:noProof/>
          <w:szCs w:val="24"/>
        </w:rPr>
        <w:t>81</w:t>
      </w:r>
      <w:r w:rsidRPr="00DC2006">
        <w:rPr>
          <w:rFonts w:ascii="Calibri" w:hAnsi="Calibri" w:cs="Calibri"/>
          <w:noProof/>
          <w:szCs w:val="24"/>
        </w:rPr>
        <w:t>(1), 25. https://doi.org/10.4174/jkss.2011.81.1.25</w:t>
      </w:r>
    </w:p>
    <w:p w14:paraId="5AE41326"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Lou, B., Doken, S., Zhuang, T., Wingerter, D., Gidwani, M., Mistry, N., Ladic, L., Kamen, A., &amp; Abazeed, M. </w:t>
      </w:r>
      <w:r w:rsidRPr="00DC2006">
        <w:rPr>
          <w:rFonts w:ascii="Calibri" w:hAnsi="Calibri" w:cs="Calibri"/>
          <w:noProof/>
          <w:szCs w:val="24"/>
        </w:rPr>
        <w:lastRenderedPageBreak/>
        <w:t xml:space="preserve">E. (2019). An image-based deep learning framework for individualising radiotherapy dose: a retrospective analysis of outcome prediction. </w:t>
      </w:r>
      <w:r w:rsidRPr="00DC2006">
        <w:rPr>
          <w:rFonts w:ascii="Calibri" w:hAnsi="Calibri" w:cs="Calibri"/>
          <w:i/>
          <w:iCs/>
          <w:noProof/>
          <w:szCs w:val="24"/>
        </w:rPr>
        <w:t>The Lancet Digital Health</w:t>
      </w:r>
      <w:r w:rsidRPr="00DC2006">
        <w:rPr>
          <w:rFonts w:ascii="Calibri" w:hAnsi="Calibri" w:cs="Calibri"/>
          <w:noProof/>
          <w:szCs w:val="24"/>
        </w:rPr>
        <w:t xml:space="preserve">, </w:t>
      </w:r>
      <w:r w:rsidRPr="00DC2006">
        <w:rPr>
          <w:rFonts w:ascii="Calibri" w:hAnsi="Calibri" w:cs="Calibri"/>
          <w:i/>
          <w:iCs/>
          <w:noProof/>
          <w:szCs w:val="24"/>
        </w:rPr>
        <w:t>1</w:t>
      </w:r>
      <w:r w:rsidRPr="00DC2006">
        <w:rPr>
          <w:rFonts w:ascii="Calibri" w:hAnsi="Calibri" w:cs="Calibri"/>
          <w:noProof/>
          <w:szCs w:val="24"/>
        </w:rPr>
        <w:t>(3), e136–e147. https://doi.org/10.1016/S2589-7500(19)30058-5</w:t>
      </w:r>
    </w:p>
    <w:p w14:paraId="7ABF8260"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Mandrekar, J. N. (2010). Receiver operating characteristic curve in diagnostic test assessment. </w:t>
      </w:r>
      <w:r w:rsidRPr="00DC2006">
        <w:rPr>
          <w:rFonts w:ascii="Calibri" w:hAnsi="Calibri" w:cs="Calibri"/>
          <w:i/>
          <w:iCs/>
          <w:noProof/>
          <w:szCs w:val="24"/>
        </w:rPr>
        <w:t>Journal of Thoracic Oncology</w:t>
      </w:r>
      <w:r w:rsidRPr="00DC2006">
        <w:rPr>
          <w:rFonts w:ascii="Calibri" w:hAnsi="Calibri" w:cs="Calibri"/>
          <w:noProof/>
          <w:szCs w:val="24"/>
        </w:rPr>
        <w:t xml:space="preserve">, </w:t>
      </w:r>
      <w:r w:rsidRPr="00DC2006">
        <w:rPr>
          <w:rFonts w:ascii="Calibri" w:hAnsi="Calibri" w:cs="Calibri"/>
          <w:i/>
          <w:iCs/>
          <w:noProof/>
          <w:szCs w:val="24"/>
        </w:rPr>
        <w:t>5</w:t>
      </w:r>
      <w:r w:rsidRPr="00DC2006">
        <w:rPr>
          <w:rFonts w:ascii="Calibri" w:hAnsi="Calibri" w:cs="Calibri"/>
          <w:noProof/>
          <w:szCs w:val="24"/>
        </w:rPr>
        <w:t>(9), 1315–1316. https://doi.org/10.1097/JTO.0b013e3181ec173d</w:t>
      </w:r>
    </w:p>
    <w:p w14:paraId="1FF99A75"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Nordlinger, B., Sorbye, H., Glimelius, B., Poston, G. J., Schlag, P. M., Rougier, P., Bechstein, W. O., Primrose, J. N., Walpole, E. T., Finch-Jones, M., Jaeck, D., Mirza, D., Parks, R. W., Mauer, M., Tanis, E., Van Cutsem, E., Scheithauer, W., &amp; Gruenberger, T. (2013). Perioperative FOLFOX4 chemotherapy and surgery versus surgery alone for resectable liver metastases from colorectal cancer (EORTC 40983): Long-term results of a randomised, controlled, phase 3 trial. </w:t>
      </w:r>
      <w:r w:rsidRPr="00DC2006">
        <w:rPr>
          <w:rFonts w:ascii="Calibri" w:hAnsi="Calibri" w:cs="Calibri"/>
          <w:i/>
          <w:iCs/>
          <w:noProof/>
          <w:szCs w:val="24"/>
        </w:rPr>
        <w:t>The Lancet Oncology</w:t>
      </w:r>
      <w:r w:rsidRPr="00DC2006">
        <w:rPr>
          <w:rFonts w:ascii="Calibri" w:hAnsi="Calibri" w:cs="Calibri"/>
          <w:noProof/>
          <w:szCs w:val="24"/>
        </w:rPr>
        <w:t xml:space="preserve">, </w:t>
      </w:r>
      <w:r w:rsidRPr="00DC2006">
        <w:rPr>
          <w:rFonts w:ascii="Calibri" w:hAnsi="Calibri" w:cs="Calibri"/>
          <w:i/>
          <w:iCs/>
          <w:noProof/>
          <w:szCs w:val="24"/>
        </w:rPr>
        <w:t>14</w:t>
      </w:r>
      <w:r w:rsidRPr="00DC2006">
        <w:rPr>
          <w:rFonts w:ascii="Calibri" w:hAnsi="Calibri" w:cs="Calibri"/>
          <w:noProof/>
          <w:szCs w:val="24"/>
        </w:rPr>
        <w:t>(12), 1208–1215. https://doi.org/10.1016/S1470-2045(13)70447-9</w:t>
      </w:r>
    </w:p>
    <w:p w14:paraId="45A73E77"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Sibinga Mulder, B. G., Hendriks, P., Baetens, T. R., Van Erkel, A. R., Van Rijswijk, C. S. P., Van Der Meer, R. W., Van De Velde, C. J. H., Vahrmeijer, A. L., Mieog, J. S. D., &amp; Burgmans, M. C. (2019). Quantitative margin assessment of radiofrequency ablation of a solitary colorectal hepatic metastasis using MIRADA RTx on CT scans: A feasibility study. </w:t>
      </w:r>
      <w:r w:rsidRPr="00DC2006">
        <w:rPr>
          <w:rFonts w:ascii="Calibri" w:hAnsi="Calibri" w:cs="Calibri"/>
          <w:i/>
          <w:iCs/>
          <w:noProof/>
          <w:szCs w:val="24"/>
        </w:rPr>
        <w:t>BMC Medical Imaging</w:t>
      </w:r>
      <w:r w:rsidRPr="00DC2006">
        <w:rPr>
          <w:rFonts w:ascii="Calibri" w:hAnsi="Calibri" w:cs="Calibri"/>
          <w:noProof/>
          <w:szCs w:val="24"/>
        </w:rPr>
        <w:t xml:space="preserve">, </w:t>
      </w:r>
      <w:r w:rsidRPr="00DC2006">
        <w:rPr>
          <w:rFonts w:ascii="Calibri" w:hAnsi="Calibri" w:cs="Calibri"/>
          <w:i/>
          <w:iCs/>
          <w:noProof/>
          <w:szCs w:val="24"/>
        </w:rPr>
        <w:t>19</w:t>
      </w:r>
      <w:r w:rsidRPr="00DC2006">
        <w:rPr>
          <w:rFonts w:ascii="Calibri" w:hAnsi="Calibri" w:cs="Calibri"/>
          <w:noProof/>
          <w:szCs w:val="24"/>
        </w:rPr>
        <w:t>(1), 71. https://doi.org/10.1186/s12880-019-0360-2</w:t>
      </w:r>
    </w:p>
    <w:p w14:paraId="3C142B68"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Siegel, R. L., Miller, K. D., &amp; Jemal, A. (2019). Cancer statistics, 2019. </w:t>
      </w:r>
      <w:r w:rsidRPr="00DC2006">
        <w:rPr>
          <w:rFonts w:ascii="Calibri" w:hAnsi="Calibri" w:cs="Calibri"/>
          <w:i/>
          <w:iCs/>
          <w:noProof/>
          <w:szCs w:val="24"/>
        </w:rPr>
        <w:t>CA: A Cancer Journal for Clinicians</w:t>
      </w:r>
      <w:r w:rsidRPr="00DC2006">
        <w:rPr>
          <w:rFonts w:ascii="Calibri" w:hAnsi="Calibri" w:cs="Calibri"/>
          <w:noProof/>
          <w:szCs w:val="24"/>
        </w:rPr>
        <w:t xml:space="preserve">, </w:t>
      </w:r>
      <w:r w:rsidRPr="00DC2006">
        <w:rPr>
          <w:rFonts w:ascii="Calibri" w:hAnsi="Calibri" w:cs="Calibri"/>
          <w:i/>
          <w:iCs/>
          <w:noProof/>
          <w:szCs w:val="24"/>
        </w:rPr>
        <w:t>69</w:t>
      </w:r>
      <w:r w:rsidRPr="00DC2006">
        <w:rPr>
          <w:rFonts w:ascii="Calibri" w:hAnsi="Calibri" w:cs="Calibri"/>
          <w:noProof/>
          <w:szCs w:val="24"/>
        </w:rPr>
        <w:t>(1), 7–34. https://doi.org/10.3322/caac.21551</w:t>
      </w:r>
    </w:p>
    <w:p w14:paraId="6CD1F5E4"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Solbiati, L., Ahmed, M., Cova, L., Ierace, T., Brioschi, M., &amp; Goldberg, S. N. (2012). Small liver colorectal metastases treated with percutaneous radiofrequency ablation: Local response rate and long-term survival with up to 10-year follow-up. </w:t>
      </w:r>
      <w:r w:rsidRPr="00DC2006">
        <w:rPr>
          <w:rFonts w:ascii="Calibri" w:hAnsi="Calibri" w:cs="Calibri"/>
          <w:i/>
          <w:iCs/>
          <w:noProof/>
          <w:szCs w:val="24"/>
        </w:rPr>
        <w:t>Radiology</w:t>
      </w:r>
      <w:r w:rsidRPr="00DC2006">
        <w:rPr>
          <w:rFonts w:ascii="Calibri" w:hAnsi="Calibri" w:cs="Calibri"/>
          <w:noProof/>
          <w:szCs w:val="24"/>
        </w:rPr>
        <w:t xml:space="preserve">, </w:t>
      </w:r>
      <w:r w:rsidRPr="00DC2006">
        <w:rPr>
          <w:rFonts w:ascii="Calibri" w:hAnsi="Calibri" w:cs="Calibri"/>
          <w:i/>
          <w:iCs/>
          <w:noProof/>
          <w:szCs w:val="24"/>
        </w:rPr>
        <w:t>265</w:t>
      </w:r>
      <w:r w:rsidRPr="00DC2006">
        <w:rPr>
          <w:rFonts w:ascii="Calibri" w:hAnsi="Calibri" w:cs="Calibri"/>
          <w:noProof/>
          <w:szCs w:val="24"/>
        </w:rPr>
        <w:t>(3), 958–968. https://doi.org/10.1148/radiol.12111851</w:t>
      </w:r>
    </w:p>
    <w:p w14:paraId="4DD3261C"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Sundararajan, M., Taly, A., &amp; Yan, Q. (2017). </w:t>
      </w:r>
      <w:r w:rsidRPr="00DC2006">
        <w:rPr>
          <w:rFonts w:ascii="Calibri" w:hAnsi="Calibri" w:cs="Calibri"/>
          <w:i/>
          <w:iCs/>
          <w:noProof/>
          <w:szCs w:val="24"/>
        </w:rPr>
        <w:t>Axiomatic Attribution for Deep Networks</w:t>
      </w:r>
      <w:r w:rsidRPr="00DC2006">
        <w:rPr>
          <w:rFonts w:ascii="Calibri" w:hAnsi="Calibri" w:cs="Calibri"/>
          <w:noProof/>
          <w:szCs w:val="24"/>
        </w:rPr>
        <w:t>.</w:t>
      </w:r>
    </w:p>
    <w:p w14:paraId="3869EACC"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szCs w:val="24"/>
        </w:rPr>
      </w:pPr>
      <w:r w:rsidRPr="00DC2006">
        <w:rPr>
          <w:rFonts w:ascii="Calibri" w:hAnsi="Calibri" w:cs="Calibri"/>
          <w:noProof/>
          <w:szCs w:val="24"/>
        </w:rPr>
        <w:t xml:space="preserve">van der Pool, A. E. M., Damhuis, R. A., Ijzermans, J. N. M., de Wilt, J. H. W., Eggermont, A. M. M., Kranse, R., &amp; Verhoef, C. (2012). Trends in incidence, treatment and survival of patients with stage IV colorectal cancer: A population-based series. </w:t>
      </w:r>
      <w:r w:rsidRPr="00DC2006">
        <w:rPr>
          <w:rFonts w:ascii="Calibri" w:hAnsi="Calibri" w:cs="Calibri"/>
          <w:i/>
          <w:iCs/>
          <w:noProof/>
          <w:szCs w:val="24"/>
        </w:rPr>
        <w:t>Colorectal Disease</w:t>
      </w:r>
      <w:r w:rsidRPr="00DC2006">
        <w:rPr>
          <w:rFonts w:ascii="Calibri" w:hAnsi="Calibri" w:cs="Calibri"/>
          <w:noProof/>
          <w:szCs w:val="24"/>
        </w:rPr>
        <w:t xml:space="preserve">, </w:t>
      </w:r>
      <w:r w:rsidRPr="00DC2006">
        <w:rPr>
          <w:rFonts w:ascii="Calibri" w:hAnsi="Calibri" w:cs="Calibri"/>
          <w:i/>
          <w:iCs/>
          <w:noProof/>
          <w:szCs w:val="24"/>
        </w:rPr>
        <w:t>14</w:t>
      </w:r>
      <w:r w:rsidRPr="00DC2006">
        <w:rPr>
          <w:rFonts w:ascii="Calibri" w:hAnsi="Calibri" w:cs="Calibri"/>
          <w:noProof/>
          <w:szCs w:val="24"/>
        </w:rPr>
        <w:t>(1), 56–61. https://doi.org/10.1111/j.1463-1318.2010.02539.x</w:t>
      </w:r>
    </w:p>
    <w:p w14:paraId="526159CB" w14:textId="77777777" w:rsidR="00DC2006" w:rsidRPr="00DC2006" w:rsidRDefault="00DC2006" w:rsidP="00DC2006">
      <w:pPr>
        <w:widowControl w:val="0"/>
        <w:autoSpaceDE w:val="0"/>
        <w:autoSpaceDN w:val="0"/>
        <w:adjustRightInd w:val="0"/>
        <w:spacing w:line="240" w:lineRule="auto"/>
        <w:ind w:left="480" w:hanging="480"/>
        <w:rPr>
          <w:rFonts w:ascii="Calibri" w:hAnsi="Calibri" w:cs="Calibri"/>
          <w:noProof/>
        </w:rPr>
      </w:pPr>
      <w:r w:rsidRPr="00DC2006">
        <w:rPr>
          <w:rFonts w:ascii="Calibri" w:hAnsi="Calibri" w:cs="Calibri"/>
          <w:noProof/>
          <w:szCs w:val="24"/>
        </w:rPr>
        <w:t xml:space="preserve">Velec, M., Moseley, J. L., Svensson, S., Hårdemark, B., Jaffray, D. A., &amp; Brock, K. K. (2017). Validation of biomechanical deformable image registration in the abdomen, thorax, and pelvis in a commercial radiotherapy treatment planning system. </w:t>
      </w:r>
      <w:r w:rsidRPr="00DC2006">
        <w:rPr>
          <w:rFonts w:ascii="Calibri" w:hAnsi="Calibri" w:cs="Calibri"/>
          <w:i/>
          <w:iCs/>
          <w:noProof/>
          <w:szCs w:val="24"/>
        </w:rPr>
        <w:t>Medical Physics</w:t>
      </w:r>
      <w:r w:rsidRPr="00DC2006">
        <w:rPr>
          <w:rFonts w:ascii="Calibri" w:hAnsi="Calibri" w:cs="Calibri"/>
          <w:noProof/>
          <w:szCs w:val="24"/>
        </w:rPr>
        <w:t xml:space="preserve">, </w:t>
      </w:r>
      <w:r w:rsidRPr="00DC2006">
        <w:rPr>
          <w:rFonts w:ascii="Calibri" w:hAnsi="Calibri" w:cs="Calibri"/>
          <w:i/>
          <w:iCs/>
          <w:noProof/>
          <w:szCs w:val="24"/>
        </w:rPr>
        <w:t>44</w:t>
      </w:r>
      <w:r w:rsidRPr="00DC2006">
        <w:rPr>
          <w:rFonts w:ascii="Calibri" w:hAnsi="Calibri" w:cs="Calibri"/>
          <w:noProof/>
          <w:szCs w:val="24"/>
        </w:rPr>
        <w:t>(7), 3407–3417. https://doi.org/10.1002/mp.12307</w:t>
      </w:r>
    </w:p>
    <w:p w14:paraId="50B7075C" w14:textId="59D00314" w:rsidR="00DC2006" w:rsidRPr="00DC2006" w:rsidRDefault="00DC2006" w:rsidP="00DC2006">
      <w:r>
        <w:fldChar w:fldCharType="end"/>
      </w:r>
    </w:p>
    <w:sectPr w:rsidR="00DC2006" w:rsidRPr="00DC2006" w:rsidSect="001468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F6FFE"/>
    <w:multiLevelType w:val="hybridMultilevel"/>
    <w:tmpl w:val="759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E5884"/>
    <w:multiLevelType w:val="hybridMultilevel"/>
    <w:tmpl w:val="0A46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29"/>
    <w:rsid w:val="000165BC"/>
    <w:rsid w:val="00025F3C"/>
    <w:rsid w:val="00036337"/>
    <w:rsid w:val="00087304"/>
    <w:rsid w:val="000C6402"/>
    <w:rsid w:val="001179DF"/>
    <w:rsid w:val="001E3DB0"/>
    <w:rsid w:val="00271155"/>
    <w:rsid w:val="002C663F"/>
    <w:rsid w:val="002C71D5"/>
    <w:rsid w:val="002F3A77"/>
    <w:rsid w:val="0039685C"/>
    <w:rsid w:val="004603CC"/>
    <w:rsid w:val="00474301"/>
    <w:rsid w:val="0049704B"/>
    <w:rsid w:val="004D7BB8"/>
    <w:rsid w:val="00544159"/>
    <w:rsid w:val="00552DEB"/>
    <w:rsid w:val="005E0429"/>
    <w:rsid w:val="005E4534"/>
    <w:rsid w:val="00630EAF"/>
    <w:rsid w:val="00653474"/>
    <w:rsid w:val="006B5258"/>
    <w:rsid w:val="00786E97"/>
    <w:rsid w:val="007A06EF"/>
    <w:rsid w:val="007A1CB8"/>
    <w:rsid w:val="007A61A9"/>
    <w:rsid w:val="007B7C7B"/>
    <w:rsid w:val="00892413"/>
    <w:rsid w:val="008A3130"/>
    <w:rsid w:val="008C17EF"/>
    <w:rsid w:val="008C33DD"/>
    <w:rsid w:val="008E4A90"/>
    <w:rsid w:val="008F1A40"/>
    <w:rsid w:val="00951C89"/>
    <w:rsid w:val="00962B2D"/>
    <w:rsid w:val="00990D28"/>
    <w:rsid w:val="009B6A81"/>
    <w:rsid w:val="00A0122C"/>
    <w:rsid w:val="00A43A0E"/>
    <w:rsid w:val="00A43E9C"/>
    <w:rsid w:val="00A76ABA"/>
    <w:rsid w:val="00A90701"/>
    <w:rsid w:val="00AA7FA1"/>
    <w:rsid w:val="00AB011C"/>
    <w:rsid w:val="00AE1D94"/>
    <w:rsid w:val="00B13609"/>
    <w:rsid w:val="00B54FFA"/>
    <w:rsid w:val="00BA0A8B"/>
    <w:rsid w:val="00BB11D5"/>
    <w:rsid w:val="00BD2057"/>
    <w:rsid w:val="00C27039"/>
    <w:rsid w:val="00C8357D"/>
    <w:rsid w:val="00D14939"/>
    <w:rsid w:val="00D40923"/>
    <w:rsid w:val="00D4452A"/>
    <w:rsid w:val="00DC2006"/>
    <w:rsid w:val="00E13577"/>
    <w:rsid w:val="00E71752"/>
    <w:rsid w:val="00F16285"/>
    <w:rsid w:val="00F43C61"/>
    <w:rsid w:val="00F51EF0"/>
    <w:rsid w:val="00F72417"/>
    <w:rsid w:val="00FE5148"/>
    <w:rsid w:val="00F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E2A6"/>
  <w15:chartTrackingRefBased/>
  <w15:docId w15:val="{454C8AF6-7FA2-490D-B656-F9D8E5B6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E04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3D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4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6402"/>
    <w:pPr>
      <w:ind w:left="720"/>
      <w:contextualSpacing/>
    </w:pPr>
  </w:style>
  <w:style w:type="character" w:customStyle="1" w:styleId="Heading3Char">
    <w:name w:val="Heading 3 Char"/>
    <w:basedOn w:val="DefaultParagraphFont"/>
    <w:link w:val="Heading3"/>
    <w:uiPriority w:val="9"/>
    <w:rsid w:val="008F1A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43E9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E3DB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C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3474"/>
    <w:rPr>
      <w:color w:val="0563C1" w:themeColor="hyperlink"/>
      <w:u w:val="single"/>
    </w:rPr>
  </w:style>
  <w:style w:type="character" w:customStyle="1" w:styleId="UnresolvedMention">
    <w:name w:val="Unresolved Mention"/>
    <w:basedOn w:val="DefaultParagraphFont"/>
    <w:uiPriority w:val="99"/>
    <w:semiHidden/>
    <w:unhideWhenUsed/>
    <w:rsid w:val="0065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43003">
      <w:bodyDiv w:val="1"/>
      <w:marLeft w:val="0"/>
      <w:marRight w:val="0"/>
      <w:marTop w:val="0"/>
      <w:marBottom w:val="0"/>
      <w:divBdr>
        <w:top w:val="none" w:sz="0" w:space="0" w:color="auto"/>
        <w:left w:val="none" w:sz="0" w:space="0" w:color="auto"/>
        <w:bottom w:val="none" w:sz="0" w:space="0" w:color="auto"/>
        <w:right w:val="none" w:sz="0" w:space="0" w:color="auto"/>
      </w:divBdr>
    </w:div>
    <w:div w:id="617831788">
      <w:bodyDiv w:val="1"/>
      <w:marLeft w:val="0"/>
      <w:marRight w:val="0"/>
      <w:marTop w:val="0"/>
      <w:marBottom w:val="0"/>
      <w:divBdr>
        <w:top w:val="none" w:sz="0" w:space="0" w:color="auto"/>
        <w:left w:val="none" w:sz="0" w:space="0" w:color="auto"/>
        <w:bottom w:val="none" w:sz="0" w:space="0" w:color="auto"/>
        <w:right w:val="none" w:sz="0" w:space="0" w:color="auto"/>
      </w:divBdr>
    </w:div>
    <w:div w:id="813370956">
      <w:bodyDiv w:val="1"/>
      <w:marLeft w:val="0"/>
      <w:marRight w:val="0"/>
      <w:marTop w:val="0"/>
      <w:marBottom w:val="0"/>
      <w:divBdr>
        <w:top w:val="none" w:sz="0" w:space="0" w:color="auto"/>
        <w:left w:val="none" w:sz="0" w:space="0" w:color="auto"/>
        <w:bottom w:val="none" w:sz="0" w:space="0" w:color="auto"/>
        <w:right w:val="none" w:sz="0" w:space="0" w:color="auto"/>
      </w:divBdr>
    </w:div>
    <w:div w:id="1154026267">
      <w:bodyDiv w:val="1"/>
      <w:marLeft w:val="0"/>
      <w:marRight w:val="0"/>
      <w:marTop w:val="0"/>
      <w:marBottom w:val="0"/>
      <w:divBdr>
        <w:top w:val="none" w:sz="0" w:space="0" w:color="auto"/>
        <w:left w:val="none" w:sz="0" w:space="0" w:color="auto"/>
        <w:bottom w:val="none" w:sz="0" w:space="0" w:color="auto"/>
        <w:right w:val="none" w:sz="0" w:space="0" w:color="auto"/>
      </w:divBdr>
    </w:div>
    <w:div w:id="1357119957">
      <w:bodyDiv w:val="1"/>
      <w:marLeft w:val="0"/>
      <w:marRight w:val="0"/>
      <w:marTop w:val="0"/>
      <w:marBottom w:val="0"/>
      <w:divBdr>
        <w:top w:val="none" w:sz="0" w:space="0" w:color="auto"/>
        <w:left w:val="none" w:sz="0" w:space="0" w:color="auto"/>
        <w:bottom w:val="none" w:sz="0" w:space="0" w:color="auto"/>
        <w:right w:val="none" w:sz="0" w:space="0" w:color="auto"/>
      </w:divBdr>
    </w:div>
    <w:div w:id="1554072955">
      <w:bodyDiv w:val="1"/>
      <w:marLeft w:val="0"/>
      <w:marRight w:val="0"/>
      <w:marTop w:val="0"/>
      <w:marBottom w:val="0"/>
      <w:divBdr>
        <w:top w:val="none" w:sz="0" w:space="0" w:color="auto"/>
        <w:left w:val="none" w:sz="0" w:space="0" w:color="auto"/>
        <w:bottom w:val="none" w:sz="0" w:space="0" w:color="auto"/>
        <w:right w:val="none" w:sz="0" w:space="0" w:color="auto"/>
      </w:divBdr>
    </w:div>
    <w:div w:id="198889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structured_data/imbalanced_da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nsorflow.org/tutorials/interpretability/integrated_gradient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pyimagesearch.com/2019/08/05/keras-learning-rate-finde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1D649-E3CD-4BB6-BD66-AFA8A084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14</Pages>
  <Words>19195</Words>
  <Characters>118630</Characters>
  <Application>Microsoft Office Word</Application>
  <DocSecurity>0</DocSecurity>
  <Lines>1883</Lines>
  <Paragraphs>1252</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136573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Anderson,Brian M</cp:lastModifiedBy>
  <cp:revision>40</cp:revision>
  <dcterms:created xsi:type="dcterms:W3CDTF">2021-01-14T14:10:00Z</dcterms:created>
  <dcterms:modified xsi:type="dcterms:W3CDTF">2021-04-16T16:06:00Z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