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0312" w14:textId="5CBC43A6" w:rsidR="00A5612A" w:rsidRDefault="00073034">
      <w:r>
        <w:t>Name: QUNTECRADIATION.ORG</w:t>
      </w:r>
    </w:p>
    <w:p w14:paraId="66EE38A2" w14:textId="77777777" w:rsidR="00283524" w:rsidRDefault="00283524">
      <w:r>
        <w:t xml:space="preserve">Bought through </w:t>
      </w:r>
    </w:p>
    <w:p w14:paraId="5BAD80FC" w14:textId="1CD88220" w:rsidR="00073034" w:rsidRDefault="00283524">
      <w:hyperlink r:id="rId5" w:history="1">
        <w:r w:rsidRPr="00AE0EF4">
          <w:rPr>
            <w:rStyle w:val="Hyperlink"/>
          </w:rPr>
          <w:t>www.namecheap.com</w:t>
        </w:r>
      </w:hyperlink>
    </w:p>
    <w:p w14:paraId="163AC5F6" w14:textId="29B6931F" w:rsidR="00073034" w:rsidRDefault="00073034">
      <w:r>
        <w:t>Main page layout perhaps similar to PENTEC, but Brian, I suspect you can do better</w:t>
      </w:r>
    </w:p>
    <w:p w14:paraId="61223341" w14:textId="77777777" w:rsidR="00E55C09" w:rsidRDefault="00E55C09"/>
    <w:p w14:paraId="60A512A0" w14:textId="0CA661BA" w:rsidR="00E55C09" w:rsidRDefault="00E55C09">
      <w:r>
        <w:rPr>
          <w:noProof/>
        </w:rPr>
        <w:drawing>
          <wp:inline distT="0" distB="0" distL="0" distR="0" wp14:anchorId="65FFDD88" wp14:editId="54F44F94">
            <wp:extent cx="5943600" cy="4968240"/>
            <wp:effectExtent l="0" t="0" r="0" b="3810"/>
            <wp:docPr id="428964615" name="Picture 1" descr="A close-up of hands holding a yellow ribb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64615" name="Picture 1" descr="A close-up of hands holding a yellow ribb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7E77" w14:textId="1672AA53" w:rsidR="005A55DE" w:rsidRDefault="005A55DE">
      <w:r>
        <w:t xml:space="preserve">Need a cool picture or even better rotating pictures. Here is </w:t>
      </w:r>
      <w:r w:rsidR="005B5FB0">
        <w:t xml:space="preserve">a </w:t>
      </w:r>
      <w:r w:rsidR="00642116">
        <w:t>few</w:t>
      </w:r>
      <w:r>
        <w:t>:</w:t>
      </w:r>
    </w:p>
    <w:p w14:paraId="72290C11" w14:textId="1DE96A33" w:rsidR="005A55DE" w:rsidRDefault="005A55DE">
      <w:r>
        <w:rPr>
          <w:noProof/>
        </w:rPr>
        <w:lastRenderedPageBreak/>
        <w:drawing>
          <wp:inline distT="0" distB="0" distL="0" distR="0" wp14:anchorId="1E9BDCA1" wp14:editId="5F01EF7D">
            <wp:extent cx="5943600" cy="3839210"/>
            <wp:effectExtent l="0" t="0" r="0" b="8890"/>
            <wp:docPr id="19517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9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61A8" w14:textId="33499A69" w:rsidR="005A55DE" w:rsidRDefault="005A55DE">
      <w:r>
        <w:t>And this (resolution is crap):</w:t>
      </w:r>
    </w:p>
    <w:p w14:paraId="307D01C5" w14:textId="6741263E" w:rsidR="005A55DE" w:rsidRDefault="005A55DE">
      <w:r>
        <w:rPr>
          <w:noProof/>
        </w:rPr>
        <w:drawing>
          <wp:inline distT="0" distB="0" distL="0" distR="0" wp14:anchorId="49651820" wp14:editId="150CFC39">
            <wp:extent cx="5943600" cy="1680845"/>
            <wp:effectExtent l="0" t="0" r="0" b="0"/>
            <wp:docPr id="1248174055" name="Picture 1" descr="A red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74055" name="Picture 1" descr="A red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4036" w14:textId="77777777" w:rsidR="00642116" w:rsidRDefault="00642116">
      <w:pPr>
        <w:rPr>
          <w:b/>
          <w:bCs/>
          <w:sz w:val="36"/>
          <w:szCs w:val="36"/>
        </w:rPr>
      </w:pPr>
    </w:p>
    <w:p w14:paraId="4D1616BF" w14:textId="4E6E9C43" w:rsidR="00642116" w:rsidRDefault="006421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Some visual art to say “In collaboration between AAPM, ASTRO and ESTR</w:t>
      </w:r>
      <w:r w:rsidR="006F051E">
        <w:rPr>
          <w:b/>
          <w:bCs/>
          <w:sz w:val="36"/>
          <w:szCs w:val="36"/>
        </w:rPr>
        <w:t>O</w:t>
      </w:r>
      <w:r>
        <w:rPr>
          <w:b/>
          <w:bCs/>
          <w:sz w:val="36"/>
          <w:szCs w:val="36"/>
        </w:rPr>
        <w:t>” but I would rather not use the logos as this is for now only a</w:t>
      </w:r>
      <w:r w:rsidR="006F051E">
        <w:rPr>
          <w:b/>
          <w:bCs/>
          <w:sz w:val="36"/>
          <w:szCs w:val="36"/>
        </w:rPr>
        <w:t>n</w:t>
      </w:r>
      <w:r>
        <w:rPr>
          <w:b/>
          <w:bCs/>
          <w:sz w:val="36"/>
          <w:szCs w:val="36"/>
        </w:rPr>
        <w:t xml:space="preserve"> agreement reached at the ASTRO kick-off meeting</w:t>
      </w:r>
      <w:r w:rsidR="006F051E">
        <w:rPr>
          <w:b/>
          <w:bCs/>
          <w:sz w:val="36"/>
          <w:szCs w:val="36"/>
        </w:rPr>
        <w:t>, nothing formal</w:t>
      </w:r>
    </w:p>
    <w:p w14:paraId="28B7272D" w14:textId="77777777" w:rsidR="00642116" w:rsidRDefault="00642116">
      <w:pPr>
        <w:rPr>
          <w:b/>
          <w:bCs/>
          <w:sz w:val="36"/>
          <w:szCs w:val="36"/>
        </w:rPr>
      </w:pPr>
    </w:p>
    <w:p w14:paraId="304598DD" w14:textId="19353175" w:rsidR="00E55C09" w:rsidRPr="00DB4A4A" w:rsidRDefault="006364B5">
      <w:pPr>
        <w:rPr>
          <w:b/>
          <w:bCs/>
          <w:sz w:val="36"/>
          <w:szCs w:val="36"/>
        </w:rPr>
      </w:pPr>
      <w:r w:rsidRPr="00DB4A4A">
        <w:rPr>
          <w:b/>
          <w:bCs/>
          <w:sz w:val="36"/>
          <w:szCs w:val="36"/>
        </w:rPr>
        <w:lastRenderedPageBreak/>
        <w:t xml:space="preserve">Tab 1 after Home: </w:t>
      </w:r>
      <w:r w:rsidR="00E55C09" w:rsidRPr="00DB4A4A">
        <w:rPr>
          <w:b/>
          <w:bCs/>
          <w:sz w:val="36"/>
          <w:szCs w:val="36"/>
        </w:rPr>
        <w:t>QUANTEC</w:t>
      </w:r>
    </w:p>
    <w:p w14:paraId="734915C5" w14:textId="2D8BCC64" w:rsidR="006364B5" w:rsidRDefault="006364B5">
      <w:r>
        <w:t>Pulldown menu</w:t>
      </w:r>
    </w:p>
    <w:p w14:paraId="35EC6268" w14:textId="7BCC90F1" w:rsidR="006364B5" w:rsidRDefault="006364B5">
      <w:r w:rsidRPr="00BD188C">
        <w:rPr>
          <w:b/>
          <w:bCs/>
        </w:rPr>
        <w:t>Publication.</w:t>
      </w:r>
      <w:r>
        <w:t xml:space="preserve"> QUANTEC (</w:t>
      </w:r>
      <w:r w:rsidR="00E55C09">
        <w:t>Quantitative Analysis of Normal Tissue Effects in the Clinic</w:t>
      </w:r>
      <w:r>
        <w:t>) reports were published as a special issue of the International Journal of Radiation Oncology Biology Physics (red Journal)</w:t>
      </w:r>
      <w:r w:rsidR="00036E29">
        <w:t>, 2010, Vol. 76, No. 3, Supplement:</w:t>
      </w:r>
      <w:r>
        <w:t xml:space="preserve"> </w:t>
      </w:r>
    </w:p>
    <w:p w14:paraId="5789C13C" w14:textId="02D20CC2" w:rsidR="00E55C09" w:rsidRDefault="006364B5">
      <w:hyperlink r:id="rId9" w:history="1">
        <w:r w:rsidRPr="001A6EF2">
          <w:rPr>
            <w:rStyle w:val="Hyperlink"/>
          </w:rPr>
          <w:t>https://www.redjournal.org/issue/S0360-3016(10)X0002-5</w:t>
        </w:r>
      </w:hyperlink>
    </w:p>
    <w:p w14:paraId="26C90038" w14:textId="226CCDE6" w:rsidR="006364B5" w:rsidRDefault="006364B5">
      <w:r>
        <w:t>This issue included 3 introductory, 16 organ-specific and 5 vision papers.</w:t>
      </w:r>
    </w:p>
    <w:p w14:paraId="3FDA3A6F" w14:textId="1718FCE8" w:rsidR="006364B5" w:rsidRDefault="006364B5" w:rsidP="00036E29">
      <w:r w:rsidRPr="00BD188C">
        <w:rPr>
          <w:b/>
          <w:bCs/>
        </w:rPr>
        <w:t>QUANTEC</w:t>
      </w:r>
      <w:r w:rsidR="00036E29" w:rsidRPr="00BD188C">
        <w:rPr>
          <w:b/>
          <w:bCs/>
        </w:rPr>
        <w:t xml:space="preserve"> objective</w:t>
      </w:r>
      <w:r w:rsidRPr="00BD188C">
        <w:rPr>
          <w:b/>
          <w:bCs/>
        </w:rPr>
        <w:t>.</w:t>
      </w:r>
      <w:r>
        <w:t xml:space="preserve"> </w:t>
      </w:r>
      <w:r w:rsidR="00036E29">
        <w:t xml:space="preserve">As described in the introductory QUANTEC paper, “Use of normal tissue probability models in the clinic”,  </w:t>
      </w:r>
      <w:r w:rsidR="00036E29" w:rsidRPr="00036E29">
        <w:t>L</w:t>
      </w:r>
      <w:r w:rsidR="00036E29">
        <w:t>awrence</w:t>
      </w:r>
      <w:r w:rsidR="00036E29" w:rsidRPr="00036E29">
        <w:t xml:space="preserve"> B. M</w:t>
      </w:r>
      <w:r w:rsidR="00036E29">
        <w:t>arks</w:t>
      </w:r>
      <w:r w:rsidR="00036E29" w:rsidRPr="00036E29">
        <w:t>, E</w:t>
      </w:r>
      <w:r w:rsidR="00036E29">
        <w:t>llen</w:t>
      </w:r>
      <w:r w:rsidR="00036E29" w:rsidRPr="00036E29">
        <w:t xml:space="preserve"> D. Y</w:t>
      </w:r>
      <w:r w:rsidR="00036E29">
        <w:t>orke</w:t>
      </w:r>
      <w:r w:rsidR="00036E29" w:rsidRPr="00036E29">
        <w:t>, A</w:t>
      </w:r>
      <w:r w:rsidR="00036E29">
        <w:t>ndrew</w:t>
      </w:r>
      <w:r w:rsidR="00036E29" w:rsidRPr="00036E29">
        <w:t xml:space="preserve"> J</w:t>
      </w:r>
      <w:r w:rsidR="00036E29">
        <w:t>ackson</w:t>
      </w:r>
      <w:r w:rsidR="00036E29" w:rsidRPr="00036E29">
        <w:t>,</w:t>
      </w:r>
      <w:r w:rsidR="00036E29">
        <w:t xml:space="preserve"> </w:t>
      </w:r>
      <w:r w:rsidR="00036E29" w:rsidRPr="00036E29">
        <w:t>R</w:t>
      </w:r>
      <w:r w:rsidR="00036E29">
        <w:t>andall</w:t>
      </w:r>
      <w:r w:rsidR="00036E29" w:rsidRPr="00036E29">
        <w:t xml:space="preserve"> K. T</w:t>
      </w:r>
      <w:r w:rsidR="00036E29">
        <w:t>en</w:t>
      </w:r>
      <w:r w:rsidR="00036E29" w:rsidRPr="00036E29">
        <w:t xml:space="preserve"> H</w:t>
      </w:r>
      <w:r w:rsidR="00036E29">
        <w:t>aken</w:t>
      </w:r>
      <w:r w:rsidR="00036E29" w:rsidRPr="00036E29">
        <w:t>, L</w:t>
      </w:r>
      <w:r w:rsidR="00036E29">
        <w:t>ouis</w:t>
      </w:r>
      <w:r w:rsidR="00036E29" w:rsidRPr="00036E29">
        <w:t xml:space="preserve"> S. C</w:t>
      </w:r>
      <w:r w:rsidR="00036E29">
        <w:t>onstine</w:t>
      </w:r>
      <w:r w:rsidR="00036E29" w:rsidRPr="00036E29">
        <w:t>, A</w:t>
      </w:r>
      <w:r w:rsidR="00036E29">
        <w:t>vraham</w:t>
      </w:r>
      <w:r w:rsidR="00036E29" w:rsidRPr="00036E29">
        <w:t xml:space="preserve"> E</w:t>
      </w:r>
      <w:r w:rsidR="00036E29">
        <w:t>isbruch</w:t>
      </w:r>
      <w:r w:rsidR="00036E29" w:rsidRPr="00036E29">
        <w:t>,</w:t>
      </w:r>
      <w:r w:rsidR="00036E29">
        <w:t xml:space="preserve"> </w:t>
      </w:r>
      <w:r w:rsidR="00036E29" w:rsidRPr="00036E29">
        <w:t>Sø</w:t>
      </w:r>
      <w:r w:rsidR="00036E29">
        <w:t>ren</w:t>
      </w:r>
      <w:r w:rsidR="00036E29" w:rsidRPr="00036E29">
        <w:t xml:space="preserve"> M. B</w:t>
      </w:r>
      <w:r w:rsidR="00036E29">
        <w:t>entzen</w:t>
      </w:r>
      <w:r w:rsidR="00036E29" w:rsidRPr="00036E29">
        <w:t>,</w:t>
      </w:r>
      <w:r w:rsidR="00036E29">
        <w:t xml:space="preserve"> </w:t>
      </w:r>
      <w:r w:rsidR="00036E29" w:rsidRPr="00036E29">
        <w:t>J</w:t>
      </w:r>
      <w:r w:rsidR="00036E29">
        <w:t>iho</w:t>
      </w:r>
      <w:r w:rsidR="00036E29" w:rsidRPr="00036E29">
        <w:t xml:space="preserve"> N</w:t>
      </w:r>
      <w:r w:rsidR="00036E29">
        <w:t>am</w:t>
      </w:r>
      <w:r w:rsidR="00036E29" w:rsidRPr="00036E29">
        <w:t xml:space="preserve">, </w:t>
      </w:r>
      <w:r w:rsidR="00036E29">
        <w:t>and</w:t>
      </w:r>
      <w:r w:rsidR="00036E29" w:rsidRPr="00036E29">
        <w:t xml:space="preserve"> J</w:t>
      </w:r>
      <w:r w:rsidR="00036E29">
        <w:t>oseph</w:t>
      </w:r>
      <w:r w:rsidR="00036E29" w:rsidRPr="00036E29">
        <w:t xml:space="preserve"> O. D</w:t>
      </w:r>
      <w:r w:rsidR="00036E29">
        <w:t>easy, IJROBP, 2010, Vol. 76, No. 3, Supplement, pp. S10-S19: “</w:t>
      </w:r>
      <w:r w:rsidR="00036E29" w:rsidRPr="00036E29">
        <w:t>The Quantitative Analysis of Normal Tissue Effects in the Clinic (QUANTEC) review</w:t>
      </w:r>
      <w:r w:rsidR="00036E29">
        <w:t xml:space="preserve"> s</w:t>
      </w:r>
      <w:r w:rsidR="00036E29" w:rsidRPr="00036E29">
        <w:t>ummarizes the currently</w:t>
      </w:r>
      <w:r w:rsidR="00036E29">
        <w:t xml:space="preserve"> </w:t>
      </w:r>
      <w:r w:rsidR="00036E29" w:rsidRPr="00036E29">
        <w:t>available three-dimensional dose/volume/outcome data to update and refine the normal tissue dose/volume tolerance</w:t>
      </w:r>
      <w:r w:rsidR="00036E29">
        <w:t xml:space="preserve"> </w:t>
      </w:r>
      <w:r w:rsidR="00036E29" w:rsidRPr="00036E29">
        <w:t>guidelines provided by the classic Emami et al. paper published in 1991. A ‘‘clinician’s view’’ on using the</w:t>
      </w:r>
      <w:r w:rsidR="00036E29">
        <w:t xml:space="preserve"> </w:t>
      </w:r>
      <w:r w:rsidR="00036E29" w:rsidRPr="00036E29">
        <w:t>QUANTEC information in a responsible manner is presented along with a description of the most commonly</w:t>
      </w:r>
      <w:r w:rsidR="00036E29">
        <w:t xml:space="preserve"> </w:t>
      </w:r>
      <w:r w:rsidR="00036E29" w:rsidRPr="00036E29">
        <w:t>used normal tissue complication probability (NTCP) models. A summary of organ-specific dose/volume/outcome</w:t>
      </w:r>
      <w:r w:rsidR="00036E29">
        <w:t xml:space="preserve"> </w:t>
      </w:r>
      <w:r w:rsidR="00036E29" w:rsidRPr="00036E29">
        <w:t>data, based on the QUANTEC reviews, is included.</w:t>
      </w:r>
    </w:p>
    <w:p w14:paraId="7410A3D2" w14:textId="0A778769" w:rsidR="00DB4A4A" w:rsidRDefault="00DB4A4A" w:rsidP="00036E29">
      <w:pPr>
        <w:rPr>
          <w:b/>
          <w:bCs/>
        </w:rPr>
      </w:pPr>
      <w:r>
        <w:rPr>
          <w:b/>
          <w:bCs/>
        </w:rPr>
        <w:t>Introductory QIANTEC papers.</w:t>
      </w:r>
    </w:p>
    <w:p w14:paraId="5C20BB50" w14:textId="6AD29B75" w:rsidR="00DB4A4A" w:rsidRDefault="00DB4A4A" w:rsidP="00DB4A4A">
      <w:pPr>
        <w:pStyle w:val="ListParagraph"/>
        <w:numPr>
          <w:ilvl w:val="0"/>
          <w:numId w:val="2"/>
        </w:numPr>
      </w:pPr>
      <w:r w:rsidRPr="00DB4A4A">
        <w:t xml:space="preserve">Guest Editor’s Introduction to QUANTEC: </w:t>
      </w:r>
      <w:r>
        <w:t>A</w:t>
      </w:r>
      <w:r w:rsidRPr="00DB4A4A">
        <w:t xml:space="preserve"> User Guide, by Lawrence B. Marks, Randall K. Ten Haken and May K. Martel</w:t>
      </w:r>
      <w:r>
        <w:t xml:space="preserve"> </w:t>
      </w:r>
      <w:hyperlink r:id="rId10" w:history="1">
        <w:r w:rsidRPr="00B0322A">
          <w:rPr>
            <w:rStyle w:val="Hyperlink"/>
          </w:rPr>
          <w:t>https://www.redjournal.org/article/S0360-3016(09)03302-1/fulltext</w:t>
        </w:r>
      </w:hyperlink>
    </w:p>
    <w:p w14:paraId="65E6E219" w14:textId="40C81C90" w:rsidR="00DB4A4A" w:rsidRDefault="00DB4A4A" w:rsidP="00DB4A4A">
      <w:pPr>
        <w:pStyle w:val="ListParagraph"/>
        <w:numPr>
          <w:ilvl w:val="0"/>
          <w:numId w:val="2"/>
        </w:numPr>
      </w:pPr>
      <w:r>
        <w:t>Quantitative Analyses of N</w:t>
      </w:r>
      <w:r w:rsidRPr="00DB4A4A">
        <w:t>ormal Tissue Effects in the Clinic (QUANTEC): An Introduction to the Scientific Issue, by Søren M. Bentzen, Louis S. Constine, Joseph O. Deasy,</w:t>
      </w:r>
      <w:r>
        <w:t xml:space="preserve"> </w:t>
      </w:r>
      <w:r w:rsidRPr="00DB4A4A">
        <w:t>Avi Eisbruch, Andrew Jackson, Lawrence B. Marks, Randall K. Ten Haken, </w:t>
      </w:r>
      <w:r>
        <w:t xml:space="preserve"> and </w:t>
      </w:r>
      <w:hyperlink r:id="rId11" w:history="1">
        <w:r w:rsidRPr="00DB4A4A">
          <w:rPr>
            <w:rStyle w:val="Hyperlink"/>
            <w:color w:val="auto"/>
            <w:u w:val="none"/>
          </w:rPr>
          <w:t>Ellen D. Yorke</w:t>
        </w:r>
      </w:hyperlink>
      <w:r>
        <w:t xml:space="preserve"> </w:t>
      </w:r>
      <w:hyperlink r:id="rId12" w:history="1">
        <w:r w:rsidRPr="00B0322A">
          <w:rPr>
            <w:rStyle w:val="Hyperlink"/>
          </w:rPr>
          <w:t>https://www.redjournal.org/article/S0360-3016(09)03300-8/fulltext</w:t>
        </w:r>
      </w:hyperlink>
    </w:p>
    <w:p w14:paraId="18172233" w14:textId="71ADC3EE" w:rsidR="00DB4A4A" w:rsidRPr="00DB4A4A" w:rsidRDefault="00DB4A4A" w:rsidP="00DB4A4A">
      <w:pPr>
        <w:pStyle w:val="ListParagraph"/>
        <w:numPr>
          <w:ilvl w:val="0"/>
          <w:numId w:val="2"/>
        </w:numPr>
      </w:pPr>
      <w:r>
        <w:t xml:space="preserve">Use of normal tissue probability models in the clinic, by </w:t>
      </w:r>
      <w:r w:rsidRPr="00036E29">
        <w:t>L</w:t>
      </w:r>
      <w:r>
        <w:t>awrence</w:t>
      </w:r>
      <w:r w:rsidRPr="00036E29">
        <w:t xml:space="preserve"> B. M</w:t>
      </w:r>
      <w:r>
        <w:t>arks</w:t>
      </w:r>
      <w:r w:rsidRPr="00036E29">
        <w:t>, E</w:t>
      </w:r>
      <w:r>
        <w:t>llen</w:t>
      </w:r>
      <w:r w:rsidRPr="00036E29">
        <w:t xml:space="preserve"> D. Y</w:t>
      </w:r>
      <w:r>
        <w:t>orke</w:t>
      </w:r>
      <w:r w:rsidRPr="00036E29">
        <w:t>, A</w:t>
      </w:r>
      <w:r>
        <w:t>ndrew</w:t>
      </w:r>
      <w:r w:rsidRPr="00036E29">
        <w:t xml:space="preserve"> J</w:t>
      </w:r>
      <w:r>
        <w:t>ackson</w:t>
      </w:r>
      <w:r w:rsidRPr="00036E29">
        <w:t>,</w:t>
      </w:r>
      <w:r>
        <w:t xml:space="preserve"> </w:t>
      </w:r>
      <w:r w:rsidRPr="00036E29">
        <w:t>R</w:t>
      </w:r>
      <w:r>
        <w:t>andall</w:t>
      </w:r>
      <w:r w:rsidRPr="00036E29">
        <w:t xml:space="preserve"> K. T</w:t>
      </w:r>
      <w:r>
        <w:t>en</w:t>
      </w:r>
      <w:r w:rsidRPr="00036E29">
        <w:t xml:space="preserve"> H</w:t>
      </w:r>
      <w:r>
        <w:t>aken</w:t>
      </w:r>
      <w:r w:rsidRPr="00036E29">
        <w:t>, L</w:t>
      </w:r>
      <w:r>
        <w:t>ouis</w:t>
      </w:r>
      <w:r w:rsidRPr="00036E29">
        <w:t xml:space="preserve"> S. C</w:t>
      </w:r>
      <w:r>
        <w:t>onstine</w:t>
      </w:r>
      <w:r w:rsidRPr="00036E29">
        <w:t>, A</w:t>
      </w:r>
      <w:r>
        <w:t>vraham</w:t>
      </w:r>
      <w:r w:rsidRPr="00036E29">
        <w:t xml:space="preserve"> E</w:t>
      </w:r>
      <w:r>
        <w:t>isbruch</w:t>
      </w:r>
      <w:r w:rsidRPr="00036E29">
        <w:t>,</w:t>
      </w:r>
      <w:r>
        <w:t xml:space="preserve"> </w:t>
      </w:r>
      <w:r w:rsidRPr="00036E29">
        <w:t>Sø</w:t>
      </w:r>
      <w:r>
        <w:t>ren</w:t>
      </w:r>
      <w:r w:rsidRPr="00036E29">
        <w:t xml:space="preserve"> M. B</w:t>
      </w:r>
      <w:r>
        <w:t>entzen</w:t>
      </w:r>
      <w:r w:rsidRPr="00036E29">
        <w:t>,</w:t>
      </w:r>
      <w:r>
        <w:t xml:space="preserve"> </w:t>
      </w:r>
      <w:r w:rsidRPr="00036E29">
        <w:t>J</w:t>
      </w:r>
      <w:r>
        <w:t>iho</w:t>
      </w:r>
      <w:r w:rsidRPr="00036E29">
        <w:t xml:space="preserve"> N</w:t>
      </w:r>
      <w:r>
        <w:t>am</w:t>
      </w:r>
      <w:r w:rsidRPr="00036E29">
        <w:t xml:space="preserve">, </w:t>
      </w:r>
      <w:r>
        <w:t>and</w:t>
      </w:r>
      <w:r w:rsidRPr="00036E29">
        <w:t xml:space="preserve"> J</w:t>
      </w:r>
      <w:r>
        <w:t>oseph</w:t>
      </w:r>
      <w:r w:rsidRPr="00036E29">
        <w:t xml:space="preserve"> O. D</w:t>
      </w:r>
      <w:r>
        <w:t xml:space="preserve">easy </w:t>
      </w:r>
      <w:hyperlink r:id="rId13" w:history="1">
        <w:r w:rsidRPr="00B0322A">
          <w:rPr>
            <w:rStyle w:val="Hyperlink"/>
          </w:rPr>
          <w:t>https://www.redjournal.org/article/S0360-3016(09)03288-X/fulltext</w:t>
        </w:r>
      </w:hyperlink>
    </w:p>
    <w:p w14:paraId="31681852" w14:textId="44470827" w:rsidR="00B77234" w:rsidRPr="00BD188C" w:rsidRDefault="00B77234" w:rsidP="00036E29">
      <w:pPr>
        <w:rPr>
          <w:b/>
          <w:bCs/>
        </w:rPr>
      </w:pPr>
      <w:r w:rsidRPr="00BD188C">
        <w:rPr>
          <w:b/>
          <w:bCs/>
        </w:rPr>
        <w:t>Organs covered in the original QUANTEC.</w:t>
      </w:r>
    </w:p>
    <w:p w14:paraId="35B2B8E6" w14:textId="1F739830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CNS: Brain </w:t>
      </w:r>
      <w:hyperlink r:id="rId14" w:history="1">
        <w:r w:rsidR="00DB4A4A" w:rsidRPr="00B0322A">
          <w:rPr>
            <w:rStyle w:val="Hyperlink"/>
          </w:rPr>
          <w:t>https://www.redjournal.org/article/S0360-3016(09)03287-8/fulltext</w:t>
        </w:r>
      </w:hyperlink>
    </w:p>
    <w:p w14:paraId="1F299E25" w14:textId="200BC6AA" w:rsidR="00B77234" w:rsidRDefault="00B77234" w:rsidP="00B77234">
      <w:pPr>
        <w:pStyle w:val="ListParagraph"/>
        <w:numPr>
          <w:ilvl w:val="0"/>
          <w:numId w:val="1"/>
        </w:numPr>
      </w:pPr>
      <w:r>
        <w:lastRenderedPageBreak/>
        <w:t xml:space="preserve">CNS: Optic Nerve/Chiasm </w:t>
      </w:r>
      <w:hyperlink r:id="rId15" w:history="1">
        <w:r w:rsidRPr="00B0322A">
          <w:rPr>
            <w:rStyle w:val="Hyperlink"/>
          </w:rPr>
          <w:t>https://www.redjournal.org/article/S0360-3016(09)03284-2/fulltext</w:t>
        </w:r>
      </w:hyperlink>
    </w:p>
    <w:p w14:paraId="43084745" w14:textId="0EB0A867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CNS: Brain Stem </w:t>
      </w:r>
      <w:hyperlink r:id="rId16" w:history="1">
        <w:r w:rsidRPr="00B0322A">
          <w:rPr>
            <w:rStyle w:val="Hyperlink"/>
          </w:rPr>
          <w:t>https://www.redjournal.org/article/S0360-3016(09)03582-2/fulltext</w:t>
        </w:r>
      </w:hyperlink>
    </w:p>
    <w:p w14:paraId="7B894DF4" w14:textId="0B175A97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CNS: Spinal Cord </w:t>
      </w:r>
      <w:hyperlink r:id="rId17" w:history="1">
        <w:r w:rsidRPr="00B0322A">
          <w:rPr>
            <w:rStyle w:val="Hyperlink"/>
          </w:rPr>
          <w:t>https://www.redjournal.org/article/S0360-3016(09)03296-9/fulltext</w:t>
        </w:r>
      </w:hyperlink>
    </w:p>
    <w:p w14:paraId="50D64F21" w14:textId="281811A2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CNS: Ear </w:t>
      </w:r>
      <w:hyperlink r:id="rId18" w:history="1">
        <w:r w:rsidRPr="00B0322A">
          <w:rPr>
            <w:rStyle w:val="Hyperlink"/>
          </w:rPr>
          <w:t>https://www.redjournal.org/article/S0360-3016(09)03298-2/fulltext</w:t>
        </w:r>
      </w:hyperlink>
    </w:p>
    <w:p w14:paraId="04DC0447" w14:textId="3DBA0768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Head and Neck: Parotid </w:t>
      </w:r>
      <w:hyperlink r:id="rId19" w:history="1">
        <w:r w:rsidRPr="00B0322A">
          <w:rPr>
            <w:rStyle w:val="Hyperlink"/>
          </w:rPr>
          <w:t>https://www.redjournal.org/article/S0360-3016(09)03289-1/fulltext</w:t>
        </w:r>
      </w:hyperlink>
    </w:p>
    <w:p w14:paraId="376E6B3F" w14:textId="1E5A969A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Head and Neck: Larynx/Pharynx </w:t>
      </w:r>
      <w:hyperlink r:id="rId20" w:history="1">
        <w:r w:rsidRPr="00B0322A">
          <w:rPr>
            <w:rStyle w:val="Hyperlink"/>
          </w:rPr>
          <w:t>https://www.redjournal.org/article/S0360-3016(09)03292-1/fulltext</w:t>
        </w:r>
      </w:hyperlink>
    </w:p>
    <w:p w14:paraId="154E14BC" w14:textId="44120B2A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Thorax: Lung </w:t>
      </w:r>
      <w:hyperlink r:id="rId21" w:history="1">
        <w:r w:rsidRPr="00B0322A">
          <w:rPr>
            <w:rStyle w:val="Hyperlink"/>
          </w:rPr>
          <w:t>https://www.redjournal.org/article/S0360-3016(09)03293-3/fulltext</w:t>
        </w:r>
      </w:hyperlink>
    </w:p>
    <w:p w14:paraId="752A967F" w14:textId="5366DAD4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Thorax: Heart </w:t>
      </w:r>
      <w:hyperlink r:id="rId22" w:history="1">
        <w:r w:rsidRPr="00B0322A">
          <w:rPr>
            <w:rStyle w:val="Hyperlink"/>
          </w:rPr>
          <w:t>https://www.redjournal.org/article/S0360-3016(09)03290-8/fulltext</w:t>
        </w:r>
      </w:hyperlink>
    </w:p>
    <w:p w14:paraId="67C71A5A" w14:textId="64BC3D4C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Thorax: Esophagus </w:t>
      </w:r>
      <w:r w:rsidRPr="00B77234">
        <w:t>https://www.redjournal.org/article/S0360-3016(09)03283-0/fulltext</w:t>
      </w:r>
    </w:p>
    <w:p w14:paraId="733083B1" w14:textId="51AFA362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Abdomen: Liver </w:t>
      </w:r>
      <w:hyperlink r:id="rId23" w:history="1">
        <w:r w:rsidRPr="00B0322A">
          <w:rPr>
            <w:rStyle w:val="Hyperlink"/>
          </w:rPr>
          <w:t>https://www.redjournal.org/article/S0360-3016(09)03295-7/fulltext</w:t>
        </w:r>
      </w:hyperlink>
    </w:p>
    <w:p w14:paraId="66536C15" w14:textId="6504ABFC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Abdomen: Stomach/Small Bowel </w:t>
      </w:r>
      <w:hyperlink r:id="rId24" w:history="1">
        <w:r w:rsidRPr="00B0322A">
          <w:rPr>
            <w:rStyle w:val="Hyperlink"/>
          </w:rPr>
          <w:t>https://www.redjournal.org/article/S0360-3016(09)03286-6/fulltext</w:t>
        </w:r>
      </w:hyperlink>
    </w:p>
    <w:p w14:paraId="63CDE475" w14:textId="2F7EEEC0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Abdomen: Kidney </w:t>
      </w:r>
      <w:hyperlink r:id="rId25" w:history="1">
        <w:r w:rsidRPr="00B0322A">
          <w:rPr>
            <w:rStyle w:val="Hyperlink"/>
          </w:rPr>
          <w:t>https://www.redjournal.org/article/S0360-3016(09)03282-9/fulltext</w:t>
        </w:r>
      </w:hyperlink>
    </w:p>
    <w:p w14:paraId="7F84509A" w14:textId="2D9DE3AD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Pelvis: Bladder </w:t>
      </w:r>
      <w:hyperlink r:id="rId26" w:history="1">
        <w:r w:rsidRPr="00B0322A">
          <w:rPr>
            <w:rStyle w:val="Hyperlink"/>
          </w:rPr>
          <w:t>https://www.redjournal.org/article/S0360-3016(09)03285-4/fulltext</w:t>
        </w:r>
      </w:hyperlink>
    </w:p>
    <w:p w14:paraId="36B8BA87" w14:textId="0B0F3104" w:rsidR="00B77234" w:rsidRDefault="00B77234" w:rsidP="00B77234">
      <w:pPr>
        <w:pStyle w:val="ListParagraph"/>
        <w:numPr>
          <w:ilvl w:val="0"/>
          <w:numId w:val="1"/>
        </w:numPr>
      </w:pPr>
      <w:r>
        <w:t xml:space="preserve">Pelvis: Rectum </w:t>
      </w:r>
      <w:hyperlink r:id="rId27" w:history="1">
        <w:r w:rsidR="00BD188C" w:rsidRPr="00B0322A">
          <w:rPr>
            <w:rStyle w:val="Hyperlink"/>
          </w:rPr>
          <w:t>https://www.redjournal.org/article/S0360-3016(09)03291-X/fulltext</w:t>
        </w:r>
      </w:hyperlink>
    </w:p>
    <w:p w14:paraId="37CB8758" w14:textId="1AA8DD90" w:rsidR="00BD188C" w:rsidRDefault="00BD188C" w:rsidP="00B77234">
      <w:pPr>
        <w:pStyle w:val="ListParagraph"/>
        <w:numPr>
          <w:ilvl w:val="0"/>
          <w:numId w:val="1"/>
        </w:numPr>
      </w:pPr>
      <w:r>
        <w:t xml:space="preserve">Pelvis: Penile Bulb </w:t>
      </w:r>
      <w:hyperlink r:id="rId28" w:history="1">
        <w:r w:rsidRPr="00B0322A">
          <w:rPr>
            <w:rStyle w:val="Hyperlink"/>
          </w:rPr>
          <w:t>https://www.redjournal.org/article/S0360-3016(09)03291-X/fulltext</w:t>
        </w:r>
      </w:hyperlink>
    </w:p>
    <w:p w14:paraId="7E2EB02E" w14:textId="77777777" w:rsidR="00BD188C" w:rsidRDefault="00BD188C" w:rsidP="00036E29">
      <w:r w:rsidRPr="00BD188C">
        <w:rPr>
          <w:b/>
          <w:bCs/>
        </w:rPr>
        <w:t>QUANTEC Summary Table</w:t>
      </w:r>
      <w:r>
        <w:t xml:space="preserve">. Links: </w:t>
      </w:r>
    </w:p>
    <w:p w14:paraId="41DEB550" w14:textId="3C836A97" w:rsidR="00BD188C" w:rsidRDefault="00BD188C" w:rsidP="00036E29">
      <w:r w:rsidRPr="00BD188C">
        <w:t>https://www.redjournal.org/article/S0360-3016(09)03288-X/fulltext</w:t>
      </w:r>
    </w:p>
    <w:p w14:paraId="0A907CFE" w14:textId="42B9C2A1" w:rsidR="00BD188C" w:rsidRDefault="00BD188C" w:rsidP="00036E29">
      <w:hyperlink r:id="rId29" w:history="1">
        <w:r w:rsidRPr="00B0322A">
          <w:rPr>
            <w:rStyle w:val="Hyperlink"/>
          </w:rPr>
          <w:t>https://en.wikibooks.org/wiki/Radiation_Oncology/Toxicity/QUANTEC</w:t>
        </w:r>
      </w:hyperlink>
    </w:p>
    <w:p w14:paraId="3BF22B17" w14:textId="71583FA9" w:rsidR="005A55DE" w:rsidRDefault="005A55DE" w:rsidP="00036E29">
      <w:pPr>
        <w:rPr>
          <w:b/>
          <w:bCs/>
        </w:rPr>
      </w:pPr>
      <w:r w:rsidRPr="005A55DE">
        <w:rPr>
          <w:b/>
          <w:bCs/>
        </w:rPr>
        <w:t>Interviews with Lawrence Marks and Søren Bentzen</w:t>
      </w:r>
    </w:p>
    <w:p w14:paraId="4BB03A0A" w14:textId="1B049E57" w:rsidR="005A55DE" w:rsidRDefault="005A55DE" w:rsidP="00036E29">
      <w:r>
        <w:t>Q1. What do you regard as the biggest success of the QUANTEC effort?</w:t>
      </w:r>
    </w:p>
    <w:p w14:paraId="01FBB213" w14:textId="2FEB406B" w:rsidR="005A55DE" w:rsidRDefault="005A55DE" w:rsidP="00036E29">
      <w:r>
        <w:t>Q2. Anything you wish was included in the QUANTEC but was not?</w:t>
      </w:r>
    </w:p>
    <w:p w14:paraId="4CE26063" w14:textId="65EF125D" w:rsidR="005A55DE" w:rsidRDefault="005A55DE" w:rsidP="00036E29">
      <w:r>
        <w:t xml:space="preserve">Q3. QUANTEC has led to HyTEC, PENTEC, now re-irradiation effort and QUANTEC 2 are in progress. Did you see this happening when </w:t>
      </w:r>
      <w:r w:rsidR="00A42EF2">
        <w:t>you had a QUANTEC kick-off workshop in Madison, Wisconsin in October of 2007?</w:t>
      </w:r>
    </w:p>
    <w:p w14:paraId="7A74A396" w14:textId="71EF8B90" w:rsidR="005B5FB0" w:rsidRDefault="005B5FB0" w:rsidP="00036E29">
      <w:r>
        <w:lastRenderedPageBreak/>
        <w:t>Q4. We now know much more about tumor and normal tissue response. However, a common view is improvements in outcomes are a result of better imaging, including multi-modality, which allow to more accurately delineate target volumes and organs at risk, an</w:t>
      </w:r>
      <w:r w:rsidR="00EA7D1F">
        <w:t>d</w:t>
      </w:r>
      <w:r>
        <w:t xml:space="preserve"> better targeting, due to rapid acceptance of IGRT. What do you see as a potential next big step to more than incrementally improve cancer care outcomes?</w:t>
      </w:r>
    </w:p>
    <w:p w14:paraId="2491D520" w14:textId="74599F71" w:rsidR="000A5659" w:rsidRDefault="000A5659" w:rsidP="00036E29">
      <w:r>
        <w:t>Q5. Lists of authors between QUANTEC, HyTEC and PENTEC show lots of commonalities. What attracts and motivates oncologists, physicists and biostatisticians to participate in these efforts?</w:t>
      </w:r>
    </w:p>
    <w:p w14:paraId="07C78C44" w14:textId="41C0BCF8" w:rsidR="000A5659" w:rsidRDefault="000A5659" w:rsidP="00036E29">
      <w:r>
        <w:t>Q6. As I understand, QUANTEC 2 will attract new, younger oncologists, physicists and biostatisticians. What advice would you like to give them to make QUANTEC 2 a success?</w:t>
      </w:r>
    </w:p>
    <w:p w14:paraId="193AC67F" w14:textId="1051E0EC" w:rsidR="000A5659" w:rsidRDefault="000A5659" w:rsidP="00036E29">
      <w:r>
        <w:t>Q7. Anything else you may want to share?</w:t>
      </w:r>
    </w:p>
    <w:p w14:paraId="613ED482" w14:textId="2CD9F80D" w:rsidR="00642116" w:rsidRDefault="00642116" w:rsidP="00642116">
      <w:pPr>
        <w:rPr>
          <w:b/>
          <w:bCs/>
          <w:sz w:val="36"/>
          <w:szCs w:val="36"/>
        </w:rPr>
      </w:pPr>
      <w:r w:rsidRPr="00DB4A4A">
        <w:rPr>
          <w:b/>
          <w:bCs/>
          <w:sz w:val="36"/>
          <w:szCs w:val="36"/>
        </w:rPr>
        <w:t xml:space="preserve">Tab </w:t>
      </w:r>
      <w:r>
        <w:rPr>
          <w:b/>
          <w:bCs/>
          <w:sz w:val="36"/>
          <w:szCs w:val="36"/>
        </w:rPr>
        <w:t>2</w:t>
      </w:r>
      <w:r w:rsidRPr="00DB4A4A">
        <w:rPr>
          <w:b/>
          <w:bCs/>
          <w:sz w:val="36"/>
          <w:szCs w:val="36"/>
        </w:rPr>
        <w:t xml:space="preserve"> after Home: QUANTEC</w:t>
      </w:r>
      <w:r>
        <w:rPr>
          <w:b/>
          <w:bCs/>
          <w:sz w:val="36"/>
          <w:szCs w:val="36"/>
        </w:rPr>
        <w:t xml:space="preserve"> 2</w:t>
      </w:r>
    </w:p>
    <w:p w14:paraId="483DB114" w14:textId="03500D73" w:rsidR="00642116" w:rsidRDefault="00642116" w:rsidP="00642116">
      <w:pPr>
        <w:rPr>
          <w:b/>
          <w:bCs/>
        </w:rPr>
      </w:pPr>
      <w:r>
        <w:rPr>
          <w:b/>
          <w:bCs/>
        </w:rPr>
        <w:t xml:space="preserve">Rationale </w:t>
      </w:r>
      <w:r w:rsidRPr="00BD188C">
        <w:rPr>
          <w:b/>
          <w:bCs/>
        </w:rPr>
        <w:t xml:space="preserve">QUANTEC </w:t>
      </w:r>
      <w:r>
        <w:rPr>
          <w:b/>
          <w:bCs/>
        </w:rPr>
        <w:t>update</w:t>
      </w:r>
      <w:r w:rsidRPr="00BD188C">
        <w:rPr>
          <w:b/>
          <w:bCs/>
        </w:rPr>
        <w:t>.</w:t>
      </w:r>
    </w:p>
    <w:p w14:paraId="17B88ACC" w14:textId="1DBEE693" w:rsidR="00642116" w:rsidRDefault="00642116" w:rsidP="00642116">
      <w:pPr>
        <w:pStyle w:val="ListParagraph"/>
        <w:numPr>
          <w:ilvl w:val="0"/>
          <w:numId w:val="3"/>
        </w:numPr>
      </w:pPr>
      <w:r>
        <w:t>Most of the data considered in the original QUANTEC reports came from the 3DCRT era. IMRT/VMAT technologies lead to DVHs distinctly different from 3DCRT. Consequently, toxicity data following IMRT/VMAT may, or may not, support recommendations made based on 3DCRT technology.</w:t>
      </w:r>
    </w:p>
    <w:p w14:paraId="1DB16796" w14:textId="0CBAF3FE" w:rsidR="00642116" w:rsidRDefault="00642116" w:rsidP="00642116">
      <w:pPr>
        <w:pStyle w:val="ListParagraph"/>
        <w:numPr>
          <w:ilvl w:val="0"/>
          <w:numId w:val="3"/>
        </w:numPr>
      </w:pPr>
      <w:r>
        <w:t>For certain sites regional sensitivity or detailed substructure analyses have been performed, e.g., white matter tracts rather than treating brain as a single organ at risk. Recommendations including targeted sparing of organ-subvolumes at risk may further inform treatment planning.</w:t>
      </w:r>
    </w:p>
    <w:p w14:paraId="39DFB72A" w14:textId="77777777" w:rsidR="00642116" w:rsidRDefault="00642116" w:rsidP="00642116">
      <w:pPr>
        <w:pStyle w:val="ListParagraph"/>
        <w:numPr>
          <w:ilvl w:val="0"/>
          <w:numId w:val="3"/>
        </w:numPr>
      </w:pPr>
      <w:r>
        <w:t>Use of systemic therapy, in particular immunotherapy, has expanded since publication of the original QUANTEC reports. Systemic therapy serves as a mediator of the radiation response and this modulation needs to be addressed.</w:t>
      </w:r>
    </w:p>
    <w:p w14:paraId="56829FA5" w14:textId="0AC8C1BA" w:rsidR="00642116" w:rsidRDefault="00642116" w:rsidP="00642116">
      <w:pPr>
        <w:pStyle w:val="ListParagraph"/>
        <w:numPr>
          <w:ilvl w:val="0"/>
          <w:numId w:val="3"/>
        </w:numPr>
      </w:pPr>
      <w:r>
        <w:t>Machine learning in addition to traditional normal tissue complication probability models has become a common method to search for predictors of toxicity. Summary of these reports and their potential clinical use should be addressed</w:t>
      </w:r>
      <w:r w:rsidR="00C0436B">
        <w:t xml:space="preserve"> in the QUANTEC update.</w:t>
      </w:r>
    </w:p>
    <w:p w14:paraId="68C1877C" w14:textId="77777777" w:rsidR="00E13E43" w:rsidRDefault="00E13E43" w:rsidP="00E13E43"/>
    <w:p w14:paraId="53602577" w14:textId="05D226CE" w:rsidR="00E13E43" w:rsidRDefault="00E13E43" w:rsidP="00E13E43">
      <w:pPr>
        <w:rPr>
          <w:b/>
          <w:bCs/>
        </w:rPr>
      </w:pPr>
      <w:r>
        <w:rPr>
          <w:b/>
          <w:bCs/>
        </w:rPr>
        <w:t>Sites/toxicities planned for an</w:t>
      </w:r>
      <w:r w:rsidRPr="00BD188C">
        <w:rPr>
          <w:b/>
          <w:bCs/>
        </w:rPr>
        <w:t xml:space="preserve"> </w:t>
      </w:r>
      <w:r>
        <w:rPr>
          <w:b/>
          <w:bCs/>
        </w:rPr>
        <w:t>update</w:t>
      </w:r>
      <w:r w:rsidRPr="00BD188C">
        <w:rPr>
          <w:b/>
          <w:bCs/>
        </w:rPr>
        <w:t>.</w:t>
      </w:r>
    </w:p>
    <w:p w14:paraId="1B2FE25D" w14:textId="5CD3C382" w:rsidR="00E13E43" w:rsidRPr="00E13E43" w:rsidRDefault="00E13E43" w:rsidP="00E13E43">
      <w:r w:rsidRPr="00E13E43">
        <w:t>Brain</w:t>
      </w:r>
    </w:p>
    <w:p w14:paraId="387124A0" w14:textId="43002F96" w:rsidR="00E13E43" w:rsidRPr="00E13E43" w:rsidRDefault="00E13E43" w:rsidP="00E13E43">
      <w:r w:rsidRPr="00E13E43">
        <w:t>Brainstem</w:t>
      </w:r>
    </w:p>
    <w:p w14:paraId="21623685" w14:textId="792E73C4" w:rsidR="00E13E43" w:rsidRPr="00E13E43" w:rsidRDefault="00E13E43" w:rsidP="00E13E43">
      <w:r w:rsidRPr="00E13E43">
        <w:lastRenderedPageBreak/>
        <w:t>Cochlea/hearing loss</w:t>
      </w:r>
    </w:p>
    <w:p w14:paraId="51F428C0" w14:textId="061C2416" w:rsidR="00E13E43" w:rsidRPr="00E13E43" w:rsidRDefault="00E13E43" w:rsidP="00E13E43">
      <w:r w:rsidRPr="00E13E43">
        <w:t>Larynx/Pharynx</w:t>
      </w:r>
    </w:p>
    <w:p w14:paraId="1AFD67AC" w14:textId="00A11977" w:rsidR="00E13E43" w:rsidRPr="00E13E43" w:rsidRDefault="00E13E43" w:rsidP="00E13E43">
      <w:r w:rsidRPr="00E13E43">
        <w:t>Optic Nerves/Chiasm</w:t>
      </w:r>
    </w:p>
    <w:p w14:paraId="51EDEBD1" w14:textId="3F5AA9EB" w:rsidR="00E13E43" w:rsidRPr="00E13E43" w:rsidRDefault="00E13E43" w:rsidP="00E13E43">
      <w:r w:rsidRPr="00E13E43">
        <w:t>Parotid/Xerostomia</w:t>
      </w:r>
    </w:p>
    <w:p w14:paraId="5893AAFC" w14:textId="1435855A" w:rsidR="00E13E43" w:rsidRPr="00E13E43" w:rsidRDefault="00E13E43" w:rsidP="00E13E43">
      <w:r w:rsidRPr="00E13E43">
        <w:t>Lung</w:t>
      </w:r>
    </w:p>
    <w:p w14:paraId="68C02DCB" w14:textId="644978A1" w:rsidR="00E13E43" w:rsidRPr="00E13E43" w:rsidRDefault="00E13E43" w:rsidP="00E13E43">
      <w:r w:rsidRPr="00E13E43">
        <w:t>Heart</w:t>
      </w:r>
    </w:p>
    <w:p w14:paraId="1F264DC1" w14:textId="71A59566" w:rsidR="00E13E43" w:rsidRPr="00E13E43" w:rsidRDefault="00E13E43" w:rsidP="00E13E43">
      <w:r w:rsidRPr="00E13E43">
        <w:t>Esophagus</w:t>
      </w:r>
    </w:p>
    <w:p w14:paraId="56B63FCB" w14:textId="78614CE2" w:rsidR="00E13E43" w:rsidRPr="00E13E43" w:rsidRDefault="00E13E43" w:rsidP="00E13E43">
      <w:r w:rsidRPr="00E13E43">
        <w:t>Liver</w:t>
      </w:r>
    </w:p>
    <w:p w14:paraId="091E2F62" w14:textId="47CF6A6B" w:rsidR="00E13E43" w:rsidRPr="00E13E43" w:rsidRDefault="00E13E43" w:rsidP="00E13E43">
      <w:r w:rsidRPr="00E13E43">
        <w:t>Stomach, Small Bowel</w:t>
      </w:r>
    </w:p>
    <w:p w14:paraId="072ECE09" w14:textId="7B326F7F" w:rsidR="00E13E43" w:rsidRPr="00E13E43" w:rsidRDefault="00E13E43" w:rsidP="00E13E43">
      <w:r w:rsidRPr="00E13E43">
        <w:t>Kidney</w:t>
      </w:r>
    </w:p>
    <w:p w14:paraId="6A3D5B68" w14:textId="58EC592A" w:rsidR="00E13E43" w:rsidRPr="00E13E43" w:rsidRDefault="00E13E43" w:rsidP="00E13E43">
      <w:r w:rsidRPr="00E13E43">
        <w:t>Rectum</w:t>
      </w:r>
    </w:p>
    <w:p w14:paraId="4DFFC9DD" w14:textId="7E258E2D" w:rsidR="00E13E43" w:rsidRPr="00E13E43" w:rsidRDefault="00E13E43" w:rsidP="00E13E43">
      <w:r w:rsidRPr="00E13E43">
        <w:t>Bladder</w:t>
      </w:r>
    </w:p>
    <w:p w14:paraId="04C901AD" w14:textId="68F01147" w:rsidR="00E13E43" w:rsidRDefault="00E13E43" w:rsidP="00E13E43">
      <w:r w:rsidRPr="00E13E43">
        <w:t>Penile Bulb</w:t>
      </w:r>
    </w:p>
    <w:p w14:paraId="2A689C8D" w14:textId="71D6AEBA" w:rsidR="00E13E43" w:rsidRDefault="00E13E43" w:rsidP="00E13E43">
      <w:pPr>
        <w:rPr>
          <w:b/>
          <w:bCs/>
        </w:rPr>
      </w:pPr>
      <w:r>
        <w:rPr>
          <w:b/>
          <w:bCs/>
        </w:rPr>
        <w:t>New sites/toxicities.</w:t>
      </w:r>
    </w:p>
    <w:p w14:paraId="4657DE5E" w14:textId="34BAACA8" w:rsidR="00E13E43" w:rsidRPr="00E13E43" w:rsidRDefault="00E13E43" w:rsidP="00E13E43">
      <w:r w:rsidRPr="00E13E43">
        <w:t>Mandible/necrosis</w:t>
      </w:r>
    </w:p>
    <w:p w14:paraId="2E1CAACF" w14:textId="787E8BB5" w:rsidR="00E13E43" w:rsidRPr="00E13E43" w:rsidRDefault="00E13E43" w:rsidP="00E13E43">
      <w:r w:rsidRPr="00E13E43">
        <w:t>Bone marrow/hematologic toxicity</w:t>
      </w:r>
    </w:p>
    <w:p w14:paraId="2FFC5B3D" w14:textId="29C2A76D" w:rsidR="00E13E43" w:rsidRPr="00E13E43" w:rsidRDefault="00E13E43" w:rsidP="00E13E43">
      <w:r w:rsidRPr="00E13E43">
        <w:t>Long bone/fracture</w:t>
      </w:r>
    </w:p>
    <w:p w14:paraId="1583DC86" w14:textId="2B9DC010" w:rsidR="00E13E43" w:rsidRPr="00E13E43" w:rsidRDefault="00E13E43" w:rsidP="00E13E43">
      <w:r w:rsidRPr="00E13E43">
        <w:t>Breast/fibrosis</w:t>
      </w:r>
    </w:p>
    <w:p w14:paraId="348B409F" w14:textId="5DDDF9E1" w:rsidR="00E13E43" w:rsidRPr="00E13E43" w:rsidRDefault="00E13E43" w:rsidP="00E13E43">
      <w:r w:rsidRPr="00E13E43">
        <w:t>Thyroid/hypothyroidism</w:t>
      </w:r>
    </w:p>
    <w:p w14:paraId="3850CAA6" w14:textId="5D3AD2ED" w:rsidR="00E13E43" w:rsidRDefault="00E13E43" w:rsidP="00E13E43">
      <w:r w:rsidRPr="00E13E43">
        <w:t>Brachial plexus/plexopathy</w:t>
      </w:r>
    </w:p>
    <w:p w14:paraId="12229EFB" w14:textId="0CCCE08F" w:rsidR="008B729E" w:rsidRDefault="008B729E" w:rsidP="008B729E">
      <w:pPr>
        <w:rPr>
          <w:b/>
          <w:bCs/>
        </w:rPr>
      </w:pPr>
      <w:r>
        <w:rPr>
          <w:b/>
          <w:bCs/>
        </w:rPr>
        <w:t>Kick-off meeting.</w:t>
      </w:r>
    </w:p>
    <w:p w14:paraId="78FD9DBA" w14:textId="115000AA" w:rsidR="008B729E" w:rsidRPr="008B729E" w:rsidRDefault="008B729E" w:rsidP="008B729E">
      <w:r>
        <w:t>Kick-off meeting took place during the ASTRO annual meeting, September 30</w:t>
      </w:r>
      <w:r w:rsidRPr="008B729E">
        <w:rPr>
          <w:vertAlign w:val="superscript"/>
        </w:rPr>
        <w:t>th</w:t>
      </w:r>
      <w:r>
        <w:t>, 2025, and included representation from AAPM, ASTRO and ESTRO</w:t>
      </w:r>
    </w:p>
    <w:p w14:paraId="2A5D5A08" w14:textId="2FD9001F" w:rsidR="00382503" w:rsidRDefault="00382503" w:rsidP="00382503">
      <w:pPr>
        <w:rPr>
          <w:b/>
          <w:bCs/>
        </w:rPr>
      </w:pPr>
      <w:r>
        <w:rPr>
          <w:b/>
          <w:bCs/>
        </w:rPr>
        <w:t>Timeline.</w:t>
      </w:r>
    </w:p>
    <w:p w14:paraId="4C038405" w14:textId="3DB67CFB" w:rsidR="00382503" w:rsidRPr="00382503" w:rsidRDefault="00382503" w:rsidP="00382503">
      <w:r w:rsidRPr="00382503">
        <w:t>QUANTEC 2 is planned to be completed before radiotherapy becomes obsolete</w:t>
      </w:r>
    </w:p>
    <w:p w14:paraId="48D0ED0B" w14:textId="77777777" w:rsidR="008B729E" w:rsidRPr="00E13E43" w:rsidRDefault="008B729E" w:rsidP="00E13E43"/>
    <w:p w14:paraId="13C3BA5A" w14:textId="5544113E" w:rsidR="00E13E43" w:rsidRPr="00E13E43" w:rsidRDefault="00E13E43" w:rsidP="00E13E43"/>
    <w:p w14:paraId="0DF38C75" w14:textId="77777777" w:rsidR="00E13E43" w:rsidRDefault="00E13E43" w:rsidP="00E13E43"/>
    <w:p w14:paraId="23629345" w14:textId="77777777" w:rsidR="00642116" w:rsidRPr="00DB4A4A" w:rsidRDefault="00642116" w:rsidP="00642116">
      <w:pPr>
        <w:rPr>
          <w:b/>
          <w:bCs/>
          <w:sz w:val="36"/>
          <w:szCs w:val="36"/>
        </w:rPr>
      </w:pPr>
    </w:p>
    <w:p w14:paraId="10128DEE" w14:textId="360E64D3" w:rsidR="00642116" w:rsidRPr="005A55DE" w:rsidRDefault="00642116" w:rsidP="00642116"/>
    <w:sectPr w:rsidR="00642116" w:rsidRPr="005A5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00D7"/>
    <w:multiLevelType w:val="hybridMultilevel"/>
    <w:tmpl w:val="D41C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A390D"/>
    <w:multiLevelType w:val="hybridMultilevel"/>
    <w:tmpl w:val="B88AF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235D6"/>
    <w:multiLevelType w:val="hybridMultilevel"/>
    <w:tmpl w:val="6A581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526378">
    <w:abstractNumId w:val="0"/>
  </w:num>
  <w:num w:numId="2" w16cid:durableId="1371955231">
    <w:abstractNumId w:val="1"/>
  </w:num>
  <w:num w:numId="3" w16cid:durableId="511454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34"/>
    <w:rsid w:val="00036E29"/>
    <w:rsid w:val="00073034"/>
    <w:rsid w:val="000A5659"/>
    <w:rsid w:val="00262072"/>
    <w:rsid w:val="00283524"/>
    <w:rsid w:val="003158C8"/>
    <w:rsid w:val="003822E4"/>
    <w:rsid w:val="00382503"/>
    <w:rsid w:val="005A55DE"/>
    <w:rsid w:val="005B5FB0"/>
    <w:rsid w:val="006364B5"/>
    <w:rsid w:val="00642116"/>
    <w:rsid w:val="006869B1"/>
    <w:rsid w:val="006F051E"/>
    <w:rsid w:val="00842D63"/>
    <w:rsid w:val="00854F24"/>
    <w:rsid w:val="008B729E"/>
    <w:rsid w:val="00A42EF2"/>
    <w:rsid w:val="00A5612A"/>
    <w:rsid w:val="00B77234"/>
    <w:rsid w:val="00BD188C"/>
    <w:rsid w:val="00C0436B"/>
    <w:rsid w:val="00DB4A4A"/>
    <w:rsid w:val="00E13E43"/>
    <w:rsid w:val="00E55C09"/>
    <w:rsid w:val="00EA76A1"/>
    <w:rsid w:val="00EA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F7757"/>
  <w15:chartTrackingRefBased/>
  <w15:docId w15:val="{3F2CB6EF-3AF2-476E-9C83-822D489A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0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4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redjournal.org/article/S0360-3016(09)03288-X/fulltext" TargetMode="External"/><Relationship Id="rId18" Type="http://schemas.openxmlformats.org/officeDocument/2006/relationships/hyperlink" Target="https://www.redjournal.org/article/S0360-3016(09)03298-2/fulltext" TargetMode="External"/><Relationship Id="rId26" Type="http://schemas.openxmlformats.org/officeDocument/2006/relationships/hyperlink" Target="https://www.redjournal.org/article/S0360-3016(09)03285-4/fulltex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djournal.org/article/S0360-3016(09)03293-3/fulltext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redjournal.org/article/S0360-3016(09)03300-8/fulltext" TargetMode="External"/><Relationship Id="rId17" Type="http://schemas.openxmlformats.org/officeDocument/2006/relationships/hyperlink" Target="https://www.redjournal.org/article/S0360-3016(09)03296-9/fulltext" TargetMode="External"/><Relationship Id="rId25" Type="http://schemas.openxmlformats.org/officeDocument/2006/relationships/hyperlink" Target="https://www.redjournal.org/article/S0360-3016(09)03282-9/fullte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djournal.org/article/S0360-3016(09)03582-2/fulltext" TargetMode="External"/><Relationship Id="rId20" Type="http://schemas.openxmlformats.org/officeDocument/2006/relationships/hyperlink" Target="https://www.redjournal.org/article/S0360-3016(09)03292-1/fulltext" TargetMode="External"/><Relationship Id="rId29" Type="http://schemas.openxmlformats.org/officeDocument/2006/relationships/hyperlink" Target="https://en.wikibooks.org/wiki/Radiation_Oncology/Toxicity/QUANTEC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redjournal.org/article/S0360-3016(09)03300-8/fulltext" TargetMode="External"/><Relationship Id="rId24" Type="http://schemas.openxmlformats.org/officeDocument/2006/relationships/hyperlink" Target="https://www.redjournal.org/article/S0360-3016(09)03286-6/fulltext" TargetMode="External"/><Relationship Id="rId5" Type="http://schemas.openxmlformats.org/officeDocument/2006/relationships/hyperlink" Target="http://www.namecheap.com" TargetMode="External"/><Relationship Id="rId15" Type="http://schemas.openxmlformats.org/officeDocument/2006/relationships/hyperlink" Target="https://www.redjournal.org/article/S0360-3016(09)03284-2/fulltext" TargetMode="External"/><Relationship Id="rId23" Type="http://schemas.openxmlformats.org/officeDocument/2006/relationships/hyperlink" Target="https://www.redjournal.org/article/S0360-3016(09)03295-7/fulltext" TargetMode="External"/><Relationship Id="rId28" Type="http://schemas.openxmlformats.org/officeDocument/2006/relationships/hyperlink" Target="https://www.redjournal.org/article/S0360-3016(09)03291-X/fulltext" TargetMode="External"/><Relationship Id="rId10" Type="http://schemas.openxmlformats.org/officeDocument/2006/relationships/hyperlink" Target="https://www.redjournal.org/article/S0360-3016(09)03302-1/fulltext" TargetMode="External"/><Relationship Id="rId19" Type="http://schemas.openxmlformats.org/officeDocument/2006/relationships/hyperlink" Target="https://www.redjournal.org/article/S0360-3016(09)03289-1/fulltext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redjournal.org/issue/S0360-3016(10)X0002-5" TargetMode="External"/><Relationship Id="rId14" Type="http://schemas.openxmlformats.org/officeDocument/2006/relationships/hyperlink" Target="https://www.redjournal.org/article/S0360-3016(09)03287-8/fulltext" TargetMode="External"/><Relationship Id="rId22" Type="http://schemas.openxmlformats.org/officeDocument/2006/relationships/hyperlink" Target="https://www.redjournal.org/article/S0360-3016(09)03290-8/fulltext" TargetMode="External"/><Relationship Id="rId27" Type="http://schemas.openxmlformats.org/officeDocument/2006/relationships/hyperlink" Target="https://www.redjournal.org/article/S0360-3016(09)03291-X/fulltex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7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Moiseenko, Vitali</dc:creator>
  <cp:keywords/>
  <dc:description/>
  <cp:lastModifiedBy>Brian Anderson</cp:lastModifiedBy>
  <cp:revision>13</cp:revision>
  <dcterms:created xsi:type="dcterms:W3CDTF">2025-09-08T19:37:00Z</dcterms:created>
  <dcterms:modified xsi:type="dcterms:W3CDTF">2025-11-14T22:00:00Z</dcterms:modified>
</cp:coreProperties>
</file>