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F6FB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B403B7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PYTHON CREDIT RISK ANALYSIS</w:t>
      </w:r>
    </w:p>
    <w:p w14:paraId="07778C0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CEAC5B7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 Data Loading &amp; Inspection</w:t>
      </w:r>
    </w:p>
    <w:p w14:paraId="3D8CC6EE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2.2 Target Variable &amp; Default Rate  </w:t>
      </w:r>
    </w:p>
    <w:p w14:paraId="772F0A45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2.3 Univariate Analysis</w:t>
      </w:r>
    </w:p>
    <w:p w14:paraId="115EDC50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2.4 Bivariate Analysis</w:t>
      </w:r>
    </w:p>
    <w:p w14:paraId="43E6F030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2.5 Credit-Risk EDA</w:t>
      </w:r>
    </w:p>
    <w:p w14:paraId="79FBC0E8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2.6 Feature Engineering</w:t>
      </w:r>
    </w:p>
    <w:p w14:paraId="6EC00C9C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2.7 Feature Selection</w:t>
      </w:r>
    </w:p>
    <w:p w14:paraId="3CA37A02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2.8 Logistic Regression</w:t>
      </w:r>
    </w:p>
    <w:p w14:paraId="031C1431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2.9 Gradient Boosting</w:t>
      </w:r>
    </w:p>
    <w:p w14:paraId="71F5F49D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2.10 Model Evaluation</w:t>
      </w:r>
    </w:p>
    <w:p w14:paraId="58A02BD7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2.11 Credit Risk Scoring</w:t>
      </w:r>
    </w:p>
    <w:p w14:paraId="7FCEFCAF">
      <w:pPr>
        <w:spacing w:line="48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2.12 Business Recommendations</w:t>
      </w:r>
    </w:p>
    <w:p w14:paraId="1C5AFFC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C279E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BIVARIATE ANALYSIS IN PYTHON.</w:t>
      </w:r>
    </w:p>
    <w:p w14:paraId="018DC896">
      <w:pPr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Bivariate analysis in python is the equivalent of comparing/getting the relationship between two variables/columns in SQL using aggregates, order by and group by</w:t>
      </w:r>
    </w:p>
    <w:p w14:paraId="582BAE5F">
      <w:pPr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In ML, this is usually between a TARGET VARIABLE and another variable, mostly a CATEGORICAL VARIABLE.</w:t>
      </w:r>
    </w:p>
    <w:p w14:paraId="1957DED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5A5959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ONE VERY IMPORTANT MODELING ISSUE</w:t>
      </w:r>
    </w:p>
    <w:p w14:paraId="4F11CFC9">
      <w:pPr>
        <w:spacing w:line="48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There are some columns in your dataset that we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should not use as application-time predictors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684C36B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days_overdue, late_payment_count_current,repayment_ratio, loan_status.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These describe what happened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during/after repayment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52E1DE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If we're building a model that predicts whether someone will default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when they apply for a loan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using these variables would create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data leakage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04CC27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If we tell the model that a borrower was already 60 days overdue, the model isn't really predicting future default — it's being given information about the outcome.</w:t>
      </w:r>
    </w:p>
    <w:p w14:paraId="0C9AE64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We'll therefore separate:</w:t>
      </w:r>
    </w:p>
    <w:p w14:paraId="53EC51DC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Application-time information</w:t>
      </w:r>
    </w:p>
    <w:p w14:paraId="35F5195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Things the lender could know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when assessing the application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2A03BC0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income </w:t>
      </w:r>
    </w:p>
    <w:p w14:paraId="104A9DB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savings </w:t>
      </w:r>
    </w:p>
    <w:p w14:paraId="2D03645E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existing debt </w:t>
      </w:r>
    </w:p>
    <w:p w14:paraId="6B2BD14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loan amount </w:t>
      </w:r>
    </w:p>
    <w:p w14:paraId="3B1FAB1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loan term </w:t>
      </w:r>
    </w:p>
    <w:p w14:paraId="4FCC591E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proposed monthly repayment </w:t>
      </w:r>
    </w:p>
    <w:p w14:paraId="662CDA4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employment </w:t>
      </w:r>
    </w:p>
    <w:p w14:paraId="7C20D58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county </w:t>
      </w:r>
    </w:p>
    <w:p w14:paraId="6320689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previous loans </w:t>
      </w:r>
    </w:p>
    <w:p w14:paraId="670D4A24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previous defaults </w:t>
      </w:r>
    </w:p>
    <w:p w14:paraId="0016FA2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previous late payments </w:t>
      </w:r>
    </w:p>
    <w:p w14:paraId="48873E14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mobile-money history </w:t>
      </w:r>
    </w:p>
    <w:p w14:paraId="66C83E4C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utility payment consistency </w:t>
      </w:r>
    </w:p>
    <w:p w14:paraId="5A7F5886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income consistency</w:t>
      </w:r>
    </w:p>
    <w:p w14:paraId="65F53AB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6BDDED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Post-loan information</w:t>
      </w:r>
    </w:p>
    <w:p w14:paraId="3D605DA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Things that happen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after the loan is issued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309D0383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days overdue </w:t>
      </w:r>
    </w:p>
    <w:p w14:paraId="08022C0A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current late payments </w:t>
      </w:r>
    </w:p>
    <w:p w14:paraId="2A0842D6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repayment ratio </w:t>
      </w:r>
    </w:p>
    <w:p w14:paraId="23B888F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loan status</w:t>
      </w:r>
    </w:p>
    <w:p w14:paraId="21C6E68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C8FC41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81C4EA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NUMBER OF DEFAULTS BY LOAN PRODUCT</w:t>
      </w:r>
    </w:p>
    <w:p w14:paraId="6188DC35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Which loan products have higher or lower default rates?</w:t>
      </w:r>
    </w:p>
    <w:p w14:paraId="45ED9FB8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Shows whether the type/purpose of loan is associated with different repayment performance.</w:t>
      </w:r>
    </w:p>
    <w:p w14:paraId="55E07593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Some products may have higher default because of their borrower profile, loan purpose, terms, or repayment structure.</w:t>
      </w:r>
    </w:p>
    <w:p w14:paraId="6B25F3DE">
      <w:pPr>
        <w:spacing w:line="360" w:lineRule="auto"/>
        <w:jc w:val="left"/>
      </w:pPr>
      <w:r>
        <w:drawing>
          <wp:inline distT="0" distB="0" distL="114300" distR="114300">
            <wp:extent cx="3314700" cy="1914525"/>
            <wp:effectExtent l="9525" t="9525" r="952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914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CC755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8595" cy="2144395"/>
            <wp:effectExtent l="9525" t="9525" r="1778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4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CA169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143375" cy="1323975"/>
            <wp:effectExtent l="9525" t="9525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323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DEAF3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522CD489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79697C4C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11578FD1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441940D6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65763B9B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</w:p>
    <w:p w14:paraId="779C2D61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DEFAULT RATE BY LOAN PRODUCT</w:t>
      </w:r>
    </w:p>
    <w:p w14:paraId="6EFD1DDF">
      <w:pPr>
        <w:spacing w:line="360" w:lineRule="auto"/>
        <w:jc w:val="left"/>
      </w:pPr>
      <w:r>
        <w:drawing>
          <wp:inline distT="0" distB="0" distL="114300" distR="114300">
            <wp:extent cx="3952875" cy="3648075"/>
            <wp:effectExtent l="9525" t="9525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648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1C271">
      <w:pPr>
        <w:spacing w:line="360" w:lineRule="auto"/>
        <w:jc w:val="left"/>
      </w:pPr>
      <w:r>
        <w:drawing>
          <wp:inline distT="0" distB="0" distL="114300" distR="114300">
            <wp:extent cx="5271135" cy="3596005"/>
            <wp:effectExtent l="9525" t="9525" r="1524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6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5AD7D">
      <w:pPr>
        <w:spacing w:line="360" w:lineRule="auto"/>
        <w:jc w:val="left"/>
      </w:pPr>
      <w:r>
        <w:drawing>
          <wp:inline distT="0" distB="0" distL="114300" distR="114300">
            <wp:extent cx="2552700" cy="1257300"/>
            <wp:effectExtent l="9525" t="9525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9896D">
      <w:pPr>
        <w:spacing w:line="360" w:lineRule="auto"/>
        <w:jc w:val="left"/>
      </w:pPr>
    </w:p>
    <w:p w14:paraId="0292F70E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NUMBER OF DEFAULTS BY EMPLOYMENT TYPE</w:t>
      </w:r>
    </w:p>
    <w:p w14:paraId="16296115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Does default risk differ between employed, self-employed, casual, or unemployed borrowers?</w:t>
      </w:r>
    </w:p>
    <w:p w14:paraId="62E04977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Shows whether borrowers with different income/employment stability have different default rates.</w:t>
      </w:r>
    </w:p>
    <w:p w14:paraId="06FD7DBF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More stable employment may be associated with lower default, while less predictable income may be associated with higher default.</w:t>
      </w:r>
    </w:p>
    <w:p w14:paraId="205CFA61">
      <w:pPr>
        <w:spacing w:line="360" w:lineRule="auto"/>
        <w:jc w:val="left"/>
      </w:pPr>
      <w:r>
        <w:drawing>
          <wp:inline distT="0" distB="0" distL="114300" distR="114300">
            <wp:extent cx="3390900" cy="1838325"/>
            <wp:effectExtent l="9525" t="9525" r="952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38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89C9E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73675" cy="1816100"/>
            <wp:effectExtent l="9525" t="9525" r="12700" b="2222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16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83C8A">
      <w:pPr>
        <w:spacing w:line="360" w:lineRule="auto"/>
        <w:jc w:val="left"/>
      </w:pPr>
      <w:r>
        <w:drawing>
          <wp:inline distT="0" distB="0" distL="114300" distR="114300">
            <wp:extent cx="4533900" cy="1247775"/>
            <wp:effectExtent l="9525" t="9525" r="95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47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1FE679">
      <w:pPr>
        <w:spacing w:line="360" w:lineRule="auto"/>
        <w:jc w:val="left"/>
      </w:pPr>
    </w:p>
    <w:p w14:paraId="12F0429E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DEFAULT RATE BY EMPLOYMENT TYPE</w:t>
      </w:r>
    </w:p>
    <w:p w14:paraId="44D4DCC5">
      <w:pPr>
        <w:spacing w:line="360" w:lineRule="auto"/>
        <w:jc w:val="left"/>
      </w:pPr>
      <w:r>
        <w:drawing>
          <wp:inline distT="0" distB="0" distL="114300" distR="114300">
            <wp:extent cx="4048125" cy="3638550"/>
            <wp:effectExtent l="9525" t="9525" r="190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638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2AD6E">
      <w:pPr>
        <w:spacing w:line="360" w:lineRule="auto"/>
        <w:jc w:val="left"/>
      </w:pPr>
      <w:r>
        <w:drawing>
          <wp:inline distT="0" distB="0" distL="114300" distR="114300">
            <wp:extent cx="5271135" cy="3353435"/>
            <wp:effectExtent l="9525" t="9525" r="15240" b="2794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3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9D4ED">
      <w:pPr>
        <w:spacing w:line="360" w:lineRule="auto"/>
        <w:jc w:val="left"/>
      </w:pPr>
      <w:r>
        <w:drawing>
          <wp:inline distT="0" distB="0" distL="114300" distR="114300">
            <wp:extent cx="2552700" cy="1200150"/>
            <wp:effectExtent l="9525" t="9525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0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6D44A2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want to know whether observed default rates differ between employment categories.</w:t>
      </w:r>
    </w:p>
    <w:p w14:paraId="0B3F64ED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good interpretation would be: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 rates vary across employment categories, indicating that employment status may contain useful information for credit-risk segmentation. However, employment type should be evaluated together with income stability, debt obligations, repayment history and other borrower characteristics.</w:t>
      </w:r>
    </w:p>
    <w:p w14:paraId="31F3BE10">
      <w:pPr>
        <w:spacing w:line="360" w:lineRule="auto"/>
        <w:jc w:val="left"/>
      </w:pPr>
    </w:p>
    <w:p w14:paraId="742ED016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LOAN AMOUNT VS DEFAULT</w:t>
      </w:r>
    </w:p>
    <w:p w14:paraId="2285A0B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Are larger loans associated with greater default risk?</w:t>
      </w:r>
    </w:p>
    <w:p w14:paraId="3C2CBAE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Shows whether default rates change as the amount borrowed increases.</w:t>
      </w:r>
    </w:p>
    <w:p w14:paraId="042FC08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Larger loans can create greater repayment obligations and may be associated with higher default, particularly when the loan is large relative to income.</w:t>
      </w:r>
    </w:p>
    <w:p w14:paraId="4304C447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drawing>
          <wp:inline distT="0" distB="0" distL="114300" distR="114300">
            <wp:extent cx="3352800" cy="2057400"/>
            <wp:effectExtent l="9525" t="9525" r="9525" b="952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F4F98">
      <w:pPr>
        <w:spacing w:line="360" w:lineRule="auto"/>
        <w:jc w:val="left"/>
      </w:pPr>
      <w:r>
        <w:drawing>
          <wp:inline distT="0" distB="0" distL="114300" distR="114300">
            <wp:extent cx="5271135" cy="471170"/>
            <wp:effectExtent l="9525" t="9525" r="15240" b="1460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3F2B5">
      <w:pPr>
        <w:spacing w:line="360" w:lineRule="auto"/>
        <w:jc w:val="left"/>
      </w:pPr>
      <w:r>
        <w:drawing>
          <wp:inline distT="0" distB="0" distL="114300" distR="114300">
            <wp:extent cx="5269230" cy="2151380"/>
            <wp:effectExtent l="9525" t="9525" r="17145" b="1079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1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4FFCA7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6B3E88EC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DEFAULT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COUNT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BY COUNTY</w:t>
      </w:r>
    </w:p>
    <w:p w14:paraId="60E9665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Does default performance vary across counties?</w:t>
      </w:r>
    </w:p>
    <w:p w14:paraId="62D0373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Identifies geographic differences in default rates.</w:t>
      </w:r>
    </w:p>
    <w:p w14:paraId="14C8E51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Some counties may show higher/lower observed default rates, potentially reflecting differences in economic conditions, borrower profiles, or portfolio composition.</w:t>
      </w:r>
    </w:p>
    <w:p w14:paraId="6E5A7872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drawing>
          <wp:inline distT="0" distB="0" distL="114300" distR="114300">
            <wp:extent cx="3429000" cy="1905000"/>
            <wp:effectExtent l="9525" t="9525" r="9525" b="952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CE37A">
      <w:pPr>
        <w:spacing w:line="360" w:lineRule="auto"/>
        <w:jc w:val="left"/>
      </w:pPr>
      <w:r>
        <w:drawing>
          <wp:inline distT="0" distB="0" distL="114300" distR="114300">
            <wp:extent cx="4105275" cy="1543050"/>
            <wp:effectExtent l="9525" t="9525" r="19050" b="9525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74B24">
      <w:pPr>
        <w:spacing w:line="360" w:lineRule="auto"/>
        <w:jc w:val="left"/>
      </w:pPr>
      <w:r>
        <w:drawing>
          <wp:inline distT="0" distB="0" distL="114300" distR="114300">
            <wp:extent cx="5271135" cy="3194050"/>
            <wp:effectExtent l="9525" t="9525" r="15240" b="15875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84E14">
      <w:pPr>
        <w:spacing w:line="360" w:lineRule="auto"/>
        <w:jc w:val="left"/>
      </w:pPr>
    </w:p>
    <w:p w14:paraId="4A8013BF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DEFAULT RATE BY COUNTY</w:t>
      </w:r>
    </w:p>
    <w:p w14:paraId="0387E365">
      <w:pPr>
        <w:spacing w:line="360" w:lineRule="auto"/>
        <w:jc w:val="left"/>
      </w:pPr>
    </w:p>
    <w:p w14:paraId="186F15AC">
      <w:pPr>
        <w:spacing w:line="360" w:lineRule="auto"/>
        <w:jc w:val="left"/>
      </w:pPr>
      <w:r>
        <w:drawing>
          <wp:inline distT="0" distB="0" distL="114300" distR="114300">
            <wp:extent cx="3933825" cy="3495675"/>
            <wp:effectExtent l="9525" t="9525" r="19050" b="1905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495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B4896">
      <w:pPr>
        <w:spacing w:line="360" w:lineRule="auto"/>
        <w:jc w:val="left"/>
      </w:pPr>
      <w:r>
        <w:drawing>
          <wp:inline distT="0" distB="0" distL="114300" distR="114300">
            <wp:extent cx="3276600" cy="1504950"/>
            <wp:effectExtent l="9525" t="9525" r="9525" b="952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04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24504">
      <w:pPr>
        <w:spacing w:line="360" w:lineRule="auto"/>
        <w:jc w:val="left"/>
      </w:pPr>
      <w:r>
        <w:drawing>
          <wp:inline distT="0" distB="0" distL="114300" distR="114300">
            <wp:extent cx="3457575" cy="2533650"/>
            <wp:effectExtent l="9525" t="9525" r="19050" b="952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533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300D9">
      <w:pPr>
        <w:spacing w:line="360" w:lineRule="auto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3590925" cy="4114800"/>
            <wp:effectExtent l="9525" t="9525" r="19050" b="9525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11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49B15">
      <w:pPr>
        <w:spacing w:line="360" w:lineRule="auto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4DD293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INCOME VS DEFAULT</w:t>
      </w:r>
    </w:p>
    <w:p w14:paraId="117E869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with higher incomes less likely to default?</w:t>
      </w:r>
    </w:p>
    <w:p w14:paraId="368B293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Examines whether repayment performance changes as borrower income increases.</w:t>
      </w:r>
    </w:p>
    <w:p w14:paraId="7DBF56A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Higher income may be associated with lower default because the borrower has greater repayment capacity.</w:t>
      </w:r>
    </w:p>
    <w:p w14:paraId="7BB34A1F">
      <w:pPr>
        <w:spacing w:line="360" w:lineRule="auto"/>
        <w:jc w:val="left"/>
      </w:pPr>
      <w:r>
        <w:drawing>
          <wp:inline distT="0" distB="0" distL="114300" distR="114300">
            <wp:extent cx="3305175" cy="2000250"/>
            <wp:effectExtent l="9525" t="9525" r="19050" b="9525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CF3D3">
      <w:pPr>
        <w:spacing w:line="360" w:lineRule="auto"/>
        <w:jc w:val="left"/>
      </w:pPr>
      <w:r>
        <w:drawing>
          <wp:inline distT="0" distB="0" distL="114300" distR="114300">
            <wp:extent cx="5273040" cy="746125"/>
            <wp:effectExtent l="9525" t="9525" r="13335" b="2540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6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DB1C3">
      <w:pPr>
        <w:spacing w:line="360" w:lineRule="auto"/>
        <w:jc w:val="left"/>
      </w:pPr>
      <w:r>
        <w:drawing>
          <wp:inline distT="0" distB="0" distL="114300" distR="114300">
            <wp:extent cx="4772025" cy="2095500"/>
            <wp:effectExtent l="9525" t="9525" r="19050" b="9525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9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FFA3FF">
      <w:pPr>
        <w:spacing w:line="360" w:lineRule="auto"/>
        <w:jc w:val="left"/>
      </w:pPr>
    </w:p>
    <w:p w14:paraId="454CF1C3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PREVIOUS DEFAULTS VS CURRENT DEFAULT</w:t>
      </w:r>
    </w:p>
    <w:p w14:paraId="11D6533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who previously defaulted more likely to default again?</w:t>
      </w:r>
    </w:p>
    <w:p w14:paraId="6FA690C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Measures whether past default history is associated with future default.</w:t>
      </w:r>
    </w:p>
    <w:p w14:paraId="6CBE202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 history of previous defaults would generally be expected to correspond with higher observed default risk.</w:t>
      </w:r>
    </w:p>
    <w:p w14:paraId="16F8F7DA">
      <w:pPr>
        <w:spacing w:line="360" w:lineRule="auto"/>
        <w:jc w:val="left"/>
      </w:pPr>
      <w:r>
        <w:rPr>
          <w:rFonts w:hint="default"/>
          <w:lang w:val="en-US"/>
        </w:rPr>
        <w:t>-</w:t>
      </w:r>
      <w:r>
        <w:drawing>
          <wp:inline distT="0" distB="0" distL="114300" distR="114300">
            <wp:extent cx="3800475" cy="1895475"/>
            <wp:effectExtent l="9525" t="9525" r="19050" b="19050"/>
            <wp:docPr id="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8B9F4A">
      <w:pPr>
        <w:spacing w:line="360" w:lineRule="auto"/>
        <w:jc w:val="left"/>
      </w:pPr>
      <w:r>
        <w:drawing>
          <wp:inline distT="0" distB="0" distL="114300" distR="114300">
            <wp:extent cx="5143500" cy="1323975"/>
            <wp:effectExtent l="9525" t="9525" r="9525" b="1905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23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74728">
      <w:pPr>
        <w:spacing w:line="360" w:lineRule="auto"/>
        <w:jc w:val="left"/>
      </w:pPr>
      <w:r>
        <w:drawing>
          <wp:inline distT="0" distB="0" distL="114300" distR="114300">
            <wp:extent cx="4238625" cy="4267200"/>
            <wp:effectExtent l="9525" t="9525" r="19050" b="9525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26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28FA78">
      <w:pPr>
        <w:spacing w:line="360" w:lineRule="auto"/>
        <w:jc w:val="left"/>
      </w:pPr>
    </w:p>
    <w:p w14:paraId="329635E1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PREVIOUS LATE PAYMENTS VS CURRENT DEFAULT</w:t>
      </w:r>
    </w:p>
    <w:p w14:paraId="42D3FE7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with a history of late payments more likely to default?</w:t>
      </w:r>
    </w:p>
    <w:p w14:paraId="2E6A82C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Shows whether previous repayment behavior is associated with current default.</w:t>
      </w:r>
    </w:p>
    <w:p w14:paraId="62CC9CC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More previous late payments may be associated with higher default risk because they indicate a history of repayment difficulty.</w:t>
      </w:r>
    </w:p>
    <w:p w14:paraId="53DA37CB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7C278483">
      <w:pPr>
        <w:spacing w:line="360" w:lineRule="auto"/>
        <w:jc w:val="left"/>
      </w:pPr>
      <w:r>
        <w:drawing>
          <wp:inline distT="0" distB="0" distL="114300" distR="114300">
            <wp:extent cx="3724275" cy="2047875"/>
            <wp:effectExtent l="9525" t="9525" r="19050" b="1905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EF613">
      <w:pPr>
        <w:spacing w:line="360" w:lineRule="auto"/>
        <w:jc w:val="left"/>
      </w:pPr>
      <w:r>
        <w:drawing>
          <wp:inline distT="0" distB="0" distL="114300" distR="114300">
            <wp:extent cx="4667250" cy="3305175"/>
            <wp:effectExtent l="9525" t="9525" r="9525" b="1905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305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BB45A">
      <w:pPr>
        <w:spacing w:line="360" w:lineRule="auto"/>
        <w:jc w:val="left"/>
      </w:pPr>
      <w:r>
        <w:drawing>
          <wp:inline distT="0" distB="0" distL="114300" distR="114300">
            <wp:extent cx="4562475" cy="3228975"/>
            <wp:effectExtent l="9525" t="9525" r="19050" b="19050"/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228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34896">
      <w:pPr>
        <w:spacing w:line="360" w:lineRule="auto"/>
        <w:jc w:val="left"/>
      </w:pPr>
      <w:r>
        <w:drawing>
          <wp:inline distT="0" distB="0" distL="114300" distR="114300">
            <wp:extent cx="3810000" cy="1790700"/>
            <wp:effectExtent l="9525" t="9525" r="9525" b="9525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9EE01">
      <w:pPr>
        <w:spacing w:line="360" w:lineRule="auto"/>
        <w:jc w:val="left"/>
      </w:pPr>
    </w:p>
    <w:p w14:paraId="1DDB2C61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SAVINGS BALANCE VS DEFAULT</w:t>
      </w:r>
    </w:p>
    <w:p w14:paraId="3E644E5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Do borrowers with more savings have lower default rates?</w:t>
      </w:r>
    </w:p>
    <w:p w14:paraId="223FB55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Examines whether financial reserves are associated with repayment performance.</w:t>
      </w:r>
    </w:p>
    <w:p w14:paraId="2C6F566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Higher savings may be associated with lower default because borrowers have a financial buffer for unexpected expenses.</w:t>
      </w:r>
    </w:p>
    <w:p w14:paraId="25B54612">
      <w:pPr>
        <w:spacing w:line="360" w:lineRule="auto"/>
        <w:jc w:val="left"/>
      </w:pPr>
      <w:r>
        <w:drawing>
          <wp:inline distT="0" distB="0" distL="114300" distR="114300">
            <wp:extent cx="4905375" cy="2076450"/>
            <wp:effectExtent l="9525" t="9525" r="19050" b="9525"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33D1A">
      <w:pPr>
        <w:spacing w:line="360" w:lineRule="auto"/>
        <w:jc w:val="left"/>
      </w:pPr>
      <w:r>
        <w:drawing>
          <wp:inline distT="0" distB="0" distL="114300" distR="114300">
            <wp:extent cx="3962400" cy="2228850"/>
            <wp:effectExtent l="9525" t="9525" r="9525" b="9525"/>
            <wp:docPr id="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2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33DCFA">
      <w:pPr>
        <w:spacing w:line="360" w:lineRule="auto"/>
        <w:jc w:val="left"/>
      </w:pPr>
      <w:r>
        <w:drawing>
          <wp:inline distT="0" distB="0" distL="114300" distR="114300">
            <wp:extent cx="5270500" cy="613410"/>
            <wp:effectExtent l="9525" t="9525" r="15875" b="24765"/>
            <wp:docPr id="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3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3AEAC">
      <w:pPr>
        <w:spacing w:line="360" w:lineRule="auto"/>
        <w:jc w:val="left"/>
      </w:pPr>
    </w:p>
    <w:p w14:paraId="6105854B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OTHER DEBT VS DEFAULT</w:t>
      </w:r>
    </w:p>
    <w:p w14:paraId="0203956C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with more existing debt more likely to default?</w:t>
      </w:r>
    </w:p>
    <w:p w14:paraId="565BDC7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Shows whether existing financial obligations are associated with default.</w:t>
      </w:r>
    </w:p>
    <w:p w14:paraId="6E3F3FF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Higher existing debt may increase repayment pressure and therefore be associated with higher default.</w:t>
      </w:r>
    </w:p>
    <w:p w14:paraId="30751376">
      <w:pPr>
        <w:spacing w:line="360" w:lineRule="auto"/>
        <w:jc w:val="left"/>
      </w:pPr>
      <w:r>
        <w:drawing>
          <wp:inline distT="0" distB="0" distL="114300" distR="114300">
            <wp:extent cx="4543425" cy="2133600"/>
            <wp:effectExtent l="9525" t="9525" r="19050" b="9525"/>
            <wp:docPr id="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F5022">
      <w:pPr>
        <w:spacing w:line="360" w:lineRule="auto"/>
        <w:jc w:val="left"/>
      </w:pPr>
      <w:r>
        <w:drawing>
          <wp:inline distT="0" distB="0" distL="114300" distR="114300">
            <wp:extent cx="5269230" cy="3378835"/>
            <wp:effectExtent l="9525" t="9525" r="17145" b="21590"/>
            <wp:docPr id="3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8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99689">
      <w:pPr>
        <w:spacing w:line="360" w:lineRule="auto"/>
        <w:jc w:val="left"/>
      </w:pPr>
    </w:p>
    <w:p w14:paraId="4108F4E9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7A099478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5166A62C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20881922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30EAFDA6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173CB25C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33648E47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03B71BCA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7EA32F09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27C3A0DC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475F6CE9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32614EBF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WHAT WE'VE ACCOMPLISHED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0E9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C3E5E4F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Variable</w:t>
            </w:r>
          </w:p>
        </w:tc>
        <w:tc>
          <w:tcPr>
            <w:tcW w:w="4261" w:type="dxa"/>
            <w:vAlign w:val="center"/>
          </w:tcPr>
          <w:p w14:paraId="6213D6CF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 examined</w:t>
            </w:r>
          </w:p>
        </w:tc>
      </w:tr>
      <w:tr w14:paraId="3E8A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26B6E73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Employment type</w:t>
            </w:r>
          </w:p>
        </w:tc>
        <w:tc>
          <w:tcPr>
            <w:tcW w:w="4261" w:type="dxa"/>
            <w:vAlign w:val="center"/>
          </w:tcPr>
          <w:p w14:paraId="0712FE8B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215C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E55169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 product</w:t>
            </w:r>
          </w:p>
        </w:tc>
        <w:tc>
          <w:tcPr>
            <w:tcW w:w="4261" w:type="dxa"/>
            <w:vAlign w:val="center"/>
          </w:tcPr>
          <w:p w14:paraId="20CA764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01EE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3747E8A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County</w:t>
            </w:r>
          </w:p>
        </w:tc>
        <w:tc>
          <w:tcPr>
            <w:tcW w:w="4261" w:type="dxa"/>
            <w:vAlign w:val="center"/>
          </w:tcPr>
          <w:p w14:paraId="69A8640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316C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8C2788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4261" w:type="dxa"/>
            <w:vAlign w:val="center"/>
          </w:tcPr>
          <w:p w14:paraId="08030A3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4B21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8E9FB3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 income</w:t>
            </w:r>
          </w:p>
        </w:tc>
        <w:tc>
          <w:tcPr>
            <w:tcW w:w="4261" w:type="dxa"/>
            <w:vAlign w:val="center"/>
          </w:tcPr>
          <w:p w14:paraId="793DDBC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5706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9A450C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 amount</w:t>
            </w:r>
          </w:p>
        </w:tc>
        <w:tc>
          <w:tcPr>
            <w:tcW w:w="4261" w:type="dxa"/>
            <w:vAlign w:val="center"/>
          </w:tcPr>
          <w:p w14:paraId="19E0EF7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04FF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E56B06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</w:t>
            </w:r>
          </w:p>
        </w:tc>
        <w:tc>
          <w:tcPr>
            <w:tcW w:w="4261" w:type="dxa"/>
            <w:vAlign w:val="center"/>
          </w:tcPr>
          <w:p w14:paraId="606F24A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36BD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2ACAAE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Other debt</w:t>
            </w:r>
          </w:p>
        </w:tc>
        <w:tc>
          <w:tcPr>
            <w:tcW w:w="4261" w:type="dxa"/>
            <w:vAlign w:val="center"/>
          </w:tcPr>
          <w:p w14:paraId="5100B14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5935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ADC4DC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defaults</w:t>
            </w:r>
          </w:p>
        </w:tc>
        <w:tc>
          <w:tcPr>
            <w:tcW w:w="4261" w:type="dxa"/>
            <w:vAlign w:val="center"/>
          </w:tcPr>
          <w:p w14:paraId="303559E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  <w:tr w14:paraId="0384A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323779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 late payments</w:t>
            </w:r>
          </w:p>
        </w:tc>
        <w:tc>
          <w:tcPr>
            <w:tcW w:w="4261" w:type="dxa"/>
            <w:vAlign w:val="center"/>
          </w:tcPr>
          <w:p w14:paraId="12BDCF9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color w:val="0000FF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→ Default</w:t>
            </w:r>
          </w:p>
        </w:tc>
      </w:tr>
    </w:tbl>
    <w:p w14:paraId="6AA27801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p w14:paraId="7666D8DA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p w14:paraId="5853C799">
      <w:pPr>
        <w:spacing w:line="360" w:lineRule="auto"/>
        <w:jc w:val="center"/>
      </w:pPr>
      <w:r>
        <w:drawing>
          <wp:inline distT="0" distB="0" distL="114300" distR="114300">
            <wp:extent cx="5272405" cy="2182495"/>
            <wp:effectExtent l="0" t="0" r="444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C44A">
      <w:pPr>
        <w:spacing w:line="360" w:lineRule="auto"/>
        <w:jc w:val="center"/>
      </w:pPr>
    </w:p>
    <w:p w14:paraId="19DF4741">
      <w:pPr>
        <w:spacing w:line="360" w:lineRule="auto"/>
        <w:jc w:val="center"/>
      </w:pPr>
    </w:p>
    <w:p w14:paraId="78C2BF7E">
      <w:pPr>
        <w:spacing w:line="360" w:lineRule="auto"/>
        <w:jc w:val="center"/>
      </w:pPr>
    </w:p>
    <w:p w14:paraId="7E2E1D23">
      <w:pPr>
        <w:spacing w:line="360" w:lineRule="auto"/>
        <w:jc w:val="center"/>
      </w:pPr>
    </w:p>
    <w:p w14:paraId="21E9D468">
      <w:pPr>
        <w:spacing w:line="360" w:lineRule="auto"/>
        <w:jc w:val="center"/>
      </w:pPr>
    </w:p>
    <w:p w14:paraId="547E1E83">
      <w:pPr>
        <w:spacing w:line="360" w:lineRule="auto"/>
        <w:jc w:val="center"/>
      </w:pPr>
    </w:p>
    <w:p w14:paraId="03198BC8">
      <w:pPr>
        <w:spacing w:line="360" w:lineRule="auto"/>
        <w:jc w:val="center"/>
      </w:pPr>
    </w:p>
    <w:p w14:paraId="24771183">
      <w:pPr>
        <w:spacing w:line="360" w:lineRule="auto"/>
        <w:jc w:val="center"/>
      </w:pPr>
    </w:p>
    <w:p w14:paraId="76A4560A">
      <w:pPr>
        <w:spacing w:line="48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FEATURE ENGINEERING.</w:t>
      </w:r>
    </w:p>
    <w:p w14:paraId="214F03E4">
      <w:pPr>
        <w:spacing w:line="48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We are going to generate some features from numerical variables that will help in doing a better bivariate analysis with the default (target variable).</w:t>
      </w:r>
    </w:p>
    <w:p w14:paraId="1C30FDF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We'll focus first on the borrower's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financial capacity</w:t>
      </w:r>
      <w:r>
        <w:rPr>
          <w:rFonts w:hint="default" w:ascii="Times New Roman" w:hAnsi="Times New Roman" w:eastAsia="SimSun" w:cs="Times New Roman"/>
          <w:sz w:val="24"/>
          <w:szCs w:val="24"/>
        </w:rPr>
        <w:t>.The key questions are:</w:t>
      </w:r>
    </w:p>
    <w:p w14:paraId="4E594F87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large is the loan compared with income?</w:t>
      </w:r>
    </w:p>
    <w:p w14:paraId="590D327A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existing debt does the borrower have relative to income?</w:t>
      </w:r>
    </w:p>
    <w:p w14:paraId="6E4440D4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money is left after monthly cash inflows and outflows?</w:t>
      </w:r>
    </w:p>
    <w:p w14:paraId="3790D943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much of income is committed to loan repayment?</w:t>
      </w:r>
    </w:p>
    <w:p w14:paraId="137FABAC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How strong are the borrower's savings relative to income?</w:t>
      </w:r>
    </w:p>
    <w:p w14:paraId="107BFB4E">
      <w:pPr>
        <w:numPr>
          <w:ilvl w:val="0"/>
          <w:numId w:val="2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 these financial measures differ between defaulters and non-defaulters?</w:t>
      </w:r>
    </w:p>
    <w:p w14:paraId="182E9B18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61CDBC1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FINANCIAL RISK FEATURES</w:t>
      </w:r>
    </w:p>
    <w:p w14:paraId="37EB9393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Loan-to-Income Ratio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</w:p>
    <w:p w14:paraId="20E4DCC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requesting relatively large loans compared with their income more likely to default?</w:t>
      </w:r>
    </w:p>
    <w:p w14:paraId="6EECAC8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4219575" cy="1390650"/>
            <wp:effectExtent l="9525" t="9525" r="19050" b="9525"/>
            <wp:docPr id="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9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A60757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Debt-to-Income Ratio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(DTI).</w:t>
      </w:r>
    </w:p>
    <w:p w14:paraId="00BC659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who already have higher debt obligations relative to their income more likely to default?</w:t>
      </w:r>
    </w:p>
    <w:p w14:paraId="612915C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4724400" cy="1019175"/>
            <wp:effectExtent l="9525" t="9525" r="9525" b="19050"/>
            <wp:docPr id="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19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362251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p w14:paraId="1C121ED3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Total-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Debt-to-Income Ratio</w:t>
      </w:r>
    </w:p>
    <w:p w14:paraId="563E72C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After taking this new loan, how much of the borrower's monthly income would be committed to debt payments?</w:t>
      </w:r>
    </w:p>
    <w:p w14:paraId="04EFF93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can be particularly useful for a SACCO/MFI because it considers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both existing debt and the proposed loan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9E7CB7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4886325" cy="1171575"/>
            <wp:effectExtent l="9525" t="9525" r="19050" b="19050"/>
            <wp:docPr id="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71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2E60A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Monthly Cash Flow</w:t>
      </w:r>
    </w:p>
    <w:p w14:paraId="30D0BAD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Do borrowers with weaker monthly cash flow have higher observed default rates?</w:t>
      </w:r>
    </w:p>
    <w:p w14:paraId="19262FF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drawing>
          <wp:inline distT="0" distB="0" distL="114300" distR="114300">
            <wp:extent cx="4914900" cy="1190625"/>
            <wp:effectExtent l="0" t="0" r="0" b="9525"/>
            <wp:docPr id="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190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0E401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Cash-Flow-to-Income Ratio</w:t>
      </w:r>
    </w:p>
    <w:p w14:paraId="1192D7D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Are borrowers who have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higher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cash flow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relative to their income more likely to default?</w:t>
      </w:r>
    </w:p>
    <w:p w14:paraId="2FA96B33">
      <w:pPr>
        <w:spacing w:line="360" w:lineRule="auto"/>
        <w:jc w:val="left"/>
      </w:pPr>
      <w:r>
        <w:drawing>
          <wp:inline distT="0" distB="0" distL="114300" distR="114300">
            <wp:extent cx="5095875" cy="828675"/>
            <wp:effectExtent l="9525" t="9525" r="19050" b="19050"/>
            <wp:docPr id="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28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286EC">
      <w:pPr>
        <w:spacing w:line="360" w:lineRule="auto"/>
        <w:jc w:val="left"/>
      </w:pPr>
    </w:p>
    <w:p w14:paraId="3FEAF4D0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Repayment-to-Income Ratio</w:t>
      </w:r>
    </w:p>
    <w:p w14:paraId="25AAE9A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Does a larger monthly repayment relative to income correspond with higher observed default rates?</w:t>
      </w:r>
    </w:p>
    <w:p w14:paraId="2184DD8B">
      <w:pPr>
        <w:spacing w:line="360" w:lineRule="auto"/>
        <w:jc w:val="left"/>
      </w:pPr>
      <w:r>
        <w:drawing>
          <wp:inline distT="0" distB="0" distL="114300" distR="114300">
            <wp:extent cx="4810125" cy="990600"/>
            <wp:effectExtent l="9525" t="9525" r="19050" b="9525"/>
            <wp:docPr id="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BF3BE">
      <w:pPr>
        <w:spacing w:line="360" w:lineRule="auto"/>
        <w:jc w:val="left"/>
      </w:pPr>
    </w:p>
    <w:p w14:paraId="793869F9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Savings-to-Income Ratio</w:t>
      </w:r>
    </w:p>
    <w:p w14:paraId="1E38388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Do borrowers with stronger savings relative to income have different observed default rates?</w:t>
      </w:r>
    </w:p>
    <w:p w14:paraId="0CECAF43">
      <w:pPr>
        <w:spacing w:line="480" w:lineRule="auto"/>
        <w:jc w:val="left"/>
      </w:pPr>
      <w:r>
        <w:drawing>
          <wp:inline distT="0" distB="0" distL="114300" distR="114300">
            <wp:extent cx="4543425" cy="1009650"/>
            <wp:effectExtent l="9525" t="9525" r="19050" b="9525"/>
            <wp:docPr id="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F7EBB">
      <w:pPr>
        <w:spacing w:line="480" w:lineRule="auto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3E57AD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CHECK THE NEW FEATURES</w:t>
      </w:r>
    </w:p>
    <w:p w14:paraId="414F2EE9">
      <w:pPr>
        <w:spacing w:line="480" w:lineRule="auto"/>
        <w:jc w:val="left"/>
      </w:pPr>
      <w:r>
        <w:drawing>
          <wp:inline distT="0" distB="0" distL="114300" distR="114300">
            <wp:extent cx="3638550" cy="2219325"/>
            <wp:effectExtent l="9525" t="9525" r="9525" b="19050"/>
            <wp:docPr id="4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BF9AEB">
      <w:pPr>
        <w:spacing w:line="480" w:lineRule="auto"/>
        <w:jc w:val="left"/>
      </w:pPr>
      <w:r>
        <w:drawing>
          <wp:inline distT="0" distB="0" distL="114300" distR="114300">
            <wp:extent cx="5266055" cy="1431925"/>
            <wp:effectExtent l="9525" t="9525" r="20320" b="25400"/>
            <wp:docPr id="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31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202A6">
      <w:pPr>
        <w:spacing w:line="480" w:lineRule="auto"/>
        <w:jc w:val="left"/>
      </w:pPr>
    </w:p>
    <w:p w14:paraId="437C7F5C">
      <w:pPr>
        <w:spacing w:line="480" w:lineRule="auto"/>
        <w:jc w:val="left"/>
      </w:pPr>
    </w:p>
    <w:p w14:paraId="4C5AF291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COMPARE THESE FEATURES WITH DEFAULT</w:t>
      </w:r>
    </w:p>
    <w:p w14:paraId="14E6072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Let's first compare the averages and medians:</w:t>
      </w:r>
    </w:p>
    <w:p w14:paraId="4995B442">
      <w:pPr>
        <w:spacing w:line="480" w:lineRule="auto"/>
        <w:jc w:val="left"/>
      </w:pPr>
      <w:r>
        <w:drawing>
          <wp:inline distT="0" distB="0" distL="114300" distR="114300">
            <wp:extent cx="4086225" cy="819150"/>
            <wp:effectExtent l="9525" t="9525" r="19050" b="9525"/>
            <wp:docPr id="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FB5D3">
      <w:pPr>
        <w:spacing w:line="480" w:lineRule="auto"/>
        <w:jc w:val="left"/>
      </w:pPr>
      <w:r>
        <w:drawing>
          <wp:inline distT="0" distB="0" distL="114300" distR="114300">
            <wp:extent cx="5269865" cy="1369695"/>
            <wp:effectExtent l="9525" t="9525" r="16510" b="11430"/>
            <wp:docPr id="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9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70A694">
      <w:pPr>
        <w:spacing w:line="480" w:lineRule="auto"/>
        <w:jc w:val="left"/>
      </w:pPr>
      <w:r>
        <w:drawing>
          <wp:inline distT="0" distB="0" distL="114300" distR="114300">
            <wp:extent cx="4943475" cy="1619250"/>
            <wp:effectExtent l="9525" t="9525" r="19050" b="9525"/>
            <wp:docPr id="5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619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48E6A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Loan-to-Income Ratio</w:t>
      </w:r>
    </w:p>
    <w:p w14:paraId="2E1E0F6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Interpretation: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Defaulted borrowers had higher loan-to-income ratios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(5.32 Vs 4.87). -- </w:t>
      </w:r>
      <w:r>
        <w:rPr>
          <w:rFonts w:hint="default" w:ascii="Times New Roman" w:hAnsi="Times New Roman" w:eastAsia="SimSun" w:cs="Times New Roman"/>
          <w:sz w:val="24"/>
          <w:szCs w:val="24"/>
        </w:rPr>
        <w:t>Borrowers who defaulted generally requested loans that were larger relative to their monthly income.</w:t>
      </w:r>
    </w:p>
    <w:p w14:paraId="662B5666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Debt-to-Income Ratio</w:t>
      </w:r>
    </w:p>
    <w:p w14:paraId="270779A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Defaulted borrowers have a slightly higher existing-debt-to-income ratio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(19.4% median Vs 18.3%)</w:t>
      </w:r>
      <w:r>
        <w:rPr>
          <w:rFonts w:hint="default" w:ascii="Times New Roman" w:hAnsi="Times New Roman" w:eastAsia="SimSun" w:cs="Times New Roman"/>
          <w:sz w:val="24"/>
          <w:szCs w:val="24"/>
        </w:rPr>
        <w:t>.Defaulted borrowers tended to have slightly more existing monthly debt relative to their income.</w:t>
      </w:r>
    </w:p>
    <w:p w14:paraId="4FFD9CE4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Total Debt-Service Ratio</w:t>
      </w:r>
    </w:p>
    <w:p w14:paraId="78DA144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Your results show:</w:t>
      </w:r>
    </w:p>
    <w:p w14:paraId="27E068BA">
      <w:pPr>
        <w:numPr>
          <w:ilvl w:val="0"/>
          <w:numId w:val="3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73.0%</w:t>
      </w:r>
    </w:p>
    <w:p w14:paraId="28695E1A">
      <w:pPr>
        <w:numPr>
          <w:ilvl w:val="0"/>
          <w:numId w:val="3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105.2%</w:t>
      </w:r>
    </w:p>
    <w:p w14:paraId="4F69A211">
      <w:pPr>
        <w:numPr>
          <w:ilvl w:val="0"/>
          <w:numId w:val="3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55.5%</w:t>
      </w:r>
    </w:p>
    <w:p w14:paraId="3FA65BC3">
      <w:pPr>
        <w:numPr>
          <w:ilvl w:val="0"/>
          <w:numId w:val="3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77.9%</w:t>
      </w:r>
    </w:p>
    <w:p w14:paraId="0A923CB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a substantial difference.</w:t>
      </w:r>
    </w:p>
    <w:p w14:paraId="0C6EE83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interpretation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Defaulted borrowers had substantially higher total debt-service ratios, indicating that their combined existing and proposed debt obligations represented a larger proportion of their income.</w:t>
      </w:r>
    </w:p>
    <w:p w14:paraId="033812F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exactly the kind of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engineered feature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can provide information that wasn't as obvious from looking at the original columns individually.</w:t>
      </w:r>
    </w:p>
    <w:p w14:paraId="7D4B2ADE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Monthly Cash Flow</w:t>
      </w:r>
    </w:p>
    <w:p w14:paraId="728A46E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Here the difference is much smaller.</w:t>
      </w:r>
    </w:p>
    <w:p w14:paraId="67853C55">
      <w:pPr>
        <w:spacing w:line="480" w:lineRule="auto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median is: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KES 10,400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Non-default: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KES 10,900</w:t>
      </w:r>
    </w:p>
    <w:p w14:paraId="14C57778">
      <w:pPr>
        <w:spacing w:line="480" w:lineRule="auto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-- the mean is: Default: KES 12,857, Non-default: 13,192</w:t>
      </w:r>
    </w:p>
    <w:p w14:paraId="5C4978A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-- Interpretation: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Defaulted borrowers had slightly lower monthly cash flow than non-defaulted borrowers.</w:t>
      </w:r>
    </w:p>
    <w:p w14:paraId="3A078ED1">
      <w:pPr>
        <w:spacing w:line="480" w:lineRule="auto"/>
        <w:jc w:val="center"/>
        <w:rPr>
          <w:rFonts w:hint="default" w:ascii="Times New Roman" w:hAnsi="Times New Roman" w:eastAsia="SimSu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/>
        </w:rPr>
        <w:t>C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FF"/>
          <w:spacing w:val="0"/>
          <w:sz w:val="24"/>
          <w:szCs w:val="24"/>
          <w:shd w:val="clear" w:fill="FFFFFF"/>
        </w:rPr>
        <w:t>ash_flow_to_income_ratio</w:t>
      </w:r>
    </w:p>
    <w:p w14:paraId="68F6CF5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Here the difference is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very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small.</w:t>
      </w:r>
    </w:p>
    <w:p w14:paraId="75BCBC10">
      <w:pPr>
        <w:spacing w:line="48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median is: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Default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19.84%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Non-default: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20.07%</w:t>
      </w:r>
    </w:p>
    <w:p w14:paraId="2C6DBCEE">
      <w:pPr>
        <w:spacing w:line="480" w:lineRule="auto"/>
        <w:jc w:val="left"/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-- the mean is: Default: 20.03%, Non-default: 20.42%</w:t>
      </w:r>
    </w:p>
    <w:p w14:paraId="7D02A69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-- Interpretation: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Defaulted borrowers had slightly lower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cash_flow_to_income_rati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than non-defaulted borrowers.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B</w:t>
      </w:r>
      <w:r>
        <w:rPr>
          <w:rFonts w:hint="default" w:ascii="Times New Roman" w:hAnsi="Times New Roman" w:eastAsia="SimSun" w:cs="Times New Roman"/>
          <w:sz w:val="24"/>
          <w:szCs w:val="24"/>
        </w:rPr>
        <w:t>orrowers who have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slightly lower cash flow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relative to their income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are </w:t>
      </w:r>
      <w:r>
        <w:rPr>
          <w:rFonts w:hint="default" w:ascii="Times New Roman" w:hAnsi="Times New Roman" w:eastAsia="SimSun" w:cs="Times New Roman"/>
          <w:sz w:val="24"/>
          <w:szCs w:val="24"/>
        </w:rPr>
        <w:t>more likely to default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but the difference between the two groups is small in this dataset.</w:t>
      </w:r>
    </w:p>
    <w:p w14:paraId="16A3C765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Repayment-to-Income Ratio</w:t>
      </w:r>
    </w:p>
    <w:p w14:paraId="589B33C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-- The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results show:</w:t>
      </w:r>
    </w:p>
    <w:p w14:paraId="3E80FBD9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54.46%</w:t>
      </w:r>
    </w:p>
    <w:p w14:paraId="696ABE04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85.38%</w:t>
      </w:r>
    </w:p>
    <w:p w14:paraId="7A8B40C0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35.91%</w:t>
      </w:r>
    </w:p>
    <w:p w14:paraId="67592C73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57.69%</w:t>
      </w:r>
    </w:p>
    <w:p w14:paraId="394F7CA6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a substantial difference.</w:t>
      </w:r>
    </w:p>
    <w:p w14:paraId="36708E7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-- Interpretation: Borrowers with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 larger monthly repayment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relative to income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are very likely to default.</w:t>
      </w:r>
    </w:p>
    <w:p w14:paraId="2D5E96C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makes business sense as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risk indicator</w:t>
      </w:r>
      <w:r>
        <w:rPr>
          <w:rFonts w:hint="default" w:ascii="Times New Roman" w:hAnsi="Times New Roman" w:eastAsia="SimSun" w:cs="Times New Roman"/>
          <w:sz w:val="24"/>
          <w:szCs w:val="24"/>
        </w:rPr>
        <w:t>: a larger repayment relative to income represents greater repayment pressure.</w:t>
      </w:r>
    </w:p>
    <w:p w14:paraId="48B418F8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Savings-to-Income Ratio</w:t>
      </w:r>
    </w:p>
    <w:p w14:paraId="72EC7B0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-- The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results show:</w:t>
      </w:r>
    </w:p>
    <w:p w14:paraId="514CD70F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305.7%</w:t>
      </w:r>
    </w:p>
    <w:p w14:paraId="77B3C6FC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204.4%</w:t>
      </w:r>
    </w:p>
    <w:p w14:paraId="02F2B1FB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Non-default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307.6%</w:t>
      </w:r>
    </w:p>
    <w:p w14:paraId="6146EF19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Default median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= 158.6%</w:t>
      </w:r>
    </w:p>
    <w:p w14:paraId="4CC6F5D8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a substantial difference.</w:t>
      </w:r>
    </w:p>
    <w:p w14:paraId="24E8B81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Business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B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orrowers with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lower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savings relative to income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are very likely to default.</w:t>
      </w:r>
    </w:p>
    <w:p w14:paraId="36544EB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551D3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5E202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0A933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C50AD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2BD29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4F83D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8BFA4E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Let's put all 7 engineered features together</w:t>
      </w:r>
    </w:p>
    <w:p w14:paraId="1755FC5D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tbl>
      <w:tblPr>
        <w:tblStyle w:val="6"/>
        <w:tblW w:w="84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168"/>
        <w:gridCol w:w="2841"/>
      </w:tblGrid>
      <w:tr w14:paraId="0116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33CEEFD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3168" w:type="dxa"/>
            <w:vAlign w:val="center"/>
          </w:tcPr>
          <w:p w14:paraId="47693B7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Default vs non-default</w:t>
            </w:r>
          </w:p>
        </w:tc>
        <w:tc>
          <w:tcPr>
            <w:tcW w:w="2841" w:type="dxa"/>
            <w:vAlign w:val="center"/>
          </w:tcPr>
          <w:p w14:paraId="2CACF19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Initial signal</w:t>
            </w:r>
          </w:p>
        </w:tc>
      </w:tr>
      <w:tr w14:paraId="03025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2266073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Loan-to-income</w:t>
            </w:r>
          </w:p>
        </w:tc>
        <w:tc>
          <w:tcPr>
            <w:tcW w:w="3168" w:type="dxa"/>
            <w:vAlign w:val="center"/>
          </w:tcPr>
          <w:p w14:paraId="1751841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5.32 vs 4.87</w:t>
            </w:r>
          </w:p>
        </w:tc>
        <w:tc>
          <w:tcPr>
            <w:tcW w:w="2841" w:type="dxa"/>
            <w:vAlign w:val="center"/>
          </w:tcPr>
          <w:p w14:paraId="3320C00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Higher among defaults</w:t>
            </w:r>
          </w:p>
        </w:tc>
      </w:tr>
      <w:tr w14:paraId="2EE6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5ADA25E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Debt-to-income</w:t>
            </w:r>
          </w:p>
        </w:tc>
        <w:tc>
          <w:tcPr>
            <w:tcW w:w="3168" w:type="dxa"/>
            <w:vAlign w:val="center"/>
          </w:tcPr>
          <w:p w14:paraId="4CD2643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19.1% vs 18.4%</w:t>
            </w:r>
          </w:p>
        </w:tc>
        <w:tc>
          <w:tcPr>
            <w:tcW w:w="2841" w:type="dxa"/>
            <w:vAlign w:val="center"/>
          </w:tcPr>
          <w:p w14:paraId="451D23E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Slightly higher among defaults</w:t>
            </w:r>
          </w:p>
        </w:tc>
      </w:tr>
      <w:tr w14:paraId="44B1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4751F3C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Total debt-service</w:t>
            </w:r>
          </w:p>
        </w:tc>
        <w:tc>
          <w:tcPr>
            <w:tcW w:w="3168" w:type="dxa"/>
            <w:vAlign w:val="center"/>
          </w:tcPr>
          <w:p w14:paraId="28BF57A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105.2% vs 73.0%</w:t>
            </w:r>
          </w:p>
        </w:tc>
        <w:tc>
          <w:tcPr>
            <w:tcW w:w="2841" w:type="dxa"/>
            <w:vAlign w:val="center"/>
          </w:tcPr>
          <w:p w14:paraId="7AEBCB1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Much higher among defaults</w:t>
            </w:r>
          </w:p>
        </w:tc>
      </w:tr>
      <w:tr w14:paraId="59A8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3C7F4AF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Monthly cash flow</w:t>
            </w:r>
          </w:p>
        </w:tc>
        <w:tc>
          <w:tcPr>
            <w:tcW w:w="3168" w:type="dxa"/>
            <w:vAlign w:val="center"/>
          </w:tcPr>
          <w:p w14:paraId="6D07931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KES 12,858 vs KES 13,193</w:t>
            </w:r>
          </w:p>
        </w:tc>
        <w:tc>
          <w:tcPr>
            <w:tcW w:w="2841" w:type="dxa"/>
            <w:vAlign w:val="center"/>
          </w:tcPr>
          <w:p w14:paraId="4D2567D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Slightly lower among defaults</w:t>
            </w:r>
          </w:p>
        </w:tc>
      </w:tr>
      <w:tr w14:paraId="1A6F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4141FEF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Cash-flow-to-income</w:t>
            </w:r>
          </w:p>
        </w:tc>
        <w:tc>
          <w:tcPr>
            <w:tcW w:w="3168" w:type="dxa"/>
            <w:vAlign w:val="center"/>
          </w:tcPr>
          <w:p w14:paraId="4324E3AB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20.03% vs 20.42%</w:t>
            </w:r>
          </w:p>
        </w:tc>
        <w:tc>
          <w:tcPr>
            <w:tcW w:w="2841" w:type="dxa"/>
            <w:vAlign w:val="center"/>
          </w:tcPr>
          <w:p w14:paraId="4AA131D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Very similar</w:t>
            </w:r>
          </w:p>
        </w:tc>
      </w:tr>
      <w:tr w14:paraId="308A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008D4DD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Repayment-to-income</w:t>
            </w:r>
          </w:p>
        </w:tc>
        <w:tc>
          <w:tcPr>
            <w:tcW w:w="3168" w:type="dxa"/>
            <w:vAlign w:val="center"/>
          </w:tcPr>
          <w:p w14:paraId="5FFFB81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85.38% vs 54.46%</w:t>
            </w:r>
          </w:p>
        </w:tc>
        <w:tc>
          <w:tcPr>
            <w:tcW w:w="2841" w:type="dxa"/>
            <w:vAlign w:val="center"/>
          </w:tcPr>
          <w:p w14:paraId="11615B7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Much higher among defaults</w:t>
            </w:r>
          </w:p>
        </w:tc>
      </w:tr>
      <w:tr w14:paraId="2385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vAlign w:val="center"/>
          </w:tcPr>
          <w:p w14:paraId="49A726E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Savings-to-income</w:t>
            </w:r>
          </w:p>
        </w:tc>
        <w:tc>
          <w:tcPr>
            <w:tcW w:w="3168" w:type="dxa"/>
            <w:vAlign w:val="center"/>
          </w:tcPr>
          <w:p w14:paraId="412A342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204.4% vs 305.7%</w:t>
            </w:r>
          </w:p>
        </w:tc>
        <w:tc>
          <w:tcPr>
            <w:tcW w:w="2841" w:type="dxa"/>
            <w:vAlign w:val="center"/>
          </w:tcPr>
          <w:p w14:paraId="0771927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Much lower among defaults</w:t>
            </w:r>
          </w:p>
        </w:tc>
      </w:tr>
    </w:tbl>
    <w:p w14:paraId="3118036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DFBDE0">
      <w:pPr>
        <w:spacing w:line="480" w:lineRule="auto"/>
        <w:jc w:val="center"/>
        <w:rPr>
          <w:rStyle w:val="5"/>
          <w:rFonts w:hint="default" w:ascii="Times New Roman" w:hAnsi="Times New Roman" w:eastAsia="SimSu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The three that stand out most</w:t>
      </w:r>
    </w:p>
    <w:p w14:paraId="4F4A7B0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Total debt-service ratio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Higher among defaults.</w:t>
      </w:r>
    </w:p>
    <w:p w14:paraId="24441F8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Repayment-to-income ratio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Higher among defaults.</w:t>
      </w:r>
    </w:p>
    <w:p w14:paraId="7196E0B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Savings-to-income ratio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Lower among defaul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ts</w:t>
      </w:r>
    </w:p>
    <w:p w14:paraId="723663D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4C93C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E1F8D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CECFED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15734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CB7E4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062C52">
      <w:pPr>
        <w:spacing w:line="48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>BIVARIATE ANALYSIS ACROSS LEVELS, NOT JUST ON AVERAGES AND MEDIAN</w:t>
      </w:r>
    </w:p>
    <w:p w14:paraId="701976E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So far, our bivariate analysis has been </w:t>
      </w:r>
      <w:r>
        <w:rPr>
          <w:rFonts w:hint="default" w:ascii="Times New Roman" w:hAnsi="Times New Roman" w:eastAsia="SimSun" w:cs="Times New Roman"/>
          <w:sz w:val="24"/>
          <w:szCs w:val="24"/>
        </w:rPr>
        <w:t>Comparing means and medians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 telling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Are the two groups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(default and non-default)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different on average?</w:t>
      </w:r>
    </w:p>
    <w:p w14:paraId="3CF6309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Now we're moving beyond comparing averages and actually seeing how default rates behave across levels of repayment burden.</w:t>
      </w:r>
    </w:p>
    <w:p w14:paraId="6E393506">
      <w:pPr>
        <w:spacing w:line="48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for credit risk, we want a more useful question: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Does the default rate change as financial pressure increases?</w:t>
      </w:r>
    </w:p>
    <w:p w14:paraId="2F8C176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example, instead of simply saying: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"Defaulted borrowers have a higher repayment-to-income ratio."we want to investigate: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"What is the observed default rate among borrowers with repayment-to-income below 30%, 30–50%, 50–70%, 70–100%, etc.?"</w:t>
      </w:r>
    </w:p>
    <w:p w14:paraId="43FF395F">
      <w:pPr>
        <w:spacing w:line="480" w:lineRule="auto"/>
        <w:jc w:val="left"/>
      </w:pPr>
      <w:r>
        <w:drawing>
          <wp:inline distT="0" distB="0" distL="114300" distR="114300">
            <wp:extent cx="4819650" cy="3648075"/>
            <wp:effectExtent l="9525" t="9525" r="9525" b="19050"/>
            <wp:docPr id="5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48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04F0BA">
      <w:pPr>
        <w:spacing w:line="48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295775" cy="2257425"/>
            <wp:effectExtent l="9525" t="9525" r="19050" b="19050"/>
            <wp:docPr id="5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57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7243F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overall dataset default rate was about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9.57%</w:t>
      </w:r>
      <w:r>
        <w:rPr>
          <w:rFonts w:hint="default" w:ascii="Times New Roman" w:hAnsi="Times New Roman" w:eastAsia="SimSun" w:cs="Times New Roman"/>
          <w:sz w:val="24"/>
          <w:szCs w:val="24"/>
        </w:rPr>
        <w:t>, so these groups show a meaningful pattern around that baseline.</w:t>
      </w:r>
    </w:p>
    <w:p w14:paraId="3C45FEF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INTERPRETATION: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As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monthly repayment becomes larger relative to income</w:t>
      </w:r>
      <w:r>
        <w:rPr>
          <w:rFonts w:hint="default" w:ascii="Times New Roman" w:hAnsi="Times New Roman" w:eastAsia="SimSun" w:cs="Times New Roman"/>
          <w:sz w:val="24"/>
          <w:szCs w:val="24"/>
        </w:rPr>
        <w:t>, the observed default rate generally increases.</w:t>
      </w:r>
    </w:p>
    <w:p w14:paraId="02EF4A5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100%+ group is particularly notable: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Borrowers whose proposed monthly repayment exceeds their monthly income had an observed default rate of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18.35%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compared with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6.62%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among borrowers whose repayment was below 30% of income.</w:t>
      </w:r>
    </w:p>
    <w:p w14:paraId="6034ACB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Repayment burden analysis indicates that observed default rates generally increase as proposed monthly loan repayments become larger relative to borrower income. The highest-risk group in this analysis was borrowers with repayment-to-income ratios above 100%, who recorded an 18.35% default rate compared with 6.62% for borrowers below 30%. This suggests that repayment burden may be an informative feature for credit-risk assessment.</w:t>
      </w:r>
    </w:p>
    <w:p w14:paraId="71B4A4D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10C70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B3DCAA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388B01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B24372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5082844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Total debt-service ratio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Higher among defaults.</w:t>
      </w:r>
    </w:p>
    <w:p w14:paraId="4EFDA477">
      <w:pPr>
        <w:spacing w:line="480" w:lineRule="auto"/>
        <w:jc w:val="left"/>
      </w:pPr>
      <w:r>
        <w:drawing>
          <wp:inline distT="0" distB="0" distL="114300" distR="114300">
            <wp:extent cx="4924425" cy="4010025"/>
            <wp:effectExtent l="9525" t="9525" r="19050" b="19050"/>
            <wp:docPr id="5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10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D8897">
      <w:pPr>
        <w:spacing w:line="480" w:lineRule="auto"/>
        <w:jc w:val="left"/>
      </w:pPr>
      <w:r>
        <w:drawing>
          <wp:inline distT="0" distB="0" distL="114300" distR="114300">
            <wp:extent cx="4276725" cy="2190750"/>
            <wp:effectExtent l="9525" t="9525" r="19050" b="9525"/>
            <wp:docPr id="5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90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DBB7A">
      <w:pPr>
        <w:spacing w:line="480" w:lineRule="auto"/>
        <w:jc w:val="left"/>
      </w:pPr>
    </w:p>
    <w:p w14:paraId="1D7EDD2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pattern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As total debt obligations become larger relative to income, the observed default rate generally increases.</w:t>
      </w:r>
    </w:p>
    <w:p w14:paraId="707BF5A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Borrowers in the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100%+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category have an observed default rate of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16.54%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compared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6.29%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the 0–30% group.</w:t>
      </w:r>
    </w:p>
    <w:p w14:paraId="4BE3C13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the observed default rate is substantially higher among borrowers whose combined debt obligations exceed their monthly income.</w:t>
      </w:r>
    </w:p>
    <w:p w14:paraId="6E23ECF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Total debt-service analysis shows that observed default rates generally increase as debt obligations become larger relative to monthly income. Borrowers with total debt-service ratios above 100% recorded a 16.54% default rate, compared with 6.29% among borrowers in the 0–30% category. This indicates that total debt-service ratio may be an informative feature for credit-risk modeling.</w:t>
      </w:r>
    </w:p>
    <w:p w14:paraId="2BB68DA1">
      <w:pPr>
        <w:spacing w:line="480" w:lineRule="auto"/>
        <w:jc w:val="center"/>
        <w:rPr>
          <w:rStyle w:val="5"/>
          <w:rFonts w:hint="default" w:ascii="SimSun" w:hAnsi="SimSun" w:eastAsia="SimSun" w:cs="SimSun"/>
          <w:sz w:val="24"/>
          <w:szCs w:val="24"/>
          <w:lang w:val="en-US"/>
        </w:rPr>
      </w:pPr>
    </w:p>
    <w:p w14:paraId="03A1B932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Savings-to-income ratio</w:t>
      </w:r>
    </w:p>
    <w:p w14:paraId="0F76C91F">
      <w:pPr>
        <w:spacing w:line="480" w:lineRule="auto"/>
        <w:jc w:val="left"/>
      </w:pPr>
      <w:r>
        <w:drawing>
          <wp:inline distT="0" distB="0" distL="114300" distR="114300">
            <wp:extent cx="4743450" cy="3752850"/>
            <wp:effectExtent l="9525" t="9525" r="9525" b="9525"/>
            <wp:docPr id="5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F9D07">
      <w:pPr>
        <w:spacing w:line="480" w:lineRule="auto"/>
        <w:jc w:val="left"/>
      </w:pPr>
      <w:r>
        <w:drawing>
          <wp:inline distT="0" distB="0" distL="114300" distR="114300">
            <wp:extent cx="3990975" cy="1914525"/>
            <wp:effectExtent l="9525" t="9525" r="19050" b="19050"/>
            <wp:docPr id="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14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BF3020">
      <w:pPr>
        <w:spacing w:line="480" w:lineRule="auto"/>
        <w:jc w:val="left"/>
      </w:pPr>
    </w:p>
    <w:p w14:paraId="7DF36D9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There is a very clear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inverse relationship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As savings relative to income increases, the observed default rate generally decreases.</w:t>
      </w:r>
    </w:p>
    <w:p w14:paraId="2836B88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Borrowers with savings below 100% of monthly income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have the highest default rate of </w:t>
      </w:r>
      <w:r>
        <w:rPr>
          <w:rFonts w:hint="default" w:ascii="Times New Roman" w:hAnsi="Times New Roman" w:eastAsia="SimSun" w:cs="Times New Roman"/>
          <w:sz w:val="24"/>
          <w:szCs w:val="24"/>
        </w:rPr>
        <w:t>29.47% default rate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73D97B0F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Borrowers with savings above 300% of monthly income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have the lowest default rate of </w:t>
      </w:r>
      <w:r>
        <w:rPr>
          <w:rFonts w:hint="default" w:ascii="Times New Roman" w:hAnsi="Times New Roman" w:eastAsia="SimSun" w:cs="Times New Roman"/>
          <w:sz w:val="24"/>
          <w:szCs w:val="24"/>
        </w:rPr>
        <w:t>5.72% default rate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73938DC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Borrowers with lower savings relative to monthly income had substantially higher observed default rates. The default rate was 29.47% among borrowers whose savings were below 100% of monthly income, compared with 5.72% among borrowers whose savings exceeded 300% of monthly income. This suggests that savings relative to income may be an informative indicator of financial resilience in credit-risk modeling.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EF54D"/>
    <w:multiLevelType w:val="singleLevel"/>
    <w:tmpl w:val="857EF54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F1BCDD2"/>
    <w:multiLevelType w:val="singleLevel"/>
    <w:tmpl w:val="2F1BCDD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B05F5F3"/>
    <w:multiLevelType w:val="singleLevel"/>
    <w:tmpl w:val="4B05F5F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6D2B51B"/>
    <w:multiLevelType w:val="singleLevel"/>
    <w:tmpl w:val="76D2B51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F279F"/>
    <w:rsid w:val="019E2B6A"/>
    <w:rsid w:val="020668B4"/>
    <w:rsid w:val="0213141D"/>
    <w:rsid w:val="089D5A6A"/>
    <w:rsid w:val="1A3B00DD"/>
    <w:rsid w:val="1DE90215"/>
    <w:rsid w:val="20F44671"/>
    <w:rsid w:val="21D16F9A"/>
    <w:rsid w:val="25602D5E"/>
    <w:rsid w:val="25A35396"/>
    <w:rsid w:val="26BE5E2E"/>
    <w:rsid w:val="2A6570BC"/>
    <w:rsid w:val="2B4740A4"/>
    <w:rsid w:val="2BCE4B04"/>
    <w:rsid w:val="2C11156E"/>
    <w:rsid w:val="2C894F2B"/>
    <w:rsid w:val="31F76650"/>
    <w:rsid w:val="37DE78F5"/>
    <w:rsid w:val="3A2F279F"/>
    <w:rsid w:val="3DE34AA7"/>
    <w:rsid w:val="3DF144AD"/>
    <w:rsid w:val="3E561C53"/>
    <w:rsid w:val="41C50675"/>
    <w:rsid w:val="4CC926EB"/>
    <w:rsid w:val="4F3936E3"/>
    <w:rsid w:val="50743E4F"/>
    <w:rsid w:val="566304DA"/>
    <w:rsid w:val="5D4B2D1B"/>
    <w:rsid w:val="61EE237D"/>
    <w:rsid w:val="6E036120"/>
    <w:rsid w:val="7096265A"/>
    <w:rsid w:val="74B61A6F"/>
    <w:rsid w:val="74ED5E9E"/>
    <w:rsid w:val="7A45613A"/>
    <w:rsid w:val="7EF3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1937</Words>
  <Characters>11438</Characters>
  <Lines>0</Lines>
  <Paragraphs>0</Paragraphs>
  <TotalTime>45</TotalTime>
  <ScaleCrop>false</ScaleCrop>
  <LinksUpToDate>false</LinksUpToDate>
  <CharactersWithSpaces>13169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2026-09-18T11:11:00Z</dcterms:created>
  <dc:creator>Mbae Mwarania</dc:creator>
  <cp:lastModifiedBy>Mbae Mwarania</cp:lastModifiedBy>
  <dcterms:modified xsi:type="dcterms:W3CDTF">2026-09-24T00:23:04Z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7F137CEC83FC4529995733765A03B1E6_13</vt:lpwstr>
  </property>
  <property fmtid="{D5CDD505-2E9C-101B-9397-08002B2CF9AE}" pid="4" name="KSOTemplateDocerSaveRecord">
    <vt:lpwstr>eyJoZGlkIjoiMDQ0NzZlNmMwMjU4OTkyMzgzZWEwZjZmMzY4MTRmMTgiLCJ1c2VySWQiOiIxNjY2NTgyOTgyNTE4In0=</vt:lpwstr>
  </property>
</Properties>
</file>