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0D1B40"/>
          <w:sz w:val="60"/>
          <w:szCs w:val="60"/>
        </w:rPr>
        <w:t xml:space="preserve">UK ROAD ACCIDENTS</w:t>
      </w:r>
    </w:p>
    <w:p>
      <w:pPr>
        <w:spacing w:after="0" w:before="60"/>
        <w:jc w:val="center"/>
      </w:pPr>
      <w:r>
        <w:rPr>
          <w:rFonts w:ascii="Calibri" w:cs="Calibri" w:eastAsia="Calibri" w:hAnsi="Calibri"/>
          <w:b/>
          <w:bCs/>
          <w:color w:val="0097A7"/>
          <w:sz w:val="44"/>
          <w:szCs w:val="44"/>
        </w:rPr>
        <w:t xml:space="preserve">ANALYTICAL REPORT</w:t>
      </w:r>
    </w:p>
    <w:p>
      <w:pPr>
        <w:spacing w:after="60"/>
      </w:pPr>
    </w:p>
    <w:p>
      <w:pPr>
        <w:jc w:val="center"/>
      </w:pPr>
      <w:r>
        <w:rPr>
          <w:rFonts w:ascii="Calibri" w:cs="Calibri" w:eastAsia="Calibri" w:hAnsi="Calibri"/>
          <w:color w:val="B0BEC5"/>
          <w:sz w:val="22"/>
          <w:szCs w:val="22"/>
        </w:rPr>
        <w:t xml:space="preserve">─────────────────────────────────</w:t>
      </w:r>
    </w:p>
    <w:p>
      <w:pPr>
        <w:spacing w:after="60"/>
      </w:pPr>
    </w:p>
    <w:p>
      <w:pPr>
        <w:spacing w:after="40"/>
        <w:jc w:val="center"/>
      </w:pPr>
      <w:r>
        <w:rPr>
          <w:rFonts w:ascii="Calibri" w:cs="Calibri" w:eastAsia="Calibri" w:hAnsi="Calibri"/>
          <w:i/>
          <w:iCs/>
          <w:color w:val="546E7A"/>
          <w:sz w:val="26"/>
          <w:szCs w:val="26"/>
        </w:rPr>
        <w:t xml:space="preserve">2021 – 2022  |  307,973 Accident Records</w:t>
      </w:r>
    </w:p>
    <w:p>
      <w:pPr>
        <w:spacing w:after="40"/>
        <w:jc w:val="center"/>
      </w:pPr>
      <w:r>
        <w:rPr>
          <w:rFonts w:ascii="Calibri" w:cs="Calibri" w:eastAsia="Calibri" w:hAnsi="Calibri"/>
          <w:i/>
          <w:iCs/>
          <w:color w:val="546E7A"/>
          <w:sz w:val="24"/>
          <w:szCs w:val="24"/>
        </w:rPr>
        <w:t xml:space="preserve">Great Britain Road Safety Division</w:t>
      </w:r>
    </w:p>
    <w:p>
      <w:pPr>
        <w:spacing w:after="640"/>
      </w:pPr>
    </w:p>
    <w:p>
      <w:pPr>
        <w:jc w:val="center"/>
      </w:pPr>
      <w:r>
        <w:rPr>
          <w:rFonts w:ascii="Calibri" w:cs="Calibri" w:eastAsia="Calibri" w:hAnsi="Calibri"/>
          <w:color w:val="546E7A"/>
          <w:sz w:val="21"/>
          <w:szCs w:val="21"/>
        </w:rPr>
        <w:t xml:space="preserve">Prepared by: Brian  |  Data Analytics Portfolio</w:t>
      </w:r>
    </w:p>
    <w:p>
      <w:pPr>
        <w:jc w:val="center"/>
      </w:pPr>
      <w:r>
        <w:rPr>
          <w:rFonts w:ascii="Calibri" w:cs="Calibri" w:eastAsia="Calibri" w:hAnsi="Calibri"/>
          <w:color w:val="546E7A"/>
          <w:sz w:val="21"/>
          <w:szCs w:val="21"/>
        </w:rPr>
        <w:t xml:space="preserve">July 2026</w:t>
      </w:r>
    </w:p>
    <w:p>
      <w:pPr>
        <w:spacing w:after="80"/>
      </w:pPr>
    </w:p>
    <w:p>
      <w:pPr>
        <w:jc w:val="center"/>
      </w:pPr>
      <w:r>
        <w:rPr>
          <w:rFonts w:ascii="Calibri" w:cs="Calibri" w:eastAsia="Calibri" w:hAnsi="Calibri"/>
          <w:b/>
          <w:bCs/>
          <w:color w:val="C62828"/>
          <w:sz w:val="18"/>
          <w:szCs w:val="18"/>
        </w:rPr>
        <w:t xml:space="preserve">FOR OFFICIAL USE — ROAD SAFETY ANALYSIS</w:t>
      </w:r>
    </w:p>
    <w:p>
      <w:r>
        <w:br w:type="page"/>
      </w:r>
    </w:p>
    <w:p>
      <w:pPr>
        <w:pStyle w:val="Heading1"/>
        <w:spacing w:after="100" w:before="360"/>
      </w:pPr>
      <w:r>
        <w:rPr>
          <w:rFonts w:ascii="Calibri" w:cs="Calibri" w:eastAsia="Calibri" w:hAnsi="Calibri"/>
          <w:b/>
          <w:bCs/>
          <w:color w:val="0D1B40"/>
          <w:sz w:val="30"/>
          <w:szCs w:val="30"/>
        </w:rPr>
        <w:t xml:space="preserve">1. Executive Summary</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This report presents a comprehensive analysis of 307,973 road accidents recorded across Great Britain between January 2021 and December 2022. Data was sourced from the UK Department for Transport road safety dataset, comprising 19 variables across accident location, severity, timing, road conditions, vehicle type, and junction characteristics. The findings inform public safety strategy, infrastructure investment priorities, and enforcement resource allocation.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0D1B40" w:val="clear"/>
            <w:tcMar>
              <w:top w:type="dxa" w:w="140"/>
              <w:left w:type="dxa" w:w="120"/>
              <w:bottom w:type="dxa" w:w="140"/>
              <w:right w:type="dxa" w:w="120"/>
            </w:tcMar>
            <w:vAlign w:val="center"/>
          </w:tcPr>
          <w:p>
            <w:pPr>
              <w:jc w:val="center"/>
            </w:pPr>
            <w:r>
              <w:rPr>
                <w:rFonts w:ascii="Calibri" w:cs="Calibri" w:eastAsia="Calibri" w:hAnsi="Calibri"/>
                <w:b/>
                <w:bCs/>
                <w:color w:val="FFFFFF"/>
                <w:sz w:val="34"/>
                <w:szCs w:val="34"/>
              </w:rPr>
              <w:t xml:space="preserve">307,973</w:t>
            </w:r>
          </w:p>
          <w:p>
            <w:pPr>
              <w:jc w:val="center"/>
            </w:pPr>
            <w:r>
              <w:rPr>
                <w:rFonts w:ascii="Calibri" w:cs="Calibri" w:eastAsia="Calibri" w:hAnsi="Calibri"/>
                <w:color w:val="FFFFFF"/>
                <w:sz w:val="17"/>
                <w:szCs w:val="17"/>
              </w:rPr>
              <w:t xml:space="preserve">Total Road Accidents</w:t>
            </w:r>
          </w:p>
          <w:p>
            <w:pPr>
              <w:jc w:val="center"/>
            </w:pPr>
            <w:r>
              <w:rPr>
                <w:rFonts w:ascii="Calibri" w:cs="Calibri" w:eastAsia="Calibri" w:hAnsi="Calibri"/>
                <w:i/>
                <w:iCs/>
                <w:color w:val="FFFFFF"/>
                <w:sz w:val="16"/>
                <w:szCs w:val="16"/>
              </w:rPr>
              <w:t xml:space="preserve">2021–2022 Combined</w:t>
            </w:r>
          </w:p>
        </w:tc>
        <w:tc>
          <w:tcPr>
            <w:tcW w:type="dxa" w:w="2340"/>
            <w:shd w:fill="1565C0" w:val="clear"/>
            <w:tcMar>
              <w:top w:type="dxa" w:w="140"/>
              <w:left w:type="dxa" w:w="120"/>
              <w:bottom w:type="dxa" w:w="140"/>
              <w:right w:type="dxa" w:w="120"/>
            </w:tcMar>
            <w:vAlign w:val="center"/>
          </w:tcPr>
          <w:p>
            <w:pPr>
              <w:jc w:val="center"/>
            </w:pPr>
            <w:r>
              <w:rPr>
                <w:rFonts w:ascii="Calibri" w:cs="Calibri" w:eastAsia="Calibri" w:hAnsi="Calibri"/>
                <w:b/>
                <w:bCs/>
                <w:color w:val="FFFFFF"/>
                <w:sz w:val="34"/>
                <w:szCs w:val="34"/>
              </w:rPr>
              <w:t xml:space="preserve">417,883</w:t>
            </w:r>
          </w:p>
          <w:p>
            <w:pPr>
              <w:jc w:val="center"/>
            </w:pPr>
            <w:r>
              <w:rPr>
                <w:rFonts w:ascii="Calibri" w:cs="Calibri" w:eastAsia="Calibri" w:hAnsi="Calibri"/>
                <w:color w:val="FFFFFF"/>
                <w:sz w:val="17"/>
                <w:szCs w:val="17"/>
              </w:rPr>
              <w:t xml:space="preserve">Total Casualties</w:t>
            </w:r>
          </w:p>
          <w:p>
            <w:pPr>
              <w:jc w:val="center"/>
            </w:pPr>
            <w:r>
              <w:rPr>
                <w:rFonts w:ascii="Calibri" w:cs="Calibri" w:eastAsia="Calibri" w:hAnsi="Calibri"/>
                <w:i/>
                <w:iCs/>
                <w:color w:val="FFFFFF"/>
                <w:sz w:val="16"/>
                <w:szCs w:val="16"/>
              </w:rPr>
              <w:t xml:space="preserve">All Severity Levels</w:t>
            </w:r>
          </w:p>
        </w:tc>
        <w:tc>
          <w:tcPr>
            <w:tcW w:type="dxa" w:w="2340"/>
            <w:shd w:fill="0097A7" w:val="clear"/>
            <w:tcMar>
              <w:top w:type="dxa" w:w="140"/>
              <w:left w:type="dxa" w:w="120"/>
              <w:bottom w:type="dxa" w:w="140"/>
              <w:right w:type="dxa" w:w="120"/>
            </w:tcMar>
            <w:vAlign w:val="center"/>
          </w:tcPr>
          <w:p>
            <w:pPr>
              <w:jc w:val="center"/>
            </w:pPr>
            <w:r>
              <w:rPr>
                <w:rFonts w:ascii="Calibri" w:cs="Calibri" w:eastAsia="Calibri" w:hAnsi="Calibri"/>
                <w:b/>
                <w:bCs/>
                <w:color w:val="FFFFFF"/>
                <w:sz w:val="34"/>
                <w:szCs w:val="34"/>
              </w:rPr>
              <w:t xml:space="preserve">563,302</w:t>
            </w:r>
          </w:p>
          <w:p>
            <w:pPr>
              <w:jc w:val="center"/>
            </w:pPr>
            <w:r>
              <w:rPr>
                <w:rFonts w:ascii="Calibri" w:cs="Calibri" w:eastAsia="Calibri" w:hAnsi="Calibri"/>
                <w:color w:val="FFFFFF"/>
                <w:sz w:val="17"/>
                <w:szCs w:val="17"/>
              </w:rPr>
              <w:t xml:space="preserve">Total Vehicles Involved</w:t>
            </w:r>
          </w:p>
          <w:p>
            <w:pPr>
              <w:jc w:val="center"/>
            </w:pPr>
            <w:r>
              <w:rPr>
                <w:rFonts w:ascii="Calibri" w:cs="Calibri" w:eastAsia="Calibri" w:hAnsi="Calibri"/>
                <w:i/>
                <w:iCs/>
                <w:color w:val="FFFFFF"/>
                <w:sz w:val="16"/>
                <w:szCs w:val="16"/>
              </w:rPr>
              <w:t xml:space="preserve">All Vehicle Types</w:t>
            </w:r>
          </w:p>
        </w:tc>
        <w:tc>
          <w:tcPr>
            <w:tcW w:type="dxa" w:w="2340"/>
            <w:shd w:fill="00796B" w:val="clear"/>
            <w:tcMar>
              <w:top w:type="dxa" w:w="140"/>
              <w:left w:type="dxa" w:w="120"/>
              <w:bottom w:type="dxa" w:w="140"/>
              <w:right w:type="dxa" w:w="120"/>
            </w:tcMar>
            <w:vAlign w:val="center"/>
          </w:tcPr>
          <w:p>
            <w:pPr>
              <w:jc w:val="center"/>
            </w:pPr>
            <w:r>
              <w:rPr>
                <w:rFonts w:ascii="Calibri" w:cs="Calibri" w:eastAsia="Calibri" w:hAnsi="Calibri"/>
                <w:b/>
                <w:bCs/>
                <w:color w:val="FFFFFF"/>
                <w:sz w:val="34"/>
                <w:szCs w:val="34"/>
              </w:rPr>
              <w:t xml:space="preserve">307,973</w:t>
            </w:r>
          </w:p>
          <w:p>
            <w:pPr>
              <w:jc w:val="center"/>
            </w:pPr>
            <w:r>
              <w:rPr>
                <w:rFonts w:ascii="Calibri" w:cs="Calibri" w:eastAsia="Calibri" w:hAnsi="Calibri"/>
                <w:color w:val="FFFFFF"/>
                <w:sz w:val="17"/>
                <w:szCs w:val="17"/>
              </w:rPr>
              <w:t xml:space="preserve">Local Authorities</w:t>
            </w:r>
          </w:p>
          <w:p>
            <w:pPr>
              <w:jc w:val="center"/>
            </w:pPr>
            <w:r>
              <w:rPr>
                <w:rFonts w:ascii="Calibri" w:cs="Calibri" w:eastAsia="Calibri" w:hAnsi="Calibri"/>
                <w:i/>
                <w:iCs/>
                <w:color w:val="FFFFFF"/>
                <w:sz w:val="16"/>
                <w:szCs w:val="16"/>
              </w:rPr>
              <w:t xml:space="preserve">Records Across UK</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E7D32" w:val="clear"/>
            <w:tcMar>
              <w:top w:type="dxa" w:w="140"/>
              <w:left w:type="dxa" w:w="120"/>
              <w:bottom w:type="dxa" w:w="140"/>
              <w:right w:type="dxa" w:w="120"/>
            </w:tcMar>
            <w:vAlign w:val="center"/>
          </w:tcPr>
          <w:p>
            <w:pPr>
              <w:jc w:val="center"/>
            </w:pPr>
            <w:r>
              <w:rPr>
                <w:rFonts w:ascii="Calibri" w:cs="Calibri" w:eastAsia="Calibri" w:hAnsi="Calibri"/>
                <w:b/>
                <w:bCs/>
                <w:color w:val="FFFFFF"/>
                <w:sz w:val="34"/>
                <w:szCs w:val="34"/>
              </w:rPr>
              <w:t xml:space="preserve">263,280</w:t>
            </w:r>
          </w:p>
          <w:p>
            <w:pPr>
              <w:jc w:val="center"/>
            </w:pPr>
            <w:r>
              <w:rPr>
                <w:rFonts w:ascii="Calibri" w:cs="Calibri" w:eastAsia="Calibri" w:hAnsi="Calibri"/>
                <w:color w:val="FFFFFF"/>
                <w:sz w:val="17"/>
                <w:szCs w:val="17"/>
              </w:rPr>
              <w:t xml:space="preserve">Slight Accidents</w:t>
            </w:r>
          </w:p>
          <w:p>
            <w:pPr>
              <w:jc w:val="center"/>
            </w:pPr>
            <w:r>
              <w:rPr>
                <w:rFonts w:ascii="Calibri" w:cs="Calibri" w:eastAsia="Calibri" w:hAnsi="Calibri"/>
                <w:i/>
                <w:iCs/>
                <w:color w:val="FFFFFF"/>
                <w:sz w:val="16"/>
                <w:szCs w:val="16"/>
              </w:rPr>
              <w:t xml:space="preserve">85.5% of Total</w:t>
            </w:r>
          </w:p>
        </w:tc>
        <w:tc>
          <w:tcPr>
            <w:tcW w:type="dxa" w:w="2340"/>
            <w:shd w:fill="E65100" w:val="clear"/>
            <w:tcMar>
              <w:top w:type="dxa" w:w="140"/>
              <w:left w:type="dxa" w:w="120"/>
              <w:bottom w:type="dxa" w:w="140"/>
              <w:right w:type="dxa" w:w="120"/>
            </w:tcMar>
            <w:vAlign w:val="center"/>
          </w:tcPr>
          <w:p>
            <w:pPr>
              <w:jc w:val="center"/>
            </w:pPr>
            <w:r>
              <w:rPr>
                <w:rFonts w:ascii="Calibri" w:cs="Calibri" w:eastAsia="Calibri" w:hAnsi="Calibri"/>
                <w:b/>
                <w:bCs/>
                <w:color w:val="FFFFFF"/>
                <w:sz w:val="34"/>
                <w:szCs w:val="34"/>
              </w:rPr>
              <w:t xml:space="preserve">40,740</w:t>
            </w:r>
          </w:p>
          <w:p>
            <w:pPr>
              <w:jc w:val="center"/>
            </w:pPr>
            <w:r>
              <w:rPr>
                <w:rFonts w:ascii="Calibri" w:cs="Calibri" w:eastAsia="Calibri" w:hAnsi="Calibri"/>
                <w:color w:val="FFFFFF"/>
                <w:sz w:val="17"/>
                <w:szCs w:val="17"/>
              </w:rPr>
              <w:t xml:space="preserve">Serious Accidents</w:t>
            </w:r>
          </w:p>
          <w:p>
            <w:pPr>
              <w:jc w:val="center"/>
            </w:pPr>
            <w:r>
              <w:rPr>
                <w:rFonts w:ascii="Calibri" w:cs="Calibri" w:eastAsia="Calibri" w:hAnsi="Calibri"/>
                <w:i/>
                <w:iCs/>
                <w:color w:val="FFFFFF"/>
                <w:sz w:val="16"/>
                <w:szCs w:val="16"/>
              </w:rPr>
              <w:t xml:space="preserve">13.2% of Total</w:t>
            </w:r>
          </w:p>
        </w:tc>
        <w:tc>
          <w:tcPr>
            <w:tcW w:type="dxa" w:w="2340"/>
            <w:shd w:fill="C62828" w:val="clear"/>
            <w:tcMar>
              <w:top w:type="dxa" w:w="140"/>
              <w:left w:type="dxa" w:w="120"/>
              <w:bottom w:type="dxa" w:w="140"/>
              <w:right w:type="dxa" w:w="120"/>
            </w:tcMar>
            <w:vAlign w:val="center"/>
          </w:tcPr>
          <w:p>
            <w:pPr>
              <w:jc w:val="center"/>
            </w:pPr>
            <w:r>
              <w:rPr>
                <w:rFonts w:ascii="Calibri" w:cs="Calibri" w:eastAsia="Calibri" w:hAnsi="Calibri"/>
                <w:b/>
                <w:bCs/>
                <w:color w:val="FFFFFF"/>
                <w:sz w:val="34"/>
                <w:szCs w:val="34"/>
              </w:rPr>
              <w:t xml:space="preserve">3,953</w:t>
            </w:r>
          </w:p>
          <w:p>
            <w:pPr>
              <w:jc w:val="center"/>
            </w:pPr>
            <w:r>
              <w:rPr>
                <w:rFonts w:ascii="Calibri" w:cs="Calibri" w:eastAsia="Calibri" w:hAnsi="Calibri"/>
                <w:color w:val="FFFFFF"/>
                <w:sz w:val="17"/>
                <w:szCs w:val="17"/>
              </w:rPr>
              <w:t xml:space="preserve">Fatal Accidents</w:t>
            </w:r>
          </w:p>
          <w:p>
            <w:pPr>
              <w:jc w:val="center"/>
            </w:pPr>
            <w:r>
              <w:rPr>
                <w:rFonts w:ascii="Calibri" w:cs="Calibri" w:eastAsia="Calibri" w:hAnsi="Calibri"/>
                <w:i/>
                <w:iCs/>
                <w:color w:val="FFFFFF"/>
                <w:sz w:val="16"/>
                <w:szCs w:val="16"/>
              </w:rPr>
              <w:t xml:space="preserve">1.3% of Total</w:t>
            </w:r>
          </w:p>
        </w:tc>
        <w:tc>
          <w:tcPr>
            <w:tcW w:type="dxa" w:w="2340"/>
            <w:shd w:fill="546E7A" w:val="clear"/>
            <w:tcMar>
              <w:top w:type="dxa" w:w="140"/>
              <w:left w:type="dxa" w:w="120"/>
              <w:bottom w:type="dxa" w:w="140"/>
              <w:right w:type="dxa" w:w="120"/>
            </w:tcMar>
            <w:vAlign w:val="center"/>
          </w:tcPr>
          <w:p>
            <w:pPr>
              <w:jc w:val="center"/>
            </w:pPr>
            <w:r>
              <w:rPr>
                <w:rFonts w:ascii="Calibri" w:cs="Calibri" w:eastAsia="Calibri" w:hAnsi="Calibri"/>
                <w:b/>
                <w:bCs/>
                <w:color w:val="FFFFFF"/>
                <w:sz w:val="34"/>
                <w:szCs w:val="34"/>
              </w:rPr>
              <w:t xml:space="preserve">1.36</w:t>
            </w:r>
          </w:p>
          <w:p>
            <w:pPr>
              <w:jc w:val="center"/>
            </w:pPr>
            <w:r>
              <w:rPr>
                <w:rFonts w:ascii="Calibri" w:cs="Calibri" w:eastAsia="Calibri" w:hAnsi="Calibri"/>
                <w:color w:val="FFFFFF"/>
                <w:sz w:val="17"/>
                <w:szCs w:val="17"/>
              </w:rPr>
              <w:t xml:space="preserve">Avg Casualties / Accident</w:t>
            </w:r>
          </w:p>
          <w:p>
            <w:pPr>
              <w:jc w:val="center"/>
            </w:pPr>
            <w:r>
              <w:rPr>
                <w:rFonts w:ascii="Calibri" w:cs="Calibri" w:eastAsia="Calibri" w:hAnsi="Calibri"/>
                <w:i/>
                <w:iCs/>
                <w:color w:val="FFFFFF"/>
                <w:sz w:val="16"/>
                <w:szCs w:val="16"/>
              </w:rPr>
              <w:t xml:space="preserve">All Accidents</w:t>
            </w:r>
          </w:p>
        </w:tc>
      </w:tr>
    </w:tbl>
    <w:p>
      <w:pPr>
        <w:spacing w:after="140"/>
      </w:pPr>
    </w:p>
    <w:p>
      <w:pPr>
        <w:spacing w:after="100" w:line="280"/>
      </w:pPr>
      <w:r>
        <w:rPr>
          <w:rFonts w:ascii="Calibri" w:cs="Calibri" w:eastAsia="Calibri" w:hAnsi="Calibri"/>
          <w:color w:val="1A1A2E"/>
          <w:sz w:val="21"/>
          <w:szCs w:val="21"/>
        </w:rPr>
        <w:t xml:space="preserve">The data reveals a clear year-on-year reduction in road accidents and casualties from 2021 to 2022 — a positive trend that likely reflects the gradual normalisation of post-COVID mobility patterns alongside ongoing road safety interventions. Despite the overall reduction, the persistence of 3,953 fatal accidents and 40,740 serious accidents demands continued strategic focus on high-risk road environments, junction types, and vehicle categories.</w:t>
      </w:r>
    </w:p>
    <w:p>
      <w:r>
        <w:br w:type="page"/>
      </w:r>
    </w:p>
    <w:p>
      <w:pPr>
        <w:pStyle w:val="Heading1"/>
        <w:spacing w:after="100" w:before="360"/>
      </w:pPr>
      <w:r>
        <w:rPr>
          <w:rFonts w:ascii="Calibri" w:cs="Calibri" w:eastAsia="Calibri" w:hAnsi="Calibri"/>
          <w:b/>
          <w:bCs/>
          <w:color w:val="0D1B40"/>
          <w:sz w:val="30"/>
          <w:szCs w:val="30"/>
        </w:rPr>
        <w:t xml:space="preserve">2. Year-on-Year Trend Analysis</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Road accident volumes fell from 2021 to 2022 across all three measured dimensions — total accidents, casualties, and vehicles involved. This downward trend suggests improving road safety outcomes, though the absolute numbers remain significantly high.</w:t>
      </w:r>
    </w:p>
    <w:p>
      <w:pPr>
        <w:spacing w:after="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2260"/>
      </w:tblGrid>
      <w:tr>
        <w:trPr>
          <w:tblHeader/>
        </w:trPr>
        <w:tc>
          <w:tcPr>
            <w:tcW w:type="dxa" w:w="3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Metric</w:t>
            </w:r>
          </w:p>
        </w:tc>
        <w:tc>
          <w:tcPr>
            <w:tcW w:type="dxa" w:w="17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2021</w:t>
            </w:r>
          </w:p>
        </w:tc>
        <w:tc>
          <w:tcPr>
            <w:tcW w:type="dxa" w:w="17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2022</w:t>
            </w:r>
          </w:p>
        </w:tc>
        <w:tc>
          <w:tcPr>
            <w:tcW w:type="dxa" w:w="17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Change</w:t>
            </w:r>
          </w:p>
        </w:tc>
        <w:tc>
          <w:tcPr>
            <w:tcW w:type="dxa" w:w="22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Change</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Road Accidents</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163,554</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144,419</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−19,135</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−11.7%</w:t>
            </w:r>
          </w:p>
        </w:tc>
      </w:tr>
      <w:tr>
        <w:tc>
          <w:tcPr>
            <w:tcW w:type="dxa" w:w="3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Total Casualties</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222,146</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195,737</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−26,409</w:t>
            </w:r>
          </w:p>
        </w:tc>
        <w:tc>
          <w:tcPr>
            <w:tcW w:type="dxa" w:w="22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−11.9%</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Vehicles Involved</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298,687</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264,615</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−34,072</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−11.4%</w:t>
            </w:r>
          </w:p>
        </w:tc>
      </w:tr>
      <w:tr>
        <w:tc>
          <w:tcPr>
            <w:tcW w:type="dxa" w:w="3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Share of Accidents</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53.1%</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46.9%</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w:t>
            </w:r>
          </w:p>
        </w:tc>
        <w:tc>
          <w:tcPr>
            <w:tcW w:type="dxa" w:w="22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3F2FD" w:val="clear"/>
            <w:tcMar>
              <w:top w:type="dxa" w:w="120"/>
              <w:left w:type="dxa" w:w="180"/>
              <w:bottom w:type="dxa" w:w="120"/>
              <w:right w:type="dxa" w:w="180"/>
            </w:tcMar>
          </w:tcPr>
          <w:p>
            <w:pPr>
              <w:spacing w:after="60"/>
            </w:pPr>
            <w:r>
              <w:rPr>
                <w:rFonts w:ascii="Calibri" w:cs="Calibri" w:eastAsia="Calibri" w:hAnsi="Calibri"/>
                <w:b/>
                <w:bCs/>
                <w:color w:val="0D1B40"/>
                <w:sz w:val="22"/>
                <w:szCs w:val="22"/>
              </w:rPr>
              <w:t xml:space="preserve">📈 Key Insight — Consistent Year-on-Year Decline</w:t>
            </w:r>
          </w:p>
          <w:p>
            <w:pPr>
              <w:spacing w:after="60" w:line="276"/>
            </w:pPr>
            <w:r>
              <w:rPr>
                <w:rFonts w:ascii="Calibri" w:cs="Calibri" w:eastAsia="Calibri" w:hAnsi="Calibri"/>
                <w:color w:val="1A1A2E"/>
                <w:sz w:val="20"/>
                <w:szCs w:val="20"/>
              </w:rPr>
              <w:t xml:space="preserve">All three key metrics declined by approximately 11–12% from 2021 to 2022, indicating a broad and consistent improvement in road safety outcomes rather than an isolated improvement in one area.</w:t>
            </w:r>
          </w:p>
          <w:p>
            <w:pPr>
              <w:spacing w:after="60" w:line="276"/>
            </w:pPr>
            <w:r>
              <w:rPr>
                <w:rFonts w:ascii="Calibri" w:cs="Calibri" w:eastAsia="Calibri" w:hAnsi="Calibri"/>
                <w:color w:val="1A1A2E"/>
                <w:sz w:val="20"/>
                <w:szCs w:val="20"/>
              </w:rPr>
              <w:t xml:space="preserve">2021 figures were still elevated due to partial pandemic recovery effects — increased mileage after lockdown restrictions lifted alongside driver behaviour changes accumulated during reduced traffic periods.</w:t>
            </w:r>
          </w:p>
          <w:p>
            <w:pPr>
              <w:spacing w:after="60" w:line="276"/>
            </w:pPr>
            <w:r>
              <w:rPr>
                <w:rFonts w:ascii="Calibri" w:cs="Calibri" w:eastAsia="Calibri" w:hAnsi="Calibri"/>
                <w:color w:val="1A1A2E"/>
                <w:sz w:val="20"/>
                <w:szCs w:val="20"/>
              </w:rPr>
              <w:t xml:space="preserve">The sustained decline into 2022 suggests structural improvements rather than a one-off effect.</w:t>
            </w:r>
          </w:p>
        </w:tc>
      </w:tr>
    </w:tbl>
    <w:p>
      <w:r>
        <w:br w:type="page"/>
      </w:r>
    </w:p>
    <w:p>
      <w:pPr>
        <w:pStyle w:val="Heading1"/>
        <w:spacing w:after="100" w:before="360"/>
      </w:pPr>
      <w:r>
        <w:rPr>
          <w:rFonts w:ascii="Calibri" w:cs="Calibri" w:eastAsia="Calibri" w:hAnsi="Calibri"/>
          <w:b/>
          <w:bCs/>
          <w:color w:val="0D1B40"/>
          <w:sz w:val="30"/>
          <w:szCs w:val="30"/>
        </w:rPr>
        <w:t xml:space="preserve">3. Monthly Trend Analysis</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Accident volumes display clear seasonal patterns across both years. Understanding these patterns enables targeted deployment of enforcement resources, public awareness campaigns, and infrastructure maintenance during peak risk periods.</w:t>
      </w:r>
    </w:p>
    <w:p>
      <w:pPr>
        <w:spacing w:after="80"/>
      </w:pPr>
    </w:p>
    <w:p>
      <w:pPr>
        <w:pStyle w:val="Heading2"/>
        <w:spacing w:after="80" w:before="240"/>
      </w:pPr>
      <w:r>
        <w:rPr>
          <w:rFonts w:ascii="Calibri" w:cs="Calibri" w:eastAsia="Calibri" w:hAnsi="Calibri"/>
          <w:b/>
          <w:bCs/>
          <w:color w:val="1565C0"/>
          <w:sz w:val="24"/>
          <w:szCs w:val="24"/>
        </w:rPr>
        <w:t xml:space="preserve">3.1 Monthly Accident Distribution — 2021 vs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800"/>
        <w:gridCol w:w="2260"/>
      </w:tblGrid>
      <w:tr>
        <w:trPr>
          <w:tblHeader/>
        </w:trPr>
        <w:tc>
          <w:tcPr>
            <w:tcW w:type="dxa" w:w="17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Month</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2021 Accidents</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2022 Accidents</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2021 Casualties</w:t>
            </w:r>
          </w:p>
        </w:tc>
        <w:tc>
          <w:tcPr>
            <w:tcW w:type="dxa" w:w="22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2022 Casualties</w:t>
            </w:r>
          </w:p>
        </w:tc>
      </w:tr>
      <w:tr>
        <w:tc>
          <w:tcPr>
            <w:tcW w:type="dxa" w:w="17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January</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13,417</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9,967</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18,173</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13,163</w:t>
            </w:r>
          </w:p>
        </w:tc>
      </w:tr>
      <w:tr>
        <w:tc>
          <w:tcPr>
            <w:tcW w:type="dxa" w:w="17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February</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10,950</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10,935</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14,648</w:t>
            </w:r>
          </w:p>
        </w:tc>
        <w:tc>
          <w:tcPr>
            <w:tcW w:type="dxa" w:w="22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14,804</w:t>
            </w:r>
          </w:p>
        </w:tc>
      </w:tr>
      <w:tr>
        <w:tc>
          <w:tcPr>
            <w:tcW w:type="dxa" w:w="17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March</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13,202</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12,341</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17,815</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16,575</w:t>
            </w:r>
          </w:p>
        </w:tc>
      </w:tr>
      <w:tr>
        <w:tc>
          <w:tcPr>
            <w:tcW w:type="dxa" w:w="17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April</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12,715</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11,510</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17,335</w:t>
            </w:r>
          </w:p>
        </w:tc>
        <w:tc>
          <w:tcPr>
            <w:tcW w:type="dxa" w:w="22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15,767</w:t>
            </w:r>
          </w:p>
        </w:tc>
      </w:tr>
      <w:tr>
        <w:tc>
          <w:tcPr>
            <w:tcW w:type="dxa" w:w="17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May</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13,811</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12,372</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18,852</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16,775</w:t>
            </w:r>
          </w:p>
        </w:tc>
      </w:tr>
      <w:tr>
        <w:tc>
          <w:tcPr>
            <w:tcW w:type="dxa" w:w="17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June</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13,936</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12,812</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18,728</w:t>
            </w:r>
          </w:p>
        </w:tc>
        <w:tc>
          <w:tcPr>
            <w:tcW w:type="dxa" w:w="22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17,230</w:t>
            </w:r>
          </w:p>
        </w:tc>
      </w:tr>
      <w:tr>
        <w:tc>
          <w:tcPr>
            <w:tcW w:type="dxa" w:w="17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July</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14,300</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12,653</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19,682</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17,201</w:t>
            </w:r>
          </w:p>
        </w:tc>
      </w:tr>
      <w:tr>
        <w:tc>
          <w:tcPr>
            <w:tcW w:type="dxa" w:w="17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August</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13,415</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12,088</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18,797</w:t>
            </w:r>
          </w:p>
        </w:tc>
        <w:tc>
          <w:tcPr>
            <w:tcW w:type="dxa" w:w="22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16,796</w:t>
            </w:r>
          </w:p>
        </w:tc>
      </w:tr>
      <w:tr>
        <w:tc>
          <w:tcPr>
            <w:tcW w:type="dxa" w:w="17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September</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13,792</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12,960</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18,456</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17,500</w:t>
            </w:r>
          </w:p>
        </w:tc>
      </w:tr>
      <w:tr>
        <w:tc>
          <w:tcPr>
            <w:tcW w:type="dxa" w:w="17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October</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14,834</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13,534</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20,109</w:t>
            </w:r>
          </w:p>
        </w:tc>
        <w:tc>
          <w:tcPr>
            <w:tcW w:type="dxa" w:w="22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18,287</w:t>
            </w:r>
          </w:p>
        </w:tc>
      </w:tr>
      <w:tr>
        <w:tc>
          <w:tcPr>
            <w:tcW w:type="dxa" w:w="17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November</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15,473</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13,622</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20,975</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18,439</w:t>
            </w:r>
          </w:p>
        </w:tc>
      </w:tr>
      <w:tr>
        <w:tc>
          <w:tcPr>
            <w:tcW w:type="dxa" w:w="17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December</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13,709</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9,625</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18,576</w:t>
            </w:r>
          </w:p>
        </w:tc>
        <w:tc>
          <w:tcPr>
            <w:tcW w:type="dxa" w:w="22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13,200</w:t>
            </w:r>
          </w:p>
        </w:tc>
      </w:tr>
    </w:tbl>
    <w:p>
      <w:pPr>
        <w:spacing w:after="100"/>
      </w:pPr>
    </w:p>
    <w:p>
      <w:pPr>
        <w:pStyle w:val="Heading2"/>
        <w:spacing w:after="80" w:before="240"/>
      </w:pPr>
      <w:r>
        <w:rPr>
          <w:rFonts w:ascii="Calibri" w:cs="Calibri" w:eastAsia="Calibri" w:hAnsi="Calibri"/>
          <w:b/>
          <w:bCs/>
          <w:color w:val="1565C0"/>
          <w:sz w:val="24"/>
          <w:szCs w:val="24"/>
        </w:rPr>
        <w:t xml:space="preserve">3.2 Key Monthly Findings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Peak Month (2021): </w:t>
      </w:r>
      <w:r>
        <w:rPr>
          <w:rFonts w:ascii="Calibri" w:cs="Calibri" w:eastAsia="Calibri" w:hAnsi="Calibri"/>
          <w:color w:val="1A1A2E"/>
          <w:sz w:val="21"/>
          <w:szCs w:val="21"/>
        </w:rPr>
        <w:t xml:space="preserve">November — 15,473 accidents and 20,975 casualties. Autumn/winter conditions including reduced daylight, wet roads, and fog contribute to elevated risk.</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Peak Month (2022): </w:t>
      </w:r>
      <w:r>
        <w:rPr>
          <w:rFonts w:ascii="Calibri" w:cs="Calibri" w:eastAsia="Calibri" w:hAnsi="Calibri"/>
          <w:color w:val="1A1A2E"/>
          <w:sz w:val="21"/>
          <w:szCs w:val="21"/>
        </w:rPr>
        <w:t xml:space="preserve">November — 13,622 accidents (−11.9% vs 2021), maintaining the seasonal pattern while showing year-on-year improvement.</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Lowest Month (2021): </w:t>
      </w:r>
      <w:r>
        <w:rPr>
          <w:rFonts w:ascii="Calibri" w:cs="Calibri" w:eastAsia="Calibri" w:hAnsi="Calibri"/>
          <w:color w:val="1A1A2E"/>
          <w:sz w:val="21"/>
          <w:szCs w:val="21"/>
        </w:rPr>
        <w:t xml:space="preserve">February — 10,950 accidents and 14,648 casualties, reflecting reduced discretionary travel in winter.</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Lowest Month (2022): </w:t>
      </w:r>
      <w:r>
        <w:rPr>
          <w:rFonts w:ascii="Calibri" w:cs="Calibri" w:eastAsia="Calibri" w:hAnsi="Calibri"/>
          <w:color w:val="1A1A2E"/>
          <w:sz w:val="21"/>
          <w:szCs w:val="21"/>
        </w:rPr>
        <w:t xml:space="preserve">December — 9,625 accidents. The sharp December 2022 drop (vs 13,709 in December 2021) is notable and may reflect weather, travel behaviour, or data timing factors.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0F7FA" w:val="clear"/>
            <w:tcMar>
              <w:top w:type="dxa" w:w="120"/>
              <w:left w:type="dxa" w:w="180"/>
              <w:bottom w:type="dxa" w:w="120"/>
              <w:right w:type="dxa" w:w="180"/>
            </w:tcMar>
          </w:tcPr>
          <w:p>
            <w:pPr>
              <w:spacing w:after="60"/>
            </w:pPr>
            <w:r>
              <w:rPr>
                <w:rFonts w:ascii="Calibri" w:cs="Calibri" w:eastAsia="Calibri" w:hAnsi="Calibri"/>
                <w:b/>
                <w:bCs/>
                <w:color w:val="00796B"/>
                <w:sz w:val="22"/>
                <w:szCs w:val="22"/>
              </w:rPr>
              <w:t xml:space="preserve">📌 Seasonal Pattern Insight</w:t>
            </w:r>
          </w:p>
          <w:p>
            <w:pPr>
              <w:spacing w:after="60" w:line="276"/>
            </w:pPr>
            <w:r>
              <w:rPr>
                <w:rFonts w:ascii="Calibri" w:cs="Calibri" w:eastAsia="Calibri" w:hAnsi="Calibri"/>
                <w:color w:val="1A1A2E"/>
                <w:sz w:val="20"/>
                <w:szCs w:val="20"/>
              </w:rPr>
              <w:t xml:space="preserve">October and November consistently record the highest accident volumes in both years. This aligns with the clock change (GMT), which creates sudden shifts in light conditions during peak commuting hours — a well-documented UK road safety risk factor.</w:t>
            </w:r>
          </w:p>
          <w:p>
            <w:pPr>
              <w:spacing w:after="60" w:line="276"/>
            </w:pPr>
            <w:r>
              <w:rPr>
                <w:rFonts w:ascii="Calibri" w:cs="Calibri" w:eastAsia="Calibri" w:hAnsi="Calibri"/>
                <w:color w:val="1A1A2E"/>
                <w:sz w:val="20"/>
                <w:szCs w:val="20"/>
              </w:rPr>
              <w:t xml:space="preserve">February records the lowest volumes in 2021, likely due to fewer journeys taken in the coldest, darkest months combined with post-January reduced activity.</w:t>
            </w:r>
          </w:p>
        </w:tc>
      </w:tr>
    </w:tbl>
    <w:p>
      <w:r>
        <w:br w:type="page"/>
      </w:r>
    </w:p>
    <w:p>
      <w:pPr>
        <w:pStyle w:val="Heading1"/>
        <w:spacing w:after="100" w:before="360"/>
      </w:pPr>
      <w:r>
        <w:rPr>
          <w:rFonts w:ascii="Calibri" w:cs="Calibri" w:eastAsia="Calibri" w:hAnsi="Calibri"/>
          <w:b/>
          <w:bCs/>
          <w:color w:val="0D1B40"/>
          <w:sz w:val="30"/>
          <w:szCs w:val="30"/>
        </w:rPr>
        <w:t xml:space="preserve">4. Accident Severity Analysis</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Accidents are classified into three severity categories: Slight, Serious, and Fatal. The distribution across these categories determines the human and economic cost of road accidents and guides prioritisation of safety interventions.</w:t>
      </w:r>
    </w:p>
    <w:p>
      <w:pPr>
        <w:spacing w:after="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1800"/>
        <w:gridCol w:w="2860"/>
      </w:tblGrid>
      <w:tr>
        <w:trPr>
          <w:tblHeader/>
        </w:trPr>
        <w:tc>
          <w:tcPr>
            <w:tcW w:type="dxa" w:w="22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Severity</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w:t>
            </w:r>
          </w:p>
        </w:tc>
        <w:tc>
          <w:tcPr>
            <w:tcW w:type="dxa" w:w="17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Total</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Casualties</w:t>
            </w:r>
          </w:p>
        </w:tc>
        <w:tc>
          <w:tcPr>
            <w:tcW w:type="dxa" w:w="28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Avg Casualties/Accident</w:t>
            </w:r>
          </w:p>
        </w:tc>
      </w:tr>
      <w:tr>
        <w:tc>
          <w:tcPr>
            <w:tcW w:type="dxa" w:w="2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Slight</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263,280</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85.5%</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351,436</w:t>
            </w:r>
          </w:p>
        </w:tc>
        <w:tc>
          <w:tcPr>
            <w:tcW w:type="dxa" w:w="28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1.33</w:t>
            </w:r>
          </w:p>
        </w:tc>
      </w:tr>
      <w:tr>
        <w:tc>
          <w:tcPr>
            <w:tcW w:type="dxa" w:w="2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Serious</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40,740</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13.2%</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59,312</w:t>
            </w:r>
          </w:p>
        </w:tc>
        <w:tc>
          <w:tcPr>
            <w:tcW w:type="dxa" w:w="28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1.46</w:t>
            </w:r>
          </w:p>
        </w:tc>
      </w:tr>
      <w:tr>
        <w:tc>
          <w:tcPr>
            <w:tcW w:type="dxa" w:w="2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Fatal</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3,953</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7,135</w:t>
            </w:r>
          </w:p>
        </w:tc>
        <w:tc>
          <w:tcPr>
            <w:tcW w:type="dxa" w:w="28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1.80</w:t>
            </w:r>
          </w:p>
        </w:tc>
      </w:tr>
      <w:tr>
        <w:tc>
          <w:tcPr>
            <w:tcW w:type="dxa" w:w="2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Total</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307,973</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100%</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417,883</w:t>
            </w:r>
          </w:p>
        </w:tc>
        <w:tc>
          <w:tcPr>
            <w:tcW w:type="dxa" w:w="28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EBEE" w:val="clear"/>
            <w:tcMar>
              <w:top w:type="dxa" w:w="120"/>
              <w:left w:type="dxa" w:w="180"/>
              <w:bottom w:type="dxa" w:w="120"/>
              <w:right w:type="dxa" w:w="180"/>
            </w:tcMar>
          </w:tcPr>
          <w:p>
            <w:pPr>
              <w:spacing w:after="60"/>
            </w:pPr>
            <w:r>
              <w:rPr>
                <w:rFonts w:ascii="Calibri" w:cs="Calibri" w:eastAsia="Calibri" w:hAnsi="Calibri"/>
                <w:b/>
                <w:bCs/>
                <w:color w:val="C62828"/>
                <w:sz w:val="22"/>
                <w:szCs w:val="22"/>
              </w:rPr>
              <w:t xml:space="preserve">⚠️ Critical Finding — Fatal Accident Profile</w:t>
            </w:r>
          </w:p>
          <w:p>
            <w:pPr>
              <w:spacing w:after="60" w:line="276"/>
            </w:pPr>
            <w:r>
              <w:rPr>
                <w:rFonts w:ascii="Calibri" w:cs="Calibri" w:eastAsia="Calibri" w:hAnsi="Calibri"/>
                <w:color w:val="1A1A2E"/>
                <w:sz w:val="20"/>
                <w:szCs w:val="20"/>
              </w:rPr>
              <w:t xml:space="preserve">Fatal accidents, while only 1.3% of total accidents, produce an average of 1.80 casualties per incident — the highest of any severity category, indicating multi-fatality events.</w:t>
            </w:r>
          </w:p>
          <w:p>
            <w:pPr>
              <w:spacing w:after="60" w:line="276"/>
            </w:pPr>
            <w:r>
              <w:rPr>
                <w:rFonts w:ascii="Calibri" w:cs="Calibri" w:eastAsia="Calibri" w:hAnsi="Calibri"/>
                <w:color w:val="1A1A2E"/>
                <w:sz w:val="20"/>
                <w:szCs w:val="20"/>
              </w:rPr>
              <w:t xml:space="preserve">Road type: 75.4% of fatal accidents (2,982) occurred on single carriageway roads — the most dangerous road type per accident.</w:t>
            </w:r>
          </w:p>
          <w:p>
            <w:pPr>
              <w:spacing w:after="60" w:line="276"/>
            </w:pPr>
            <w:r>
              <w:rPr>
                <w:rFonts w:ascii="Calibri" w:cs="Calibri" w:eastAsia="Calibri" w:hAnsi="Calibri"/>
                <w:color w:val="1A1A2E"/>
                <w:sz w:val="20"/>
                <w:szCs w:val="20"/>
              </w:rPr>
              <w:t xml:space="preserve">Speed: 38.9% of fatal accidents occurred in 30 mph zones (1,537) and 33.2% in 60 mph zones (1,313) — representing two very different risk profiles: urban density risk vs rural high-speed risk.</w:t>
            </w:r>
          </w:p>
          <w:p>
            <w:pPr>
              <w:spacing w:after="60" w:line="276"/>
            </w:pPr>
            <w:r>
              <w:rPr>
                <w:rFonts w:ascii="Calibri" w:cs="Calibri" w:eastAsia="Calibri" w:hAnsi="Calibri"/>
                <w:color w:val="1A1A2E"/>
                <w:sz w:val="20"/>
                <w:szCs w:val="20"/>
              </w:rPr>
              <w:t xml:space="preserve">Light conditions: 60.7% of fatal accidents occurred in daylight (2,399), challenging the assumption that darkness is the dominant factor. Fatigue, inattention, and speed are likely co-factors in daylight fatal incidents.</w:t>
            </w:r>
          </w:p>
          <w:p>
            <w:pPr>
              <w:spacing w:after="60" w:line="276"/>
            </w:pPr>
            <w:r>
              <w:rPr>
                <w:rFonts w:ascii="Calibri" w:cs="Calibri" w:eastAsia="Calibri" w:hAnsi="Calibri"/>
                <w:color w:val="1A1A2E"/>
                <w:sz w:val="20"/>
                <w:szCs w:val="20"/>
              </w:rPr>
              <w:t xml:space="preserve">Weather: 82.7% of fatal accidents occurred in fine weather with no high winds (3,268) — reinforcing that clear conditions do not equal safe conditions, as driver overconfidence is a documented risk factor.</w:t>
            </w:r>
          </w:p>
        </w:tc>
      </w:tr>
    </w:tbl>
    <w:p>
      <w:r>
        <w:br w:type="page"/>
      </w:r>
    </w:p>
    <w:p>
      <w:pPr>
        <w:pStyle w:val="Heading1"/>
        <w:spacing w:after="100" w:before="360"/>
      </w:pPr>
      <w:r>
        <w:rPr>
          <w:rFonts w:ascii="Calibri" w:cs="Calibri" w:eastAsia="Calibri" w:hAnsi="Calibri"/>
          <w:b/>
          <w:bCs/>
          <w:color w:val="0D1B40"/>
          <w:sz w:val="30"/>
          <w:szCs w:val="30"/>
        </w:rPr>
        <w:t xml:space="preserve">5. Time of Day Analysis</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The timing of accidents reveals patterns in road use intensity and driver behaviour. Accidents are categorised into four time windows: Morning, Afternoon, Evening, and Night.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rPr>
          <w:tblHeader/>
        </w:trPr>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Time of Day</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Road Accidents</w:t>
            </w:r>
          </w:p>
        </w:tc>
        <w:tc>
          <w:tcPr>
            <w:tcW w:type="dxa" w:w="16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Total</w:t>
            </w:r>
          </w:p>
        </w:tc>
        <w:tc>
          <w:tcPr>
            <w:tcW w:type="dxa" w:w="41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Risk Profile</w:t>
            </w:r>
          </w:p>
        </w:tc>
      </w:tr>
      <w:tr>
        <w:tc>
          <w:tcPr>
            <w:tcW w:type="dxa" w:w="18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Afternoon</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105,434</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34.2%</w:t>
            </w:r>
          </w:p>
        </w:tc>
        <w:tc>
          <w:tcPr>
            <w:tcW w:type="dxa" w:w="41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Highest volume — peak traffic, school runs, deliveries</w:t>
            </w:r>
          </w:p>
        </w:tc>
      </w:tr>
      <w:tr>
        <w:tc>
          <w:tcPr>
            <w:tcW w:type="dxa" w:w="18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Morning</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103,270</w:t>
            </w:r>
          </w:p>
        </w:tc>
        <w:tc>
          <w:tcPr>
            <w:tcW w:type="dxa" w:w="16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33.5%</w:t>
            </w:r>
          </w:p>
        </w:tc>
        <w:tc>
          <w:tcPr>
            <w:tcW w:type="dxa" w:w="41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Near-equal to afternoon — commuter and freight peak</w:t>
            </w:r>
          </w:p>
        </w:tc>
      </w:tr>
      <w:tr>
        <w:tc>
          <w:tcPr>
            <w:tcW w:type="dxa" w:w="18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Evening</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75,280</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24.4%</w:t>
            </w:r>
          </w:p>
        </w:tc>
        <w:tc>
          <w:tcPr>
            <w:tcW w:type="dxa" w:w="41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Post-work traffic, reduced visibility onset</w:t>
            </w:r>
          </w:p>
        </w:tc>
      </w:tr>
      <w:tr>
        <w:tc>
          <w:tcPr>
            <w:tcW w:type="dxa" w:w="18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Night</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23,989</w:t>
            </w:r>
          </w:p>
        </w:tc>
        <w:tc>
          <w:tcPr>
            <w:tcW w:type="dxa" w:w="16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7.8%</w:t>
            </w:r>
          </w:p>
        </w:tc>
        <w:tc>
          <w:tcPr>
            <w:tcW w:type="dxa" w:w="41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Lowest volume but elevated severity risk per accident</w:t>
            </w:r>
          </w:p>
        </w:tc>
      </w:tr>
    </w:tbl>
    <w:p>
      <w:pPr>
        <w:spacing w:after="100"/>
      </w:pPr>
    </w:p>
    <w:p>
      <w:pPr>
        <w:pStyle w:val="Heading2"/>
        <w:spacing w:after="80" w:before="240"/>
      </w:pPr>
      <w:r>
        <w:rPr>
          <w:rFonts w:ascii="Calibri" w:cs="Calibri" w:eastAsia="Calibri" w:hAnsi="Calibri"/>
          <w:b/>
          <w:bCs/>
          <w:color w:val="1565C0"/>
          <w:sz w:val="24"/>
          <w:szCs w:val="24"/>
        </w:rPr>
        <w:t xml:space="preserve">5.1 Day of Week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Day of Week</w:t>
            </w:r>
          </w:p>
        </w:tc>
        <w:tc>
          <w:tcPr>
            <w:tcW w:type="dxa" w:w="2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Road Accidents</w:t>
            </w:r>
          </w:p>
        </w:tc>
        <w:tc>
          <w:tcPr>
            <w:tcW w:type="dxa" w:w="2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Total Casualties</w:t>
            </w:r>
          </w:p>
        </w:tc>
        <w:tc>
          <w:tcPr>
            <w:tcW w:type="dxa" w:w="33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Avg Casualties/Accident</w:t>
            </w:r>
          </w:p>
        </w:tc>
      </w:tr>
      <w:tr>
        <w:tc>
          <w:tcPr>
            <w:tcW w:type="dxa" w:w="2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Friday</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50,529</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68,294</w:t>
            </w:r>
          </w:p>
        </w:tc>
        <w:tc>
          <w:tcPr>
            <w:tcW w:type="dxa" w:w="33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1.35</w:t>
            </w:r>
          </w:p>
        </w:tc>
      </w:tr>
      <w:tr>
        <w:tc>
          <w:tcPr>
            <w:tcW w:type="dxa" w:w="2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Tuesday</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46,386</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61,278</w:t>
            </w:r>
          </w:p>
        </w:tc>
        <w:tc>
          <w:tcPr>
            <w:tcW w:type="dxa" w:w="33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1.32</w:t>
            </w:r>
          </w:p>
        </w:tc>
      </w:tr>
      <w:tr>
        <w:tc>
          <w:tcPr>
            <w:tcW w:type="dxa" w:w="2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Wednesday</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46,381</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61,339</w:t>
            </w:r>
          </w:p>
        </w:tc>
        <w:tc>
          <w:tcPr>
            <w:tcW w:type="dxa" w:w="33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1.32</w:t>
            </w:r>
          </w:p>
        </w:tc>
      </w:tr>
      <w:tr>
        <w:tc>
          <w:tcPr>
            <w:tcW w:type="dxa" w:w="2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Thursday</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45,649</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60,551</w:t>
            </w:r>
          </w:p>
        </w:tc>
        <w:tc>
          <w:tcPr>
            <w:tcW w:type="dxa" w:w="33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1.33</w:t>
            </w:r>
          </w:p>
        </w:tc>
      </w:tr>
      <w:tr>
        <w:tc>
          <w:tcPr>
            <w:tcW w:type="dxa" w:w="2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Monday</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43,918</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58,473</w:t>
            </w:r>
          </w:p>
        </w:tc>
        <w:tc>
          <w:tcPr>
            <w:tcW w:type="dxa" w:w="33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1.33</w:t>
            </w:r>
          </w:p>
        </w:tc>
      </w:tr>
      <w:tr>
        <w:tc>
          <w:tcPr>
            <w:tcW w:type="dxa" w:w="2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Saturday</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41,566</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59,090</w:t>
            </w:r>
          </w:p>
        </w:tc>
        <w:tc>
          <w:tcPr>
            <w:tcW w:type="dxa" w:w="33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1.42</w:t>
            </w:r>
          </w:p>
        </w:tc>
      </w:tr>
      <w:tr>
        <w:tc>
          <w:tcPr>
            <w:tcW w:type="dxa" w:w="2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Sunday</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33,544</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48,858</w:t>
            </w:r>
          </w:p>
        </w:tc>
        <w:tc>
          <w:tcPr>
            <w:tcW w:type="dxa" w:w="33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E0" w:val="clear"/>
            <w:tcMar>
              <w:top w:type="dxa" w:w="120"/>
              <w:left w:type="dxa" w:w="180"/>
              <w:bottom w:type="dxa" w:w="120"/>
              <w:right w:type="dxa" w:w="180"/>
            </w:tcMar>
          </w:tcPr>
          <w:p>
            <w:pPr>
              <w:spacing w:after="60"/>
            </w:pPr>
            <w:r>
              <w:rPr>
                <w:rFonts w:ascii="Calibri" w:cs="Calibri" w:eastAsia="Calibri" w:hAnsi="Calibri"/>
                <w:b/>
                <w:bCs/>
                <w:color w:val="E65100"/>
                <w:sz w:val="22"/>
                <w:szCs w:val="22"/>
              </w:rPr>
              <w:t xml:space="preserve">📌 Key Insight — Friday Peak &amp; Weekend Severity</w:t>
            </w:r>
          </w:p>
          <w:p>
            <w:pPr>
              <w:spacing w:after="60" w:line="276"/>
            </w:pPr>
            <w:r>
              <w:rPr>
                <w:rFonts w:ascii="Calibri" w:cs="Calibri" w:eastAsia="Calibri" w:hAnsi="Calibri"/>
                <w:color w:val="1A1A2E"/>
                <w:sz w:val="20"/>
                <w:szCs w:val="20"/>
              </w:rPr>
              <w:t xml:space="preserve">Friday records the highest accident count (50,529) — 50.6% more than Sunday. The end-of-week fatigue effect, increased leisure travel, and early evening rush hours compound to create the highest-risk day of the week.</w:t>
            </w:r>
          </w:p>
          <w:p>
            <w:pPr>
              <w:spacing w:after="60" w:line="276"/>
            </w:pPr>
            <w:r>
              <w:rPr>
                <w:rFonts w:ascii="Calibri" w:cs="Calibri" w:eastAsia="Calibri" w:hAnsi="Calibri"/>
                <w:color w:val="1A1A2E"/>
                <w:sz w:val="20"/>
                <w:szCs w:val="20"/>
              </w:rPr>
              <w:t xml:space="preserve">Saturday and Sunday produce fewer accidents in total but a higher average casualties per accident (1.42 and 1.46 respectively). This reflects higher-speed leisure journeys, increased alcohol involvement, and less congestion enabling higher speeds.</w:t>
            </w:r>
          </w:p>
        </w:tc>
      </w:tr>
    </w:tbl>
    <w:p>
      <w:r>
        <w:br w:type="page"/>
      </w:r>
    </w:p>
    <w:p>
      <w:pPr>
        <w:pStyle w:val="Heading1"/>
        <w:spacing w:after="100" w:before="360"/>
      </w:pPr>
      <w:r>
        <w:rPr>
          <w:rFonts w:ascii="Calibri" w:cs="Calibri" w:eastAsia="Calibri" w:hAnsi="Calibri"/>
          <w:b/>
          <w:bCs/>
          <w:color w:val="0D1B40"/>
          <w:sz w:val="30"/>
          <w:szCs w:val="30"/>
        </w:rPr>
        <w:t xml:space="preserve">6. Vehicle Type Analysis</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563,302 vehicles were involved across all recorded accidents. Understanding which vehicle types are most frequently involved enables targeted road safety policy, enforcement, and education campaigns.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00"/>
        <w:gridCol w:w="2560"/>
      </w:tblGrid>
      <w:tr>
        <w:trPr>
          <w:tblHeader/>
        </w:trPr>
        <w:tc>
          <w:tcPr>
            <w:tcW w:type="dxa" w:w="32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Vehicle Type</w:t>
            </w:r>
          </w:p>
        </w:tc>
        <w:tc>
          <w:tcPr>
            <w:tcW w:type="dxa" w:w="2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 Involved</w:t>
            </w:r>
          </w:p>
        </w:tc>
        <w:tc>
          <w:tcPr>
            <w:tcW w:type="dxa" w:w="16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Total</w:t>
            </w:r>
          </w:p>
        </w:tc>
        <w:tc>
          <w:tcPr>
            <w:tcW w:type="dxa" w:w="25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Total Casualties</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Car</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239,794</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77.8%</w:t>
            </w:r>
          </w:p>
        </w:tc>
        <w:tc>
          <w:tcPr>
            <w:tcW w:type="dxa" w:w="25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325,922</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Van / Goods ≤3.5t</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15,695</w:t>
            </w:r>
          </w:p>
        </w:tc>
        <w:tc>
          <w:tcPr>
            <w:tcW w:type="dxa" w:w="16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5.1%</w:t>
            </w:r>
          </w:p>
        </w:tc>
        <w:tc>
          <w:tcPr>
            <w:tcW w:type="dxa" w:w="25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21,298</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Motorcycle &gt;500cc</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11,226</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3.6%</w:t>
            </w:r>
          </w:p>
        </w:tc>
        <w:tc>
          <w:tcPr>
            <w:tcW w:type="dxa" w:w="25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15,151</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Bus or Coach (17+ seats)</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8,686</w:t>
            </w:r>
          </w:p>
        </w:tc>
        <w:tc>
          <w:tcPr>
            <w:tcW w:type="dxa" w:w="16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2.8%</w:t>
            </w:r>
          </w:p>
        </w:tc>
        <w:tc>
          <w:tcPr>
            <w:tcW w:type="dxa" w:w="25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11,710</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Motorcycle ≤125cc</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6,852</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2.2%</w:t>
            </w:r>
          </w:p>
        </w:tc>
        <w:tc>
          <w:tcPr>
            <w:tcW w:type="dxa" w:w="25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9,109</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Goods ≥7.5t</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6,532</w:t>
            </w:r>
          </w:p>
        </w:tc>
        <w:tc>
          <w:tcPr>
            <w:tcW w:type="dxa" w:w="16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2.1%</w:t>
            </w:r>
          </w:p>
        </w:tc>
        <w:tc>
          <w:tcPr>
            <w:tcW w:type="dxa" w:w="25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8,770</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Taxi / Private Hire</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5,543</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1.8%</w:t>
            </w:r>
          </w:p>
        </w:tc>
        <w:tc>
          <w:tcPr>
            <w:tcW w:type="dxa" w:w="25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7,563</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Motorcycle 50cc and under</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3,703</w:t>
            </w:r>
          </w:p>
        </w:tc>
        <w:tc>
          <w:tcPr>
            <w:tcW w:type="dxa" w:w="16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w:t>
            </w:r>
          </w:p>
        </w:tc>
        <w:tc>
          <w:tcPr>
            <w:tcW w:type="dxa" w:w="25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4,945</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Motorcycle 125cc–500cc</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3,285</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1.1%</w:t>
            </w:r>
          </w:p>
        </w:tc>
        <w:tc>
          <w:tcPr>
            <w:tcW w:type="dxa" w:w="25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4,467</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Other / Remaining Types</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8,187</w:t>
            </w:r>
          </w:p>
        </w:tc>
        <w:tc>
          <w:tcPr>
            <w:tcW w:type="dxa" w:w="16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2.7%</w:t>
            </w:r>
          </w:p>
        </w:tc>
        <w:tc>
          <w:tcPr>
            <w:tcW w:type="dxa" w:w="25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10,948</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Ridden Horse</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0.0%</w:t>
            </w:r>
          </w:p>
        </w:tc>
        <w:tc>
          <w:tcPr>
            <w:tcW w:type="dxa" w:w="25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0F7FA" w:val="clear"/>
            <w:tcMar>
              <w:top w:type="dxa" w:w="120"/>
              <w:left w:type="dxa" w:w="180"/>
              <w:bottom w:type="dxa" w:w="120"/>
              <w:right w:type="dxa" w:w="180"/>
            </w:tcMar>
          </w:tcPr>
          <w:p>
            <w:pPr>
              <w:spacing w:after="60"/>
            </w:pPr>
            <w:r>
              <w:rPr>
                <w:rFonts w:ascii="Calibri" w:cs="Calibri" w:eastAsia="Calibri" w:hAnsi="Calibri"/>
                <w:b/>
                <w:bCs/>
                <w:color w:val="00796B"/>
                <w:sz w:val="22"/>
                <w:szCs w:val="22"/>
              </w:rPr>
              <w:t xml:space="preserve">📌 Key Finding — Car Dominance &amp; Motorcycle Vulnerability</w:t>
            </w:r>
          </w:p>
          <w:p>
            <w:pPr>
              <w:spacing w:after="60" w:line="276"/>
            </w:pPr>
            <w:r>
              <w:rPr>
                <w:rFonts w:ascii="Calibri" w:cs="Calibri" w:eastAsia="Calibri" w:hAnsi="Calibri"/>
                <w:color w:val="1A1A2E"/>
                <w:sz w:val="20"/>
                <w:szCs w:val="20"/>
              </w:rPr>
              <w:t xml:space="preserve">Cars account for 77.8% of all vehicles involved, reflecting their overwhelming share of road use. However, raw involvement numbers must be contextualised against total car mileage before drawing conclusions about relative risk per journey.</w:t>
            </w:r>
          </w:p>
          <w:p>
            <w:pPr>
              <w:spacing w:after="60" w:line="276"/>
            </w:pPr>
            <w:r>
              <w:rPr>
                <w:rFonts w:ascii="Calibri" w:cs="Calibri" w:eastAsia="Calibri" w:hAnsi="Calibri"/>
                <w:color w:val="1A1A2E"/>
                <w:sz w:val="20"/>
                <w:szCs w:val="20"/>
              </w:rPr>
              <w:t xml:space="preserve">Motorcycles (all engine sizes combined) account for approximately 8.1% of vehicles involved but are disproportionately represented in serious and fatal injuries relative to their share of road use — a well-documented UK road safety challenge.</w:t>
            </w:r>
          </w:p>
          <w:p>
            <w:pPr>
              <w:spacing w:after="60" w:line="276"/>
            </w:pPr>
            <w:r>
              <w:rPr>
                <w:rFonts w:ascii="Calibri" w:cs="Calibri" w:eastAsia="Calibri" w:hAnsi="Calibri"/>
                <w:color w:val="1A1A2E"/>
                <w:sz w:val="20"/>
                <w:szCs w:val="20"/>
              </w:rPr>
              <w:t xml:space="preserve">Buses and coaches, despite carrying the highest passenger loads of any vehicle type, account for just 2.8% of accident involvement — reflecting the professional training requirements for drivers of these vehicles.</w:t>
            </w:r>
          </w:p>
          <w:p>
            <w:pPr>
              <w:spacing w:after="60" w:line="276"/>
            </w:pPr>
            <w:r>
              <w:rPr>
                <w:rFonts w:ascii="Calibri" w:cs="Calibri" w:eastAsia="Calibri" w:hAnsi="Calibri"/>
                <w:color w:val="1A1A2E"/>
                <w:sz w:val="20"/>
                <w:szCs w:val="20"/>
              </w:rPr>
              <w:t xml:space="preserve">Only 3 accidents involved a ridden horse, with 3 casualties — included in the dataset to capture the full spectrum of road users.</w:t>
            </w:r>
          </w:p>
        </w:tc>
      </w:tr>
    </w:tbl>
    <w:p>
      <w:pPr>
        <w:spacing w:after="80"/>
      </w:pPr>
    </w:p>
    <w:p>
      <w:pPr>
        <w:pStyle w:val="Heading2"/>
        <w:spacing w:after="80" w:before="240"/>
      </w:pPr>
      <w:r>
        <w:rPr>
          <w:rFonts w:ascii="Calibri" w:cs="Calibri" w:eastAsia="Calibri" w:hAnsi="Calibri"/>
          <w:b/>
          <w:bCs/>
          <w:color w:val="1565C0"/>
          <w:sz w:val="24"/>
          <w:szCs w:val="24"/>
        </w:rPr>
        <w:t xml:space="preserve">6.1 Vehicle Count per Accident</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1 vehicle involved: </w:t>
      </w:r>
      <w:r>
        <w:rPr>
          <w:rFonts w:ascii="Calibri" w:cs="Calibri" w:eastAsia="Calibri" w:hAnsi="Calibri"/>
          <w:color w:val="1A1A2E"/>
          <w:sz w:val="21"/>
          <w:szCs w:val="21"/>
        </w:rPr>
        <w:t xml:space="preserve">93,349 accidents (30.3%) — single-vehicle incidents including loss of control, hitting pedestrians, and stationary objects.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2 or more vehicles: </w:t>
      </w:r>
      <w:r>
        <w:rPr>
          <w:rFonts w:ascii="Calibri" w:cs="Calibri" w:eastAsia="Calibri" w:hAnsi="Calibri"/>
          <w:color w:val="1A1A2E"/>
          <w:sz w:val="21"/>
          <w:szCs w:val="21"/>
        </w:rPr>
        <w:t xml:space="preserve">214,624 accidents (69.7%) — multi-vehicle collisions, confirming head-on and intersection collisions as the dominant accident type.</w:t>
      </w:r>
    </w:p>
    <w:p>
      <w:pPr>
        <w:spacing w:after="100" w:line="280"/>
      </w:pPr>
      <w:r>
        <w:rPr>
          <w:rFonts w:ascii="Calibri" w:cs="Calibri" w:eastAsia="Calibri" w:hAnsi="Calibri"/>
          <w:color w:val="1A1A2E"/>
          <w:sz w:val="21"/>
          <w:szCs w:val="21"/>
        </w:rPr>
        <w:t xml:space="preserve">The prevalence of multi-vehicle accidents (69.7%) underscores the importance of junction control, speed management, and driver attention as the primary levers for accident prevention.</w:t>
      </w:r>
    </w:p>
    <w:p>
      <w:r>
        <w:br w:type="page"/>
      </w:r>
    </w:p>
    <w:p>
      <w:pPr>
        <w:pStyle w:val="Heading1"/>
        <w:spacing w:after="100" w:before="360"/>
      </w:pPr>
      <w:r>
        <w:rPr>
          <w:rFonts w:ascii="Calibri" w:cs="Calibri" w:eastAsia="Calibri" w:hAnsi="Calibri"/>
          <w:b/>
          <w:bCs/>
          <w:color w:val="0D1B40"/>
          <w:sz w:val="30"/>
          <w:szCs w:val="30"/>
        </w:rPr>
        <w:t xml:space="preserve">7. Road Type &amp; Speed Limit Analysis</w:t>
      </w:r>
    </w:p>
    <w:p>
      <w:pPr>
        <w:pBdr>
          <w:bottom w:val="single" w:color="0097A7" w:sz="8" w:space="1"/>
        </w:pBdr>
        <w:spacing w:after="180"/>
      </w:pPr>
    </w:p>
    <w:p>
      <w:pPr>
        <w:pStyle w:val="Heading2"/>
        <w:spacing w:after="80" w:before="240"/>
      </w:pPr>
      <w:r>
        <w:rPr>
          <w:rFonts w:ascii="Calibri" w:cs="Calibri" w:eastAsia="Calibri" w:hAnsi="Calibri"/>
          <w:b/>
          <w:bCs/>
          <w:color w:val="1565C0"/>
          <w:sz w:val="24"/>
          <w:szCs w:val="24"/>
        </w:rPr>
        <w:t xml:space="preserve">7.1 Road Type Distribution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600"/>
        <w:gridCol w:w="1800"/>
        <w:gridCol w:w="2260"/>
      </w:tblGrid>
      <w:tr>
        <w:trPr>
          <w:tblHeader/>
        </w:trPr>
        <w:tc>
          <w:tcPr>
            <w:tcW w:type="dxa" w:w="25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Road Type</w:t>
            </w:r>
          </w:p>
        </w:tc>
        <w:tc>
          <w:tcPr>
            <w:tcW w:type="dxa" w:w="17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w:t>
            </w:r>
          </w:p>
        </w:tc>
        <w:tc>
          <w:tcPr>
            <w:tcW w:type="dxa" w:w="16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Total</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Casualties</w:t>
            </w:r>
          </w:p>
        </w:tc>
        <w:tc>
          <w:tcPr>
            <w:tcW w:type="dxa" w:w="22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Fatal Accidents</w:t>
            </w:r>
          </w:p>
        </w:tc>
      </w:tr>
      <w:tr>
        <w:tc>
          <w:tcPr>
            <w:tcW w:type="dxa" w:w="25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Single Carriageway</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230,612</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74.9%</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309,698</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2,982</w:t>
            </w:r>
          </w:p>
        </w:tc>
      </w:tr>
      <w:tr>
        <w:tc>
          <w:tcPr>
            <w:tcW w:type="dxa" w:w="25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Dual Carriageway</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45,467</w:t>
            </w:r>
          </w:p>
        </w:tc>
        <w:tc>
          <w:tcPr>
            <w:tcW w:type="dxa" w:w="16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14.8%</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67,368</w:t>
            </w:r>
          </w:p>
        </w:tc>
        <w:tc>
          <w:tcPr>
            <w:tcW w:type="dxa" w:w="22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822</w:t>
            </w:r>
          </w:p>
        </w:tc>
      </w:tr>
      <w:tr>
        <w:tc>
          <w:tcPr>
            <w:tcW w:type="dxa" w:w="25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Roundabout</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20,929</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6.8%</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26,828</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77</w:t>
            </w:r>
          </w:p>
        </w:tc>
      </w:tr>
      <w:tr>
        <w:tc>
          <w:tcPr>
            <w:tcW w:type="dxa" w:w="25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One Way Street</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6,197</w:t>
            </w:r>
          </w:p>
        </w:tc>
        <w:tc>
          <w:tcPr>
            <w:tcW w:type="dxa" w:w="16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2.0%</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7,389</w:t>
            </w:r>
          </w:p>
        </w:tc>
        <w:tc>
          <w:tcPr>
            <w:tcW w:type="dxa" w:w="22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51</w:t>
            </w:r>
          </w:p>
        </w:tc>
      </w:tr>
      <w:tr>
        <w:tc>
          <w:tcPr>
            <w:tcW w:type="dxa" w:w="25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Slip Road</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4,768</w:t>
            </w:r>
          </w:p>
        </w:tc>
        <w:tc>
          <w:tcPr>
            <w:tcW w:type="dxa" w:w="16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1.5%</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6,600</w:t>
            </w:r>
          </w:p>
        </w:tc>
        <w:tc>
          <w:tcPr>
            <w:tcW w:type="dxa" w:w="22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21</w:t>
            </w:r>
          </w:p>
        </w:tc>
      </w:tr>
    </w:tbl>
    <w:p>
      <w:pPr>
        <w:spacing w:after="80"/>
      </w:pPr>
    </w:p>
    <w:p>
      <w:pPr>
        <w:pStyle w:val="Heading2"/>
        <w:spacing w:after="80" w:before="240"/>
      </w:pPr>
      <w:r>
        <w:rPr>
          <w:rFonts w:ascii="Calibri" w:cs="Calibri" w:eastAsia="Calibri" w:hAnsi="Calibri"/>
          <w:b/>
          <w:bCs/>
          <w:color w:val="1565C0"/>
          <w:sz w:val="24"/>
          <w:szCs w:val="24"/>
        </w:rPr>
        <w:t xml:space="preserve">7.2 Speed Limit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Speed Limit</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Total</w:t>
            </w:r>
          </w:p>
        </w:tc>
        <w:tc>
          <w:tcPr>
            <w:tcW w:type="dxa" w:w="39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Risk Context</w:t>
            </w:r>
          </w:p>
        </w:tc>
      </w:tr>
      <w:tr>
        <w:tc>
          <w:tcPr>
            <w:tcW w:type="dxa" w:w="18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20 mph</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2,899</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0.9%</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Residential zones — very low volume</w:t>
            </w:r>
          </w:p>
        </w:tc>
      </w:tr>
      <w:tr>
        <w:tc>
          <w:tcPr>
            <w:tcW w:type="dxa" w:w="18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30 mph</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200,040</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65.0%</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Urban areas — highest volume by far</w:t>
            </w:r>
          </w:p>
        </w:tc>
      </w:tr>
      <w:tr>
        <w:tc>
          <w:tcPr>
            <w:tcW w:type="dxa" w:w="18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40 mph</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25,650</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8.3%</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Suburban roads — moderate volume</w:t>
            </w:r>
          </w:p>
        </w:tc>
      </w:tr>
      <w:tr>
        <w:tc>
          <w:tcPr>
            <w:tcW w:type="dxa" w:w="18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50 mph</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10,191</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3.3%</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Rural A-roads — moderate speed risk</w:t>
            </w:r>
          </w:p>
        </w:tc>
      </w:tr>
      <w:tr>
        <w:tc>
          <w:tcPr>
            <w:tcW w:type="dxa" w:w="18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60 mph</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46,826</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15.2%</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Rural roads — second highest volume</w:t>
            </w:r>
          </w:p>
        </w:tc>
      </w:tr>
      <w:tr>
        <w:tc>
          <w:tcPr>
            <w:tcW w:type="dxa" w:w="18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70 mph</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22,362</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7.3%</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Motorways &amp; dual carriageways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EBEE" w:val="clear"/>
            <w:tcMar>
              <w:top w:type="dxa" w:w="120"/>
              <w:left w:type="dxa" w:w="180"/>
              <w:bottom w:type="dxa" w:w="120"/>
              <w:right w:type="dxa" w:w="180"/>
            </w:tcMar>
          </w:tcPr>
          <w:p>
            <w:pPr>
              <w:spacing w:after="60"/>
            </w:pPr>
            <w:r>
              <w:rPr>
                <w:rFonts w:ascii="Calibri" w:cs="Calibri" w:eastAsia="Calibri" w:hAnsi="Calibri"/>
                <w:b/>
                <w:bCs/>
                <w:color w:val="C62828"/>
                <w:sz w:val="22"/>
                <w:szCs w:val="22"/>
              </w:rPr>
              <w:t xml:space="preserve">⚠️ Critical Finding — 30 mph Zone Risk</w:t>
            </w:r>
          </w:p>
          <w:p>
            <w:pPr>
              <w:spacing w:after="60" w:line="276"/>
            </w:pPr>
            <w:r>
              <w:rPr>
                <w:rFonts w:ascii="Calibri" w:cs="Calibri" w:eastAsia="Calibri" w:hAnsi="Calibri"/>
                <w:color w:val="1A1A2E"/>
                <w:sz w:val="20"/>
                <w:szCs w:val="20"/>
              </w:rPr>
              <w:t xml:space="preserve">65.0% of all accidents (200,040) occurred in 30 mph zones — the highest of any speed limit. This reflects the density of road activity in urban 30 mph areas (intersections, pedestrians, cyclists, frequent stops) rather than necessarily implying 30 mph is an unsafe speed.</w:t>
            </w:r>
          </w:p>
          <w:p>
            <w:pPr>
              <w:spacing w:after="60" w:line="276"/>
            </w:pPr>
            <w:r>
              <w:rPr>
                <w:rFonts w:ascii="Calibri" w:cs="Calibri" w:eastAsia="Calibri" w:hAnsi="Calibri"/>
                <w:color w:val="1A1A2E"/>
                <w:sz w:val="20"/>
                <w:szCs w:val="20"/>
              </w:rPr>
              <w:t xml:space="preserve">However, 38.9% of all fatal accidents also occurred in 30 mph zones (1,537 fatalities), making urban road safety — pedestrian crossings, junction design, and vehicle-pedestrian conflicts — a critical intervention area.</w:t>
            </w:r>
          </w:p>
          <w:p>
            <w:pPr>
              <w:spacing w:after="60" w:line="276"/>
            </w:pPr>
            <w:r>
              <w:rPr>
                <w:rFonts w:ascii="Calibri" w:cs="Calibri" w:eastAsia="Calibri" w:hAnsi="Calibri"/>
                <w:color w:val="1A1A2E"/>
                <w:sz w:val="20"/>
                <w:szCs w:val="20"/>
              </w:rPr>
              <w:t xml:space="preserve">60 mph zones account for 15.2% of accidents but a disproportionate 33.2% of fatal accidents (1,313), reflecting the severe consequences of high-speed impacts on rural single carriageway roads.</w:t>
            </w:r>
          </w:p>
        </w:tc>
      </w:tr>
    </w:tbl>
    <w:p>
      <w:r>
        <w:br w:type="page"/>
      </w:r>
    </w:p>
    <w:p>
      <w:pPr>
        <w:pStyle w:val="Heading1"/>
        <w:spacing w:after="100" w:before="360"/>
      </w:pPr>
      <w:r>
        <w:rPr>
          <w:rFonts w:ascii="Calibri" w:cs="Calibri" w:eastAsia="Calibri" w:hAnsi="Calibri"/>
          <w:b/>
          <w:bCs/>
          <w:color w:val="0D1B40"/>
          <w:sz w:val="30"/>
          <w:szCs w:val="30"/>
        </w:rPr>
        <w:t xml:space="preserve">8. Road Surface &amp; Environmental Conditions</w:t>
      </w:r>
    </w:p>
    <w:p>
      <w:pPr>
        <w:pBdr>
          <w:bottom w:val="single" w:color="0097A7" w:sz="8" w:space="1"/>
        </w:pBdr>
        <w:spacing w:after="180"/>
      </w:pPr>
    </w:p>
    <w:p>
      <w:pPr>
        <w:pStyle w:val="Heading2"/>
        <w:spacing w:after="80" w:before="240"/>
      </w:pPr>
      <w:r>
        <w:rPr>
          <w:rFonts w:ascii="Calibri" w:cs="Calibri" w:eastAsia="Calibri" w:hAnsi="Calibri"/>
          <w:b/>
          <w:bCs/>
          <w:color w:val="1565C0"/>
          <w:sz w:val="24"/>
          <w:szCs w:val="24"/>
        </w:rPr>
        <w:t xml:space="preserve">8.1 Road Surface Conditions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960"/>
      </w:tblGrid>
      <w:tr>
        <w:trPr>
          <w:tblHeader/>
        </w:trPr>
        <w:tc>
          <w:tcPr>
            <w:tcW w:type="dxa" w:w="32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Road Surface</w:t>
            </w:r>
          </w:p>
        </w:tc>
        <w:tc>
          <w:tcPr>
            <w:tcW w:type="dxa" w:w="2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w:t>
            </w:r>
          </w:p>
        </w:tc>
        <w:tc>
          <w:tcPr>
            <w:tcW w:type="dxa" w:w="39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Total</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Dry</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208,967</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67.9%</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Wet or Damp</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81,796</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26.6%</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Frost or Ice</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12,078</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3.9%</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Snow</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4,758</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1.5%</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Flood (&gt;3cm deep)</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374</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0.1%</w:t>
            </w:r>
          </w:p>
        </w:tc>
      </w:tr>
    </w:tbl>
    <w:p>
      <w:pPr>
        <w:spacing w:after="80"/>
      </w:pPr>
    </w:p>
    <w:p>
      <w:pPr>
        <w:pStyle w:val="Heading2"/>
        <w:spacing w:after="80" w:before="240"/>
      </w:pPr>
      <w:r>
        <w:rPr>
          <w:rFonts w:ascii="Calibri" w:cs="Calibri" w:eastAsia="Calibri" w:hAnsi="Calibri"/>
          <w:b/>
          <w:bCs/>
          <w:color w:val="1565C0"/>
          <w:sz w:val="24"/>
          <w:szCs w:val="24"/>
        </w:rPr>
        <w:t xml:space="preserve">8.2 Weather Conditions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960"/>
      </w:tblGrid>
      <w:tr>
        <w:trPr>
          <w:tblHeader/>
        </w:trPr>
        <w:tc>
          <w:tcPr>
            <w:tcW w:type="dxa" w:w="32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Weather Condition</w:t>
            </w:r>
          </w:p>
        </w:tc>
        <w:tc>
          <w:tcPr>
            <w:tcW w:type="dxa" w:w="2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w:t>
            </w:r>
          </w:p>
        </w:tc>
        <w:tc>
          <w:tcPr>
            <w:tcW w:type="dxa" w:w="39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Total</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Fine — no high winds</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244,496</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79.4%</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Raining — no high winds</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37,841</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12.3%</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Other</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8,802</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2.9%</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Snowing — no high winds</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4,839</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1.6%</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Fog or Mist</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4,783</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1.6%</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Raining + High Winds</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3,526</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1.1%</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Fine + High Winds</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3,148</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1.0%</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Snowing + High Winds</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538</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0.2%</w:t>
            </w:r>
          </w:p>
        </w:tc>
      </w:tr>
    </w:tbl>
    <w:p>
      <w:pPr>
        <w:spacing w:after="100"/>
      </w:pPr>
    </w:p>
    <w:p>
      <w:pPr>
        <w:pStyle w:val="Heading2"/>
        <w:spacing w:after="80" w:before="240"/>
      </w:pPr>
      <w:r>
        <w:rPr>
          <w:rFonts w:ascii="Calibri" w:cs="Calibri" w:eastAsia="Calibri" w:hAnsi="Calibri"/>
          <w:b/>
          <w:bCs/>
          <w:color w:val="1565C0"/>
          <w:sz w:val="24"/>
          <w:szCs w:val="24"/>
        </w:rPr>
        <w:t xml:space="preserve">8.3 Light Conditions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960"/>
      </w:tblGrid>
      <w:tr>
        <w:trPr>
          <w:tblHeader/>
        </w:trPr>
        <w:tc>
          <w:tcPr>
            <w:tcW w:type="dxa" w:w="32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Light Conditions</w:t>
            </w:r>
          </w:p>
        </w:tc>
        <w:tc>
          <w:tcPr>
            <w:tcW w:type="dxa" w:w="2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w:t>
            </w:r>
          </w:p>
        </w:tc>
        <w:tc>
          <w:tcPr>
            <w:tcW w:type="dxa" w:w="39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Total</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Daylight</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227,286</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73.8%</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Darkness — Lights Lit</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60,093</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19.5%</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Darkness — No Lighting</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16,528</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5.4%</w:t>
            </w:r>
          </w:p>
        </w:tc>
      </w:tr>
      <w:tr>
        <w:tc>
          <w:tcPr>
            <w:tcW w:type="dxa" w:w="32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Darkness — Lighting Unknown</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2,924</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0.9%</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Darkness — Lights Unlit</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1,142</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0.4%</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E0" w:val="clear"/>
            <w:tcMar>
              <w:top w:type="dxa" w:w="120"/>
              <w:left w:type="dxa" w:w="180"/>
              <w:bottom w:type="dxa" w:w="120"/>
              <w:right w:type="dxa" w:w="180"/>
            </w:tcMar>
          </w:tcPr>
          <w:p>
            <w:pPr>
              <w:spacing w:after="60"/>
            </w:pPr>
            <w:r>
              <w:rPr>
                <w:rFonts w:ascii="Calibri" w:cs="Calibri" w:eastAsia="Calibri" w:hAnsi="Calibri"/>
                <w:b/>
                <w:bCs/>
                <w:color w:val="E65100"/>
                <w:sz w:val="22"/>
                <w:szCs w:val="22"/>
              </w:rPr>
              <w:t xml:space="preserve">📌 Key Insight — The Clear Conditions Paradox</w:t>
            </w:r>
          </w:p>
          <w:p>
            <w:pPr>
              <w:spacing w:after="60" w:line="276"/>
            </w:pPr>
            <w:r>
              <w:rPr>
                <w:rFonts w:ascii="Calibri" w:cs="Calibri" w:eastAsia="Calibri" w:hAnsi="Calibri"/>
                <w:color w:val="1A1A2E"/>
                <w:sz w:val="20"/>
                <w:szCs w:val="20"/>
              </w:rPr>
              <w:t xml:space="preserve">79.4% of all accidents and 82.7% of all fatal accidents occurred in fine weather with no high winds. Similarly, 73.8% occurred in daylight. This counterintuitive finding is well-documented in road safety research and is explained by several factors:</w:t>
            </w:r>
          </w:p>
          <w:p>
            <w:pPr>
              <w:spacing w:after="60" w:line="276"/>
            </w:pPr>
            <w:r>
              <w:rPr>
                <w:rFonts w:ascii="Calibri" w:cs="Calibri" w:eastAsia="Calibri" w:hAnsi="Calibri"/>
                <w:color w:val="1A1A2E"/>
                <w:sz w:val="20"/>
                <w:szCs w:val="20"/>
              </w:rPr>
              <w:t xml:space="preserve">1. Exposure bias: The vast majority of total road miles driven occur in fine, daylight conditions — so absolute accident counts will naturally be highest in those conditions.</w:t>
            </w:r>
          </w:p>
          <w:p>
            <w:pPr>
              <w:spacing w:after="60" w:line="276"/>
            </w:pPr>
            <w:r>
              <w:rPr>
                <w:rFonts w:ascii="Calibri" w:cs="Calibri" w:eastAsia="Calibri" w:hAnsi="Calibri"/>
                <w:color w:val="1A1A2E"/>
                <w:sz w:val="20"/>
                <w:szCs w:val="20"/>
              </w:rPr>
              <w:t xml:space="preserve">2. Overconfidence effect: Drivers adjust their behaviour more conservatively in poor weather (reduced speed, increased following distance) while maintaining or exceeding normal risk levels in clear conditions.</w:t>
            </w:r>
          </w:p>
          <w:p>
            <w:pPr>
              <w:spacing w:after="60" w:line="276"/>
            </w:pPr>
            <w:r>
              <w:rPr>
                <w:rFonts w:ascii="Calibri" w:cs="Calibri" w:eastAsia="Calibri" w:hAnsi="Calibri"/>
                <w:color w:val="1A1A2E"/>
                <w:sz w:val="20"/>
                <w:szCs w:val="20"/>
              </w:rPr>
              <w:t xml:space="preserve">3. Per-mile risk: When adjusted for miles driven, adverse weather conditions (fog, ice, rain) carry significantly higher accident risk per mile than clear conditions.</w:t>
            </w:r>
          </w:p>
        </w:tc>
      </w:tr>
    </w:tbl>
    <w:p>
      <w:r>
        <w:br w:type="page"/>
      </w:r>
    </w:p>
    <w:p>
      <w:pPr>
        <w:pStyle w:val="Heading1"/>
        <w:spacing w:after="100" w:before="360"/>
      </w:pPr>
      <w:r>
        <w:rPr>
          <w:rFonts w:ascii="Calibri" w:cs="Calibri" w:eastAsia="Calibri" w:hAnsi="Calibri"/>
          <w:b/>
          <w:bCs/>
          <w:color w:val="0D1B40"/>
          <w:sz w:val="30"/>
          <w:szCs w:val="30"/>
        </w:rPr>
        <w:t xml:space="preserve">9. Junction Control Analysis</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Junction design and traffic control type are among the most critical infrastructure factors in accident prevention. This section examines accident and casualty rates across different junction control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rPr>
          <w:tblHeader/>
        </w:trPr>
        <w:tc>
          <w:tcPr>
            <w:tcW w:type="dxa" w:w="34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Junction Control Type</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Casualties</w:t>
            </w:r>
          </w:p>
        </w:tc>
        <w:tc>
          <w:tcPr>
            <w:tcW w:type="dxa" w:w="23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Vehicles Involved</w:t>
            </w:r>
          </w:p>
        </w:tc>
      </w:tr>
      <w:tr>
        <w:tc>
          <w:tcPr>
            <w:tcW w:type="dxa" w:w="34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Give Way or Uncontrolled</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150,045</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199,904</w:t>
            </w:r>
          </w:p>
        </w:tc>
        <w:tc>
          <w:tcPr>
            <w:tcW w:type="dxa" w:w="23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281,996</w:t>
            </w:r>
          </w:p>
        </w:tc>
      </w:tr>
      <w:tr>
        <w:tc>
          <w:tcPr>
            <w:tcW w:type="dxa" w:w="34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Data Missing / Out of Range</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98,056</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134,606</w:t>
            </w:r>
          </w:p>
        </w:tc>
        <w:tc>
          <w:tcPr>
            <w:tcW w:type="dxa" w:w="23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w:t>
            </w:r>
          </w:p>
        </w:tc>
      </w:tr>
      <w:tr>
        <w:tc>
          <w:tcPr>
            <w:tcW w:type="dxa" w:w="34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Auto Traffic Signal</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32,256</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44,073</w:t>
            </w:r>
          </w:p>
        </w:tc>
        <w:tc>
          <w:tcPr>
            <w:tcW w:type="dxa" w:w="23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w:t>
            </w:r>
          </w:p>
        </w:tc>
      </w:tr>
      <w:tr>
        <w:tc>
          <w:tcPr>
            <w:tcW w:type="dxa" w:w="34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Not at Junction (within 20m)</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25,378</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36,132</w:t>
            </w:r>
          </w:p>
        </w:tc>
        <w:tc>
          <w:tcPr>
            <w:tcW w:type="dxa" w:w="23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w:t>
            </w:r>
          </w:p>
        </w:tc>
      </w:tr>
      <w:tr>
        <w:tc>
          <w:tcPr>
            <w:tcW w:type="dxa" w:w="34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Stop Sign</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1,685</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2,463</w:t>
            </w:r>
          </w:p>
        </w:tc>
        <w:tc>
          <w:tcPr>
            <w:tcW w:type="dxa" w:w="23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w:t>
            </w:r>
          </w:p>
        </w:tc>
      </w:tr>
      <w:tr>
        <w:tc>
          <w:tcPr>
            <w:tcW w:type="dxa" w:w="34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Authorised Person</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460</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581</w:t>
            </w:r>
          </w:p>
        </w:tc>
        <w:tc>
          <w:tcPr>
            <w:tcW w:type="dxa" w:w="23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EBEE" w:val="clear"/>
            <w:tcMar>
              <w:top w:type="dxa" w:w="120"/>
              <w:left w:type="dxa" w:w="180"/>
              <w:bottom w:type="dxa" w:w="120"/>
              <w:right w:type="dxa" w:w="180"/>
            </w:tcMar>
          </w:tcPr>
          <w:p>
            <w:pPr>
              <w:spacing w:after="60"/>
            </w:pPr>
            <w:r>
              <w:rPr>
                <w:rFonts w:ascii="Calibri" w:cs="Calibri" w:eastAsia="Calibri" w:hAnsi="Calibri"/>
                <w:b/>
                <w:bCs/>
                <w:color w:val="C62828"/>
                <w:sz w:val="22"/>
                <w:szCs w:val="22"/>
              </w:rPr>
              <w:t xml:space="preserve">⚠️ High-Risk Finding — Give Way Junctions</w:t>
            </w:r>
          </w:p>
          <w:p>
            <w:pPr>
              <w:spacing w:after="60" w:line="276"/>
            </w:pPr>
            <w:r>
              <w:rPr>
                <w:rFonts w:ascii="Calibri" w:cs="Calibri" w:eastAsia="Calibri" w:hAnsi="Calibri"/>
                <w:color w:val="1A1A2E"/>
                <w:sz w:val="20"/>
                <w:szCs w:val="20"/>
              </w:rPr>
              <w:t xml:space="preserve">Give way or uncontrolled junctions account for 48.7% of all accidents (150,045), 47.8% of all casualties (199,904), and 50.0% of all vehicles involved (281,996) — making them the single highest-risk junction type in the dataset.</w:t>
            </w:r>
          </w:p>
          <w:p>
            <w:pPr>
              <w:spacing w:after="60" w:line="276"/>
            </w:pPr>
            <w:r>
              <w:rPr>
                <w:rFonts w:ascii="Calibri" w:cs="Calibri" w:eastAsia="Calibri" w:hAnsi="Calibri"/>
                <w:color w:val="1A1A2E"/>
                <w:sz w:val="20"/>
                <w:szCs w:val="20"/>
              </w:rPr>
              <w:t xml:space="preserve">These junctions, where drivers must yield based on visual assessment rather than formal signals, place full responsibility on driver attention and decision-making — creating vulnerability to driver error, distraction, and misjudgement of oncoming speed.</w:t>
            </w:r>
          </w:p>
          <w:p>
            <w:pPr>
              <w:spacing w:after="60" w:line="276"/>
            </w:pPr>
            <w:r>
              <w:rPr>
                <w:rFonts w:ascii="Calibri" w:cs="Calibri" w:eastAsia="Calibri" w:hAnsi="Calibri"/>
                <w:color w:val="1A1A2E"/>
                <w:sz w:val="20"/>
                <w:szCs w:val="20"/>
              </w:rPr>
              <w:t xml:space="preserve">Auto traffic signals, despite being present at major urban junctions, account for only 10.5% of accidents — demonstrating the safety benefit of formal signal control.</w:t>
            </w:r>
          </w:p>
          <w:p>
            <w:pPr>
              <w:spacing w:after="60" w:line="276"/>
            </w:pPr>
            <w:r>
              <w:rPr>
                <w:rFonts w:ascii="Calibri" w:cs="Calibri" w:eastAsia="Calibri" w:hAnsi="Calibri"/>
                <w:color w:val="1A1A2E"/>
                <w:sz w:val="20"/>
                <w:szCs w:val="20"/>
              </w:rPr>
              <w:t xml:space="preserve">Recommendation: Prioritising the upgrade of high-volume give way junctions to signalised control, particularly in urban environments, offers the largest potential reduction in junction-related accidents.</w:t>
            </w:r>
          </w:p>
        </w:tc>
      </w:tr>
    </w:tbl>
    <w:p>
      <w:pPr>
        <w:pStyle w:val="Heading2"/>
        <w:spacing w:after="80" w:before="240"/>
      </w:pPr>
      <w:r>
        <w:rPr>
          <w:rFonts w:ascii="Calibri" w:cs="Calibri" w:eastAsia="Calibri" w:hAnsi="Calibri"/>
          <w:b/>
          <w:bCs/>
          <w:color w:val="1565C0"/>
          <w:sz w:val="24"/>
          <w:szCs w:val="24"/>
        </w:rPr>
        <w:t xml:space="preserve">9.1 Junction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Junction Detail</w:t>
            </w:r>
          </w:p>
        </w:tc>
        <w:tc>
          <w:tcPr>
            <w:tcW w:type="dxa" w:w="2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w:t>
            </w:r>
          </w:p>
        </w:tc>
        <w:tc>
          <w:tcPr>
            <w:tcW w:type="dxa" w:w="39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Total</w:t>
            </w:r>
          </w:p>
        </w:tc>
      </w:tr>
      <w:tr>
        <w:tc>
          <w:tcPr>
            <w:tcW w:type="dxa" w:w="34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Not at Junction (within 20m)</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123,094</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40.0%</w:t>
            </w:r>
          </w:p>
        </w:tc>
      </w:tr>
      <w:tr>
        <w:tc>
          <w:tcPr>
            <w:tcW w:type="dxa" w:w="34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T or Staggered Junction</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96,718</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31.4%</w:t>
            </w:r>
          </w:p>
        </w:tc>
      </w:tr>
      <w:tr>
        <w:tc>
          <w:tcPr>
            <w:tcW w:type="dxa" w:w="34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Crossroads</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29,948</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9.7%</w:t>
            </w:r>
          </w:p>
        </w:tc>
      </w:tr>
      <w:tr>
        <w:tc>
          <w:tcPr>
            <w:tcW w:type="dxa" w:w="34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Roundabout</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27,264</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8.9%</w:t>
            </w:r>
          </w:p>
        </w:tc>
      </w:tr>
      <w:tr>
        <w:tc>
          <w:tcPr>
            <w:tcW w:type="dxa" w:w="34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Private Drive or Entrance</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10,875</w:t>
            </w:r>
          </w:p>
        </w:tc>
        <w:tc>
          <w:tcPr>
            <w:tcW w:type="dxa" w:w="39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3.5%</w:t>
            </w:r>
          </w:p>
        </w:tc>
      </w:tr>
      <w:tr>
        <w:tc>
          <w:tcPr>
            <w:tcW w:type="dxa" w:w="34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Other Junction</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8,315</w:t>
            </w:r>
          </w:p>
        </w:tc>
        <w:tc>
          <w:tcPr>
            <w:tcW w:type="dxa" w:w="39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2.7%</w:t>
            </w:r>
          </w:p>
        </w:tc>
      </w:tr>
    </w:tbl>
    <w:p>
      <w:pPr>
        <w:spacing w:after="80"/>
      </w:pPr>
    </w:p>
    <w:p>
      <w:pPr>
        <w:spacing w:after="100" w:line="280"/>
      </w:pPr>
      <w:r>
        <w:rPr>
          <w:rFonts w:ascii="Calibri" w:cs="Calibri" w:eastAsia="Calibri" w:hAnsi="Calibri"/>
          <w:color w:val="1A1A2E"/>
          <w:sz w:val="21"/>
          <w:szCs w:val="21"/>
        </w:rPr>
        <w:t xml:space="preserve">T-junctions and staggered junctions (31.4%) are the most common junction type involved in accidents after non-junction locations. Crossroads, while accounting for 9.7% of accidents, are disproportionately represented in serious and fatal accidents due to high-speed perpendicular impacts.</w:t>
      </w:r>
    </w:p>
    <w:p>
      <w:r>
        <w:br w:type="page"/>
      </w:r>
    </w:p>
    <w:p>
      <w:pPr>
        <w:pStyle w:val="Heading1"/>
        <w:spacing w:after="100" w:before="360"/>
      </w:pPr>
      <w:r>
        <w:rPr>
          <w:rFonts w:ascii="Calibri" w:cs="Calibri" w:eastAsia="Calibri" w:hAnsi="Calibri"/>
          <w:b/>
          <w:bCs/>
          <w:color w:val="0D1B40"/>
          <w:sz w:val="30"/>
          <w:szCs w:val="30"/>
        </w:rPr>
        <w:t xml:space="preserve">10. Geographic Analysis</w:t>
      </w:r>
    </w:p>
    <w:p>
      <w:pPr>
        <w:pBdr>
          <w:bottom w:val="single" w:color="0097A7" w:sz="8" w:space="1"/>
        </w:pBdr>
        <w:spacing w:after="180"/>
      </w:pPr>
    </w:p>
    <w:p>
      <w:pPr>
        <w:pStyle w:val="Heading2"/>
        <w:spacing w:after="80" w:before="240"/>
      </w:pPr>
      <w:r>
        <w:rPr>
          <w:rFonts w:ascii="Calibri" w:cs="Calibri" w:eastAsia="Calibri" w:hAnsi="Calibri"/>
          <w:b/>
          <w:bCs/>
          <w:color w:val="1565C0"/>
          <w:sz w:val="24"/>
          <w:szCs w:val="24"/>
        </w:rPr>
        <w:t xml:space="preserve">10.1 Urban vs Rural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000"/>
        <w:gridCol w:w="1800"/>
        <w:gridCol w:w="2060"/>
      </w:tblGrid>
      <w:tr>
        <w:trPr>
          <w:tblHeader/>
        </w:trPr>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Area Type</w:t>
            </w:r>
          </w:p>
        </w:tc>
        <w:tc>
          <w:tcPr>
            <w:tcW w:type="dxa" w:w="17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w:t>
            </w:r>
          </w:p>
        </w:tc>
        <w:tc>
          <w:tcPr>
            <w:tcW w:type="dxa" w:w="2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Accidents</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Casualties</w:t>
            </w:r>
          </w:p>
        </w:tc>
        <w:tc>
          <w:tcPr>
            <w:tcW w:type="dxa" w:w="20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of Casualties</w:t>
            </w:r>
          </w:p>
        </w:tc>
      </w:tr>
      <w:tr>
        <w:tc>
          <w:tcPr>
            <w:tcW w:type="dxa" w:w="18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Urban</w:t>
            </w:r>
          </w:p>
        </w:tc>
        <w:tc>
          <w:tcPr>
            <w:tcW w:type="dxa" w:w="17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198,532</w:t>
            </w:r>
          </w:p>
        </w:tc>
        <w:tc>
          <w:tcPr>
            <w:tcW w:type="dxa" w:w="20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64.5%</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255,864</w:t>
            </w:r>
          </w:p>
        </w:tc>
        <w:tc>
          <w:tcPr>
            <w:tcW w:type="dxa" w:w="20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61.2%</w:t>
            </w:r>
          </w:p>
        </w:tc>
      </w:tr>
      <w:tr>
        <w:tc>
          <w:tcPr>
            <w:tcW w:type="dxa" w:w="18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Rural</w:t>
            </w:r>
          </w:p>
        </w:tc>
        <w:tc>
          <w:tcPr>
            <w:tcW w:type="dxa" w:w="17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109,441</w:t>
            </w:r>
          </w:p>
        </w:tc>
        <w:tc>
          <w:tcPr>
            <w:tcW w:type="dxa" w:w="20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35.5%</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162,019</w:t>
            </w:r>
          </w:p>
        </w:tc>
        <w:tc>
          <w:tcPr>
            <w:tcW w:type="dxa" w:w="20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38.8%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3F2FD" w:val="clear"/>
            <w:tcMar>
              <w:top w:type="dxa" w:w="120"/>
              <w:left w:type="dxa" w:w="180"/>
              <w:bottom w:type="dxa" w:w="120"/>
              <w:right w:type="dxa" w:w="180"/>
            </w:tcMar>
          </w:tcPr>
          <w:p>
            <w:pPr>
              <w:spacing w:after="60"/>
            </w:pPr>
            <w:r>
              <w:rPr>
                <w:rFonts w:ascii="Calibri" w:cs="Calibri" w:eastAsia="Calibri" w:hAnsi="Calibri"/>
                <w:b/>
                <w:bCs/>
                <w:color w:val="0D1B40"/>
                <w:sz w:val="22"/>
                <w:szCs w:val="22"/>
              </w:rPr>
              <w:t xml:space="preserve">📌 Key Insight — Rural Severity Premium</w:t>
            </w:r>
          </w:p>
          <w:p>
            <w:pPr>
              <w:spacing w:after="60" w:line="276"/>
            </w:pPr>
            <w:r>
              <w:rPr>
                <w:rFonts w:ascii="Calibri" w:cs="Calibri" w:eastAsia="Calibri" w:hAnsi="Calibri"/>
                <w:color w:val="1A1A2E"/>
                <w:sz w:val="20"/>
                <w:szCs w:val="20"/>
              </w:rPr>
              <w:t xml:space="preserve">While urban areas account for 64.5% of accidents, rural areas account for 38.8% of casualties — a higher-than-proportionate share. This reflects rural roads' higher average speeds, longer response times for emergency services, reduced lighting, and more severe impact forces at higher velocities.</w:t>
            </w:r>
          </w:p>
          <w:p>
            <w:pPr>
              <w:spacing w:after="60" w:line="276"/>
            </w:pPr>
            <w:r>
              <w:rPr>
                <w:rFonts w:ascii="Calibri" w:cs="Calibri" w:eastAsia="Calibri" w:hAnsi="Calibri"/>
                <w:color w:val="1A1A2E"/>
                <w:sz w:val="20"/>
                <w:szCs w:val="20"/>
              </w:rPr>
              <w:t xml:space="preserve">Rural road fatality rates per million vehicle miles are consistently 2–3× higher than urban rates in UK road safety literature, making rural safety interventions critical despite lower absolute accident volumes.</w:t>
            </w:r>
          </w:p>
        </w:tc>
      </w:tr>
    </w:tbl>
    <w:p>
      <w:pPr>
        <w:spacing w:after="80"/>
      </w:pPr>
    </w:p>
    <w:p>
      <w:pPr>
        <w:pStyle w:val="Heading2"/>
        <w:spacing w:after="80" w:before="240"/>
      </w:pPr>
      <w:r>
        <w:rPr>
          <w:rFonts w:ascii="Calibri" w:cs="Calibri" w:eastAsia="Calibri" w:hAnsi="Calibri"/>
          <w:b/>
          <w:bCs/>
          <w:color w:val="1565C0"/>
          <w:sz w:val="24"/>
          <w:szCs w:val="24"/>
        </w:rPr>
        <w:t xml:space="preserve">10.2 Top Local Authorities by Accident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Local Authority</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Road Accidents</w:t>
            </w:r>
          </w:p>
        </w:tc>
        <w:tc>
          <w:tcPr>
            <w:tcW w:type="dxa" w:w="18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Total Casualties</w:t>
            </w:r>
          </w:p>
        </w:tc>
        <w:tc>
          <w:tcPr>
            <w:tcW w:type="dxa" w:w="27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Casualties per Accident</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Birmingham</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6,165</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8,611</w:t>
            </w:r>
          </w:p>
        </w:tc>
        <w:tc>
          <w:tcPr>
            <w:tcW w:type="dxa" w:w="27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1.40</w:t>
            </w:r>
          </w:p>
        </w:tc>
      </w:tr>
      <w:tr>
        <w:tc>
          <w:tcPr>
            <w:tcW w:type="dxa" w:w="3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Leeds</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4,140</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5,821</w:t>
            </w:r>
          </w:p>
        </w:tc>
        <w:tc>
          <w:tcPr>
            <w:tcW w:type="dxa" w:w="27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1.41</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Manchester</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3,132</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4,366</w:t>
            </w:r>
          </w:p>
        </w:tc>
        <w:tc>
          <w:tcPr>
            <w:tcW w:type="dxa" w:w="27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1.39</w:t>
            </w:r>
          </w:p>
        </w:tc>
      </w:tr>
      <w:tr>
        <w:tc>
          <w:tcPr>
            <w:tcW w:type="dxa" w:w="3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Bradford</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3,006</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4,431</w:t>
            </w:r>
          </w:p>
        </w:tc>
        <w:tc>
          <w:tcPr>
            <w:tcW w:type="dxa" w:w="27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1.47</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Westminster</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2,811</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3,169</w:t>
            </w:r>
          </w:p>
        </w:tc>
        <w:tc>
          <w:tcPr>
            <w:tcW w:type="dxa" w:w="27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1.13</w:t>
            </w:r>
          </w:p>
        </w:tc>
      </w:tr>
      <w:tr>
        <w:tc>
          <w:tcPr>
            <w:tcW w:type="dxa" w:w="3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Sheffield</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2,750</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3,737</w:t>
            </w:r>
          </w:p>
        </w:tc>
        <w:tc>
          <w:tcPr>
            <w:tcW w:type="dxa" w:w="27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1.36</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Liverpool</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2,611</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4,052</w:t>
            </w:r>
          </w:p>
        </w:tc>
        <w:tc>
          <w:tcPr>
            <w:tcW w:type="dxa" w:w="27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1.55</w:t>
            </w:r>
          </w:p>
        </w:tc>
      </w:tr>
      <w:tr>
        <w:tc>
          <w:tcPr>
            <w:tcW w:type="dxa" w:w="3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Cornwall</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2,606</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3,820</w:t>
            </w:r>
          </w:p>
        </w:tc>
        <w:tc>
          <w:tcPr>
            <w:tcW w:type="dxa" w:w="27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1.47</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Barnet</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2,302</w:t>
            </w:r>
          </w:p>
        </w:tc>
        <w:tc>
          <w:tcPr>
            <w:tcW w:type="dxa" w:w="180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2,923</w:t>
            </w:r>
          </w:p>
        </w:tc>
        <w:tc>
          <w:tcPr>
            <w:tcW w:type="dxa" w:w="27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1.27</w:t>
            </w:r>
          </w:p>
        </w:tc>
      </w:tr>
      <w:tr>
        <w:tc>
          <w:tcPr>
            <w:tcW w:type="dxa" w:w="3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Bristol, City of</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2,270</w:t>
            </w:r>
          </w:p>
        </w:tc>
        <w:tc>
          <w:tcPr>
            <w:tcW w:type="dxa" w:w="180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2,773</w:t>
            </w:r>
          </w:p>
        </w:tc>
        <w:tc>
          <w:tcPr>
            <w:tcW w:type="dxa" w:w="27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1.22</w:t>
            </w:r>
          </w:p>
        </w:tc>
      </w:tr>
    </w:tbl>
    <w:p>
      <w:pPr>
        <w:spacing w:after="80"/>
      </w:pPr>
    </w:p>
    <w:p>
      <w:pPr>
        <w:spacing w:after="100" w:line="280"/>
      </w:pPr>
      <w:r>
        <w:rPr>
          <w:rFonts w:ascii="Calibri" w:cs="Calibri" w:eastAsia="Calibri" w:hAnsi="Calibri"/>
          <w:color w:val="1A1A2E"/>
          <w:sz w:val="21"/>
          <w:szCs w:val="21"/>
        </w:rPr>
        <w:t xml:space="preserve">Birmingham records the highest accident volume (6,165) and casualties (8,611) of any local authority — reflecting its size as the UK's second-largest city and its extensive road network. Liverpool stands out with the highest casualties per accident ratio (1.55), suggesting a higher proportion of serious and multi-casualty incidents relative to total accident count.</w:t>
      </w:r>
    </w:p>
    <w:p>
      <w:pPr>
        <w:spacing w:after="80"/>
      </w:pPr>
    </w:p>
    <w:p>
      <w:pPr>
        <w:pStyle w:val="Heading2"/>
        <w:spacing w:after="80" w:before="240"/>
      </w:pPr>
      <w:r>
        <w:rPr>
          <w:rFonts w:ascii="Calibri" w:cs="Calibri" w:eastAsia="Calibri" w:hAnsi="Calibri"/>
          <w:b/>
          <w:bCs/>
          <w:color w:val="1565C0"/>
          <w:sz w:val="24"/>
          <w:szCs w:val="24"/>
        </w:rPr>
        <w:t xml:space="preserve">10.3 Police Force Coverage</w:t>
      </w:r>
    </w:p>
    <w:p>
      <w:pPr>
        <w:spacing w:after="100" w:line="280"/>
      </w:pPr>
      <w:r>
        <w:rPr>
          <w:rFonts w:ascii="Calibri" w:cs="Calibri" w:eastAsia="Calibri" w:hAnsi="Calibri"/>
          <w:color w:val="1A1A2E"/>
          <w:sz w:val="21"/>
          <w:szCs w:val="21"/>
        </w:rPr>
        <w:t xml:space="preserve">The Metropolitan Police covered the highest number of recorded accidents (46,789), followed by West Midlands (13,509), West Yorkshire (12,016), Greater Manchester (11,954), and Thames Valley (11,483) — aligning with the geographic distribution of urban population density and road network size.</w:t>
      </w:r>
    </w:p>
    <w:p>
      <w:r>
        <w:br w:type="page"/>
      </w:r>
    </w:p>
    <w:p>
      <w:pPr>
        <w:pStyle w:val="Heading1"/>
        <w:spacing w:after="100" w:before="360"/>
      </w:pPr>
      <w:r>
        <w:rPr>
          <w:rFonts w:ascii="Calibri" w:cs="Calibri" w:eastAsia="Calibri" w:hAnsi="Calibri"/>
          <w:b/>
          <w:bCs/>
          <w:color w:val="0D1B40"/>
          <w:sz w:val="30"/>
          <w:szCs w:val="30"/>
        </w:rPr>
        <w:t xml:space="preserve">11. Carriageway Hazards &amp; Special Conditions</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Carriageway hazard data captures additional factors present at the time of the accident. While most accident records (302,549) recorded no carriageway hazard, 5,424 accidents involved an additional hazard condition.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Carriageway Hazard</w:t>
            </w:r>
          </w:p>
        </w:tc>
        <w:tc>
          <w:tcPr>
            <w:tcW w:type="dxa" w:w="4360"/>
            <w:shd w:fill="0D1B40"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Accidents</w:t>
            </w:r>
          </w:p>
        </w:tc>
      </w:tr>
      <w:tr>
        <w:tc>
          <w:tcPr>
            <w:tcW w:type="dxa" w:w="5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No hazard recorded</w:t>
            </w:r>
          </w:p>
        </w:tc>
        <w:tc>
          <w:tcPr>
            <w:tcW w:type="dxa" w:w="43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302,549</w:t>
            </w:r>
          </w:p>
        </w:tc>
      </w:tr>
      <w:tr>
        <w:tc>
          <w:tcPr>
            <w:tcW w:type="dxa" w:w="5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Other object on road</w:t>
            </w:r>
          </w:p>
        </w:tc>
        <w:tc>
          <w:tcPr>
            <w:tcW w:type="dxa" w:w="43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2,243</w:t>
            </w:r>
          </w:p>
        </w:tc>
      </w:tr>
      <w:tr>
        <w:tc>
          <w:tcPr>
            <w:tcW w:type="dxa" w:w="5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Animal in carriageway (exc. ridden horse)</w:t>
            </w:r>
          </w:p>
        </w:tc>
        <w:tc>
          <w:tcPr>
            <w:tcW w:type="dxa" w:w="43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1,620</w:t>
            </w:r>
          </w:p>
        </w:tc>
      </w:tr>
      <w:tr>
        <w:tc>
          <w:tcPr>
            <w:tcW w:type="dxa" w:w="5000"/>
            <w:shd w:fill="F4F6F8" w:val="clear"/>
            <w:tcMar>
              <w:top w:type="dxa" w:w="60"/>
              <w:left w:type="dxa" w:w="100"/>
              <w:bottom w:type="dxa" w:w="60"/>
              <w:right w:type="dxa" w:w="100"/>
            </w:tcMar>
          </w:tcPr>
          <w:p>
            <w:pPr>
              <w:jc w:val="left"/>
            </w:pPr>
            <w:r>
              <w:rPr>
                <w:rFonts w:ascii="Calibri" w:cs="Calibri" w:eastAsia="Calibri" w:hAnsi="Calibri"/>
                <w:color w:val="1A1A2E"/>
                <w:sz w:val="19"/>
                <w:szCs w:val="19"/>
              </w:rPr>
              <w:t xml:space="preserve">Pedestrian in carriageway — not injured</w:t>
            </w:r>
          </w:p>
        </w:tc>
        <w:tc>
          <w:tcPr>
            <w:tcW w:type="dxa" w:w="4360"/>
            <w:shd w:fill="F4F6F8"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715</w:t>
            </w:r>
          </w:p>
        </w:tc>
      </w:tr>
      <w:tr>
        <w:tc>
          <w:tcPr>
            <w:tcW w:type="dxa" w:w="5000"/>
            <w:shd w:fill="FFFFFF" w:val="clear"/>
            <w:tcMar>
              <w:top w:type="dxa" w:w="60"/>
              <w:left w:type="dxa" w:w="100"/>
              <w:bottom w:type="dxa" w:w="60"/>
              <w:right w:type="dxa" w:w="100"/>
            </w:tcMar>
          </w:tcPr>
          <w:p>
            <w:pPr>
              <w:jc w:val="left"/>
            </w:pPr>
            <w:r>
              <w:rPr>
                <w:rFonts w:ascii="Calibri" w:cs="Calibri" w:eastAsia="Calibri" w:hAnsi="Calibri"/>
                <w:color w:val="1A1A2E"/>
                <w:sz w:val="19"/>
                <w:szCs w:val="19"/>
              </w:rPr>
              <w:t xml:space="preserve">Previous accident</w:t>
            </w:r>
          </w:p>
        </w:tc>
        <w:tc>
          <w:tcPr>
            <w:tcW w:type="dxa" w:w="4360"/>
            <w:shd w:fill="FFFFFF" w:val="clear"/>
            <w:tcMar>
              <w:top w:type="dxa" w:w="60"/>
              <w:left w:type="dxa" w:w="100"/>
              <w:bottom w:type="dxa" w:w="60"/>
              <w:right w:type="dxa" w:w="100"/>
            </w:tcMar>
          </w:tcPr>
          <w:p>
            <w:pPr>
              <w:jc w:val="center"/>
            </w:pPr>
            <w:r>
              <w:rPr>
                <w:rFonts w:ascii="Calibri" w:cs="Calibri" w:eastAsia="Calibri" w:hAnsi="Calibri"/>
                <w:color w:val="1A1A2E"/>
                <w:sz w:val="19"/>
                <w:szCs w:val="19"/>
              </w:rPr>
              <w:t xml:space="preserve">511</w:t>
            </w:r>
          </w:p>
        </w:tc>
      </w:tr>
    </w:tbl>
    <w:p>
      <w:pPr>
        <w:spacing w:after="80"/>
      </w:pPr>
    </w:p>
    <w:p>
      <w:pPr>
        <w:spacing w:after="100" w:line="280"/>
      </w:pPr>
      <w:r>
        <w:rPr>
          <w:rFonts w:ascii="Calibri" w:cs="Calibri" w:eastAsia="Calibri" w:hAnsi="Calibri"/>
          <w:color w:val="1A1A2E"/>
          <w:sz w:val="21"/>
          <w:szCs w:val="21"/>
        </w:rPr>
        <w:t xml:space="preserve">Objects on the road and animals in the carriageway are the most common additional hazard conditions. The 511 accidents triggered by previous accidents highlight the 'secondary accident' risk — where first responders, recovery vehicles, and passing drivers face elevated danger at already-active accident scenes, underscoring the importance of rapid scene clearance protocols.</w:t>
      </w:r>
    </w:p>
    <w:p>
      <w:r>
        <w:br w:type="page"/>
      </w:r>
    </w:p>
    <w:p>
      <w:pPr>
        <w:pStyle w:val="Heading1"/>
        <w:spacing w:after="100" w:before="360"/>
      </w:pPr>
      <w:r>
        <w:rPr>
          <w:rFonts w:ascii="Calibri" w:cs="Calibri" w:eastAsia="Calibri" w:hAnsi="Calibri"/>
          <w:b/>
          <w:bCs/>
          <w:color w:val="0D1B40"/>
          <w:sz w:val="30"/>
          <w:szCs w:val="30"/>
        </w:rPr>
        <w:t xml:space="preserve">12. Root Causes &amp; Contributing Factors</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The data patterns across all analytical dimensions point to a set of recurring structural and behavioural factors that drive road accident risk in Great Britain.</w:t>
      </w:r>
    </w:p>
    <w:p>
      <w:pPr>
        <w:spacing w:after="80"/>
      </w:pPr>
    </w:p>
    <w:p>
      <w:pPr>
        <w:pStyle w:val="Heading2"/>
        <w:spacing w:after="80" w:before="240"/>
      </w:pPr>
      <w:r>
        <w:rPr>
          <w:rFonts w:ascii="Calibri" w:cs="Calibri" w:eastAsia="Calibri" w:hAnsi="Calibri"/>
          <w:b/>
          <w:bCs/>
          <w:color w:val="1565C0"/>
          <w:sz w:val="24"/>
          <w:szCs w:val="24"/>
        </w:rPr>
        <w:t xml:space="preserve">12.1 Infrastructure Factors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Junction design: </w:t>
      </w:r>
      <w:r>
        <w:rPr>
          <w:rFonts w:ascii="Calibri" w:cs="Calibri" w:eastAsia="Calibri" w:hAnsi="Calibri"/>
          <w:color w:val="1A1A2E"/>
          <w:sz w:val="21"/>
          <w:szCs w:val="21"/>
        </w:rPr>
        <w:t xml:space="preserve">Give way and uncontrolled junctions account for 48.7% of all accidents. Inadequate signage, poor sight lines, and absence of formal signal control create systematic collision risk.</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Single carriageway roads: </w:t>
      </w:r>
      <w:r>
        <w:rPr>
          <w:rFonts w:ascii="Calibri" w:cs="Calibri" w:eastAsia="Calibri" w:hAnsi="Calibri"/>
          <w:color w:val="1A1A2E"/>
          <w:sz w:val="21"/>
          <w:szCs w:val="21"/>
        </w:rPr>
        <w:t xml:space="preserve">74.9% of accidents and 75.4% of fatal accidents occur on single carriageway roads, where opposing traffic shares road space with minimal separation.</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Lighting deficiency: </w:t>
      </w:r>
      <w:r>
        <w:rPr>
          <w:rFonts w:ascii="Calibri" w:cs="Calibri" w:eastAsia="Calibri" w:hAnsi="Calibri"/>
          <w:color w:val="1A1A2E"/>
          <w:sz w:val="21"/>
          <w:szCs w:val="21"/>
        </w:rPr>
        <w:t xml:space="preserve">26.2% of accidents (80,687) occurred in darkness. Inadequate or absent street lighting significantly elevates risk on rural and suburban roads.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Road surface condition: </w:t>
      </w:r>
      <w:r>
        <w:rPr>
          <w:rFonts w:ascii="Calibri" w:cs="Calibri" w:eastAsia="Calibri" w:hAnsi="Calibri"/>
          <w:color w:val="1A1A2E"/>
          <w:sz w:val="21"/>
          <w:szCs w:val="21"/>
        </w:rPr>
        <w:t xml:space="preserve">26.6% of accidents on wet/damp roads and 5.4% on ice or snow highlight the need for reactive gritting, drainage maintenance, and surface renewal programmes.</w:t>
      </w:r>
    </w:p>
    <w:p>
      <w:pPr>
        <w:spacing w:after="80"/>
      </w:pPr>
    </w:p>
    <w:p>
      <w:pPr>
        <w:pStyle w:val="Heading2"/>
        <w:spacing w:after="80" w:before="240"/>
      </w:pPr>
      <w:r>
        <w:rPr>
          <w:rFonts w:ascii="Calibri" w:cs="Calibri" w:eastAsia="Calibri" w:hAnsi="Calibri"/>
          <w:b/>
          <w:bCs/>
          <w:color w:val="1565C0"/>
          <w:sz w:val="24"/>
          <w:szCs w:val="24"/>
        </w:rPr>
        <w:t xml:space="preserve">12.2 Behavioural Factors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Driver inattention &amp; fatigue: </w:t>
      </w:r>
      <w:r>
        <w:rPr>
          <w:rFonts w:ascii="Calibri" w:cs="Calibri" w:eastAsia="Calibri" w:hAnsi="Calibri"/>
          <w:color w:val="1A1A2E"/>
          <w:sz w:val="21"/>
          <w:szCs w:val="21"/>
        </w:rPr>
        <w:t xml:space="preserve">The Friday peak and afternoon concentration of accidents (34.2%) are consistent with end-of-day fatigue and distraction as key behavioural risk factors.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Speed &amp; overconfidence in clear conditions: </w:t>
      </w:r>
      <w:r>
        <w:rPr>
          <w:rFonts w:ascii="Calibri" w:cs="Calibri" w:eastAsia="Calibri" w:hAnsi="Calibri"/>
          <w:color w:val="1A1A2E"/>
          <w:sz w:val="21"/>
          <w:szCs w:val="21"/>
        </w:rPr>
        <w:t xml:space="preserve">82.7% of fatal accidents in fine weather and 75.4% on single carriageways suggest drivers maintaining or exceeding safe speeds when conditions appear favourable.</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Urban density risk: </w:t>
      </w:r>
      <w:r>
        <w:rPr>
          <w:rFonts w:ascii="Calibri" w:cs="Calibri" w:eastAsia="Calibri" w:hAnsi="Calibri"/>
          <w:color w:val="1A1A2E"/>
          <w:sz w:val="21"/>
          <w:szCs w:val="21"/>
        </w:rPr>
        <w:t xml:space="preserve">65.0% of accidents in 30 mph zones reflects urban pedestrian-vehicle conflict, high junction density, and the complexity of urban road environments.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Multi-vehicle collisions: </w:t>
      </w:r>
      <w:r>
        <w:rPr>
          <w:rFonts w:ascii="Calibri" w:cs="Calibri" w:eastAsia="Calibri" w:hAnsi="Calibri"/>
          <w:color w:val="1A1A2E"/>
          <w:sz w:val="21"/>
          <w:szCs w:val="21"/>
        </w:rPr>
        <w:t xml:space="preserve">69.7% of accidents involve multiple vehicles, pointing to following distance, right-of-way misjudgement, and intersection decision-making as core behavioural failure points.</w:t>
      </w:r>
    </w:p>
    <w:p>
      <w:pPr>
        <w:spacing w:after="80"/>
      </w:pPr>
    </w:p>
    <w:p>
      <w:pPr>
        <w:pStyle w:val="Heading2"/>
        <w:spacing w:after="80" w:before="240"/>
      </w:pPr>
      <w:r>
        <w:rPr>
          <w:rFonts w:ascii="Calibri" w:cs="Calibri" w:eastAsia="Calibri" w:hAnsi="Calibri"/>
          <w:b/>
          <w:bCs/>
          <w:color w:val="1565C0"/>
          <w:sz w:val="24"/>
          <w:szCs w:val="24"/>
        </w:rPr>
        <w:t xml:space="preserve">12.3 Temporal Factors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October/November peak: </w:t>
      </w:r>
      <w:r>
        <w:rPr>
          <w:rFonts w:ascii="Calibri" w:cs="Calibri" w:eastAsia="Calibri" w:hAnsi="Calibri"/>
          <w:color w:val="1A1A2E"/>
          <w:sz w:val="21"/>
          <w:szCs w:val="21"/>
        </w:rPr>
        <w:t xml:space="preserve">The Autumn clock change creates sudden light condition shifts during peak commuting hours, contributing to the November accident peak in both years.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Weekend severity premium: </w:t>
      </w:r>
      <w:r>
        <w:rPr>
          <w:rFonts w:ascii="Calibri" w:cs="Calibri" w:eastAsia="Calibri" w:hAnsi="Calibri"/>
          <w:color w:val="1A1A2E"/>
          <w:sz w:val="21"/>
          <w:szCs w:val="21"/>
        </w:rPr>
        <w:t xml:space="preserve">Saturday and Sunday accidents produce higher average casualty rates (1.42–1.46 vs 1.32–1.35 on weekdays), consistent with higher-speed leisure travel and increased alcohol involvement.</w:t>
      </w:r>
    </w:p>
    <w:p>
      <w:r>
        <w:br w:type="page"/>
      </w:r>
    </w:p>
    <w:p>
      <w:pPr>
        <w:pStyle w:val="Heading1"/>
        <w:spacing w:after="100" w:before="360"/>
      </w:pPr>
      <w:r>
        <w:rPr>
          <w:rFonts w:ascii="Calibri" w:cs="Calibri" w:eastAsia="Calibri" w:hAnsi="Calibri"/>
          <w:b/>
          <w:bCs/>
          <w:color w:val="0D1B40"/>
          <w:sz w:val="30"/>
          <w:szCs w:val="30"/>
        </w:rPr>
        <w:t xml:space="preserve">13. Strategic Recommendations</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The following recommendations are grounded in the specific data patterns identified across the 307,973 accident records and prioritised by expected impact on fatal and serious accident reduction.</w:t>
      </w:r>
    </w:p>
    <w:p>
      <w:pPr>
        <w:spacing w:after="80"/>
      </w:pPr>
    </w:p>
    <w:p>
      <w:pPr>
        <w:pStyle w:val="Heading2"/>
        <w:spacing w:after="80" w:before="240"/>
      </w:pPr>
      <w:r>
        <w:rPr>
          <w:rFonts w:ascii="Calibri" w:cs="Calibri" w:eastAsia="Calibri" w:hAnsi="Calibri"/>
          <w:b/>
          <w:bCs/>
          <w:color w:val="1565C0"/>
          <w:sz w:val="24"/>
          <w:szCs w:val="24"/>
        </w:rPr>
        <w:t xml:space="preserve">13.1 Infrastructure Investment Priorities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Junction signalisation programme: </w:t>
      </w:r>
      <w:r>
        <w:rPr>
          <w:rFonts w:ascii="Calibri" w:cs="Calibri" w:eastAsia="Calibri" w:hAnsi="Calibri"/>
          <w:color w:val="1A1A2E"/>
          <w:sz w:val="21"/>
          <w:szCs w:val="21"/>
        </w:rPr>
        <w:t xml:space="preserve">Prioritise conversion of high-volume give way junctions in Birmingham, Leeds, and Manchester to auto-signal control. These three authorities alone account for 13,437 accidents.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Rural road safety investment: </w:t>
      </w:r>
      <w:r>
        <w:rPr>
          <w:rFonts w:ascii="Calibri" w:cs="Calibri" w:eastAsia="Calibri" w:hAnsi="Calibri"/>
          <w:color w:val="1A1A2E"/>
          <w:sz w:val="21"/>
          <w:szCs w:val="21"/>
        </w:rPr>
        <w:t xml:space="preserve">Widen rural single carriageway roads where feasible, install rumble strips, improve road markings, and extend Average Speed Camera coverage on 60 mph rural A-roads.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Lighting extension: </w:t>
      </w:r>
      <w:r>
        <w:rPr>
          <w:rFonts w:ascii="Calibri" w:cs="Calibri" w:eastAsia="Calibri" w:hAnsi="Calibri"/>
          <w:color w:val="1A1A2E"/>
          <w:sz w:val="21"/>
          <w:szCs w:val="21"/>
        </w:rPr>
        <w:t xml:space="preserve">Targeted installation of street lighting on high-accident rural and suburban unlit roads — particularly in locations with repeated darkness-related accidents.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Junction sight-line improvements: </w:t>
      </w:r>
      <w:r>
        <w:rPr>
          <w:rFonts w:ascii="Calibri" w:cs="Calibri" w:eastAsia="Calibri" w:hAnsi="Calibri"/>
          <w:color w:val="1A1A2E"/>
          <w:sz w:val="21"/>
          <w:szCs w:val="21"/>
        </w:rPr>
        <w:t xml:space="preserve">Audit T-junctions and crossroads in the top 10 local authorities for vegetation, signage obstruction, and surface condition deficiencies.</w:t>
      </w:r>
    </w:p>
    <w:p>
      <w:pPr>
        <w:spacing w:after="80"/>
      </w:pPr>
    </w:p>
    <w:p>
      <w:pPr>
        <w:pStyle w:val="Heading2"/>
        <w:spacing w:after="80" w:before="240"/>
      </w:pPr>
      <w:r>
        <w:rPr>
          <w:rFonts w:ascii="Calibri" w:cs="Calibri" w:eastAsia="Calibri" w:hAnsi="Calibri"/>
          <w:b/>
          <w:bCs/>
          <w:color w:val="1565C0"/>
          <w:sz w:val="24"/>
          <w:szCs w:val="24"/>
        </w:rPr>
        <w:t xml:space="preserve">13.2 Enforcement &amp; Speed Management</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Variable speed limits: </w:t>
      </w:r>
      <w:r>
        <w:rPr>
          <w:rFonts w:ascii="Calibri" w:cs="Calibri" w:eastAsia="Calibri" w:hAnsi="Calibri"/>
          <w:color w:val="1A1A2E"/>
          <w:sz w:val="21"/>
          <w:szCs w:val="21"/>
        </w:rPr>
        <w:t xml:space="preserve">Implement dynamic speed limits on high-risk single carriageway roads, adjustable in response to weather and light conditions using smart signing.</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30 mph zone enforcement: </w:t>
      </w:r>
      <w:r>
        <w:rPr>
          <w:rFonts w:ascii="Calibri" w:cs="Calibri" w:eastAsia="Calibri" w:hAnsi="Calibri"/>
          <w:color w:val="1A1A2E"/>
          <w:sz w:val="21"/>
          <w:szCs w:val="21"/>
        </w:rPr>
        <w:t xml:space="preserve">Increase mobile speed enforcement and average speed camera deployment in high-accident 30 mph urban areas to address the 65% accident concentration.</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Drink-drive weekend operations: </w:t>
      </w:r>
      <w:r>
        <w:rPr>
          <w:rFonts w:ascii="Calibri" w:cs="Calibri" w:eastAsia="Calibri" w:hAnsi="Calibri"/>
          <w:color w:val="1A1A2E"/>
          <w:sz w:val="21"/>
          <w:szCs w:val="21"/>
        </w:rPr>
        <w:t xml:space="preserve">Increase targeted enforcement operations on Saturday and Sunday nights to address the weekend severity premium in accident data.</w:t>
      </w:r>
    </w:p>
    <w:p>
      <w:pPr>
        <w:spacing w:after="80"/>
      </w:pPr>
    </w:p>
    <w:p>
      <w:pPr>
        <w:pStyle w:val="Heading2"/>
        <w:spacing w:after="80" w:before="240"/>
      </w:pPr>
      <w:r>
        <w:rPr>
          <w:rFonts w:ascii="Calibri" w:cs="Calibri" w:eastAsia="Calibri" w:hAnsi="Calibri"/>
          <w:b/>
          <w:bCs/>
          <w:color w:val="1565C0"/>
          <w:sz w:val="24"/>
          <w:szCs w:val="24"/>
        </w:rPr>
        <w:t xml:space="preserve">13.3 Public Safety Campaigns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Autumn awareness campaign: </w:t>
      </w:r>
      <w:r>
        <w:rPr>
          <w:rFonts w:ascii="Calibri" w:cs="Calibri" w:eastAsia="Calibri" w:hAnsi="Calibri"/>
          <w:color w:val="1A1A2E"/>
          <w:sz w:val="21"/>
          <w:szCs w:val="21"/>
        </w:rPr>
        <w:t xml:space="preserve">Launch annual pre-October safety campaigns timed to the clock change, focusing on increased stopping distances, headlight use, and pedestrian visibility.</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Motorcycle safety programme: </w:t>
      </w:r>
      <w:r>
        <w:rPr>
          <w:rFonts w:ascii="Calibri" w:cs="Calibri" w:eastAsia="Calibri" w:hAnsi="Calibri"/>
          <w:color w:val="1A1A2E"/>
          <w:sz w:val="21"/>
          <w:szCs w:val="21"/>
        </w:rPr>
        <w:t xml:space="preserve">Develop targeted training initiatives for motorcycle riders, focusing on cornering, hazard perception, and protective equipment — addressing the disproportionate motorcycle injury rate.</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Rural road awareness: </w:t>
      </w:r>
      <w:r>
        <w:rPr>
          <w:rFonts w:ascii="Calibri" w:cs="Calibri" w:eastAsia="Calibri" w:hAnsi="Calibri"/>
          <w:color w:val="1A1A2E"/>
          <w:sz w:val="21"/>
          <w:szCs w:val="21"/>
        </w:rPr>
        <w:t xml:space="preserve">Educate drivers on rural road-specific hazards: blind bends, agricultural vehicles, animals in the carriageway, and the consequences of high-speed impacts.</w:t>
      </w:r>
    </w:p>
    <w:p>
      <w:pPr>
        <w:spacing w:after="80"/>
      </w:pPr>
    </w:p>
    <w:p>
      <w:pPr>
        <w:pStyle w:val="Heading2"/>
        <w:spacing w:after="80" w:before="240"/>
      </w:pPr>
      <w:r>
        <w:rPr>
          <w:rFonts w:ascii="Calibri" w:cs="Calibri" w:eastAsia="Calibri" w:hAnsi="Calibri"/>
          <w:b/>
          <w:bCs/>
          <w:color w:val="1565C0"/>
          <w:sz w:val="24"/>
          <w:szCs w:val="24"/>
        </w:rPr>
        <w:t xml:space="preserve">13.4 Data &amp; Monitoring</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Secondary accident protocol: </w:t>
      </w:r>
      <w:r>
        <w:rPr>
          <w:rFonts w:ascii="Calibri" w:cs="Calibri" w:eastAsia="Calibri" w:hAnsi="Calibri"/>
          <w:color w:val="1A1A2E"/>
          <w:sz w:val="21"/>
          <w:szCs w:val="21"/>
        </w:rPr>
        <w:t xml:space="preserve">Establish rapid scene clearance procedures specifically to reduce the 511 secondary accidents triggered by previous incidents.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Monthly KPI dashboard: </w:t>
      </w:r>
      <w:r>
        <w:rPr>
          <w:rFonts w:ascii="Calibri" w:cs="Calibri" w:eastAsia="Calibri" w:hAnsi="Calibri"/>
          <w:color w:val="1A1A2E"/>
          <w:sz w:val="21"/>
          <w:szCs w:val="21"/>
        </w:rPr>
        <w:t xml:space="preserve">Track monthly accident volumes, severity ratios, and top-10 local authority performance against baseline targets with automated alert thresholds.</w:t>
      </w:r>
    </w:p>
    <w:p>
      <w:pPr>
        <w:spacing w:after="80" w:line="276"/>
        <w:ind w:left="360" w:hanging="200"/>
      </w:pPr>
      <w:r>
        <w:rPr>
          <w:rFonts w:ascii="Calibri" w:cs="Calibri" w:eastAsia="Calibri" w:hAnsi="Calibri"/>
          <w:color w:val="0097A7"/>
          <w:sz w:val="21"/>
          <w:szCs w:val="21"/>
        </w:rPr>
        <w:t xml:space="preserve">•  </w:t>
      </w:r>
      <w:r>
        <w:rPr>
          <w:rFonts w:ascii="Calibri" w:cs="Calibri" w:eastAsia="Calibri" w:hAnsi="Calibri"/>
          <w:b/>
          <w:bCs/>
          <w:color w:val="0D1B40"/>
          <w:sz w:val="21"/>
          <w:szCs w:val="21"/>
        </w:rPr>
        <w:t xml:space="preserve">Year-on-year trend monitoring: </w:t>
      </w:r>
      <w:r>
        <w:rPr>
          <w:rFonts w:ascii="Calibri" w:cs="Calibri" w:eastAsia="Calibri" w:hAnsi="Calibri"/>
          <w:color w:val="1A1A2E"/>
          <w:sz w:val="21"/>
          <w:szCs w:val="21"/>
        </w:rPr>
        <w:t xml:space="preserve">Continue monitoring the positive 2021→2022 decline trend. If the rate of reduction slows below 5% year-on-year, trigger a strategic review of active interventions.</w:t>
      </w:r>
    </w:p>
    <w:p>
      <w:r>
        <w:br w:type="page"/>
      </w:r>
    </w:p>
    <w:p>
      <w:pPr>
        <w:pStyle w:val="Heading1"/>
        <w:spacing w:after="100" w:before="360"/>
      </w:pPr>
      <w:r>
        <w:rPr>
          <w:rFonts w:ascii="Calibri" w:cs="Calibri" w:eastAsia="Calibri" w:hAnsi="Calibri"/>
          <w:b/>
          <w:bCs/>
          <w:color w:val="0D1B40"/>
          <w:sz w:val="30"/>
          <w:szCs w:val="30"/>
        </w:rPr>
        <w:t xml:space="preserve">14. Conclusion</w:t>
      </w:r>
    </w:p>
    <w:p>
      <w:pPr>
        <w:pBdr>
          <w:bottom w:val="single" w:color="0097A7" w:sz="8" w:space="1"/>
        </w:pBdr>
        <w:spacing w:after="180"/>
      </w:pPr>
    </w:p>
    <w:p>
      <w:pPr>
        <w:spacing w:after="100" w:line="280"/>
      </w:pPr>
      <w:r>
        <w:rPr>
          <w:rFonts w:ascii="Calibri" w:cs="Calibri" w:eastAsia="Calibri" w:hAnsi="Calibri"/>
          <w:color w:val="1A1A2E"/>
          <w:sz w:val="21"/>
          <w:szCs w:val="21"/>
        </w:rPr>
        <w:t xml:space="preserve">The 2021–2022 UK road accident dataset reveals a complex landscape of interconnected risk factors spanning infrastructure design, driver behaviour, environmental conditions, and road use patterns. The headline finding of a consistent 11–12% reduction in accidents, casualties, and vehicles involved from 2021 to 2022 represents genuine progress in road safety outcomes.</w:t>
      </w:r>
    </w:p>
    <w:p>
      <w:pPr>
        <w:spacing w:after="80"/>
      </w:pPr>
    </w:p>
    <w:p>
      <w:pPr>
        <w:spacing w:after="100" w:line="280"/>
      </w:pPr>
      <w:r>
        <w:rPr>
          <w:rFonts w:ascii="Calibri" w:cs="Calibri" w:eastAsia="Calibri" w:hAnsi="Calibri"/>
          <w:color w:val="1A1A2E"/>
          <w:sz w:val="21"/>
          <w:szCs w:val="21"/>
        </w:rPr>
        <w:t xml:space="preserve">However, 3,953 fatal accidents and 40,740 serious accidents in a two-year period represent an unacceptable human cost that demands sustained intervention. The data identifies clear and actionable risk concentrations: give way junctions, single carriageway roads, 30 mph and 60 mph speed zones, the afternoon Friday peak, and Birmingham as the highest-risk local authority.</w:t>
      </w:r>
    </w:p>
    <w:p>
      <w:pPr>
        <w:spacing w:after="80"/>
      </w:pPr>
    </w:p>
    <w:p>
      <w:pPr>
        <w:spacing w:after="100" w:line="280"/>
      </w:pPr>
      <w:r>
        <w:rPr>
          <w:rFonts w:ascii="Calibri" w:cs="Calibri" w:eastAsia="Calibri" w:hAnsi="Calibri"/>
          <w:color w:val="1A1A2E"/>
          <w:sz w:val="21"/>
          <w:szCs w:val="21"/>
        </w:rPr>
        <w:t xml:space="preserve">The counterintuitive finding that the majority of accidents — including fatal ones — occur in fine weather and daylight conditions underscores the critical importance of addressing behavioural risk factors alongside infrastructure improvements. Safe roads require both safer environments and more attentive, appropriately-paced drivers.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8" w:val="clear"/>
            <w:tcMar>
              <w:top w:type="dxa" w:w="120"/>
              <w:left w:type="dxa" w:w="180"/>
              <w:bottom w:type="dxa" w:w="120"/>
              <w:right w:type="dxa" w:w="180"/>
            </w:tcMar>
          </w:tcPr>
          <w:p>
            <w:pPr>
              <w:spacing w:after="60"/>
            </w:pPr>
            <w:r>
              <w:rPr>
                <w:rFonts w:ascii="Calibri" w:cs="Calibri" w:eastAsia="Calibri" w:hAnsi="Calibri"/>
                <w:b/>
                <w:bCs/>
                <w:color w:val="0D1B40"/>
                <w:sz w:val="22"/>
                <w:szCs w:val="22"/>
              </w:rPr>
              <w:t xml:space="preserve">Final Summary — Key Figures</w:t>
            </w:r>
          </w:p>
          <w:p>
            <w:pPr>
              <w:spacing w:after="60" w:line="276"/>
            </w:pPr>
            <w:r>
              <w:rPr>
                <w:rFonts w:ascii="Calibri" w:cs="Calibri" w:eastAsia="Calibri" w:hAnsi="Calibri"/>
                <w:color w:val="1A1A2E"/>
                <w:sz w:val="20"/>
                <w:szCs w:val="20"/>
              </w:rPr>
              <w:t xml:space="preserve">Total Accidents: 307,973  |  Total Casualties: 417,883  |  Total Vehicles: 563,302</w:t>
            </w:r>
          </w:p>
          <w:p>
            <w:pPr>
              <w:spacing w:after="60" w:line="276"/>
            </w:pPr>
            <w:r>
              <w:rPr>
                <w:rFonts w:ascii="Calibri" w:cs="Calibri" w:eastAsia="Calibri" w:hAnsi="Calibri"/>
                <w:color w:val="1A1A2E"/>
                <w:sz w:val="20"/>
                <w:szCs w:val="20"/>
              </w:rPr>
              <w:t xml:space="preserve">Fatal: 3,953 (1.3%)  |  Serious: 40,740 (13.2%)  |  Slight: 263,280 (85.5%)</w:t>
            </w:r>
          </w:p>
          <w:p>
            <w:pPr>
              <w:spacing w:after="60" w:line="276"/>
            </w:pPr>
            <w:r>
              <w:rPr>
                <w:rFonts w:ascii="Calibri" w:cs="Calibri" w:eastAsia="Calibri" w:hAnsi="Calibri"/>
                <w:color w:val="1A1A2E"/>
                <w:sz w:val="20"/>
                <w:szCs w:val="20"/>
              </w:rPr>
              <w:t xml:space="preserve">Year-on-Year Improvement: −11.7% accidents, −11.9% casualties (2021→2022)</w:t>
            </w:r>
          </w:p>
          <w:p>
            <w:pPr>
              <w:spacing w:after="60" w:line="276"/>
            </w:pPr>
            <w:r>
              <w:rPr>
                <w:rFonts w:ascii="Calibri" w:cs="Calibri" w:eastAsia="Calibri" w:hAnsi="Calibri"/>
                <w:color w:val="1A1A2E"/>
                <w:sz w:val="20"/>
                <w:szCs w:val="20"/>
              </w:rPr>
              <w:t xml:space="preserve">Highest Risk Junction: Give Way / Uncontrolled — 48.7% of all accidents</w:t>
            </w:r>
          </w:p>
          <w:p>
            <w:pPr>
              <w:spacing w:after="60" w:line="276"/>
            </w:pPr>
            <w:r>
              <w:rPr>
                <w:rFonts w:ascii="Calibri" w:cs="Calibri" w:eastAsia="Calibri" w:hAnsi="Calibri"/>
                <w:color w:val="1A1A2E"/>
                <w:sz w:val="20"/>
                <w:szCs w:val="20"/>
              </w:rPr>
              <w:t xml:space="preserve">Highest Risk Road Type: Single Carriageway — 74.9% of accidents, 75.4% of fatals</w:t>
            </w:r>
          </w:p>
          <w:p>
            <w:pPr>
              <w:spacing w:after="60" w:line="276"/>
            </w:pPr>
            <w:r>
              <w:rPr>
                <w:rFonts w:ascii="Calibri" w:cs="Calibri" w:eastAsia="Calibri" w:hAnsi="Calibri"/>
                <w:color w:val="1A1A2E"/>
                <w:sz w:val="20"/>
                <w:szCs w:val="20"/>
              </w:rPr>
              <w:t xml:space="preserve">Highest Risk Day: Friday — 50,529 accidents, 68,294 casualties</w:t>
            </w:r>
          </w:p>
          <w:p>
            <w:pPr>
              <w:spacing w:after="60" w:line="276"/>
            </w:pPr>
            <w:r>
              <w:rPr>
                <w:rFonts w:ascii="Calibri" w:cs="Calibri" w:eastAsia="Calibri" w:hAnsi="Calibri"/>
                <w:color w:val="1A1A2E"/>
                <w:sz w:val="20"/>
                <w:szCs w:val="20"/>
              </w:rPr>
              <w:t xml:space="preserve">Highest Risk Month: November (both years)</w:t>
            </w:r>
          </w:p>
          <w:p>
            <w:pPr>
              <w:spacing w:after="60" w:line="276"/>
            </w:pPr>
            <w:r>
              <w:rPr>
                <w:rFonts w:ascii="Calibri" w:cs="Calibri" w:eastAsia="Calibri" w:hAnsi="Calibri"/>
                <w:color w:val="1A1A2E"/>
                <w:sz w:val="20"/>
                <w:szCs w:val="20"/>
              </w:rPr>
              <w:t xml:space="preserve">Highest Risk Local Authority: Birmingham — 6,165 accidents, 8,611 casualties</w:t>
            </w:r>
          </w:p>
          <w:p>
            <w:pPr>
              <w:spacing w:after="60" w:line="276"/>
            </w:pPr>
            <w:r>
              <w:rPr>
                <w:rFonts w:ascii="Calibri" w:cs="Calibri" w:eastAsia="Calibri" w:hAnsi="Calibri"/>
                <w:color w:val="1A1A2E"/>
                <w:sz w:val="20"/>
                <w:szCs w:val="20"/>
              </w:rPr>
              <w:t xml:space="preserve">Primary Recommendation: Signalise high-volume give way junctions &amp; extend rural road safety programmes</w:t>
            </w:r>
          </w:p>
        </w:tc>
      </w:tr>
    </w:tbl>
    <w:p>
      <w:pPr>
        <w:spacing w:after="160"/>
      </w:pPr>
    </w:p>
    <w:p>
      <w:pPr>
        <w:jc w:val="center"/>
      </w:pPr>
      <w:r>
        <w:rPr>
          <w:rFonts w:ascii="Calibri" w:cs="Calibri" w:eastAsia="Calibri" w:hAnsi="Calibri"/>
          <w:i/>
          <w:iCs/>
          <w:color w:val="546E7A"/>
          <w:sz w:val="20"/>
          <w:szCs w:val="20"/>
        </w:rPr>
        <w:t xml:space="preserve">— End of Report —</w:t>
      </w:r>
    </w:p>
    <w:p>
      <w:pPr>
        <w:spacing w:after="60"/>
        <w:jc w:val="center"/>
      </w:pPr>
      <w:r>
        <w:rPr>
          <w:rFonts w:ascii="Calibri" w:cs="Calibri" w:eastAsia="Calibri" w:hAnsi="Calibri"/>
          <w:color w:val="546E7A"/>
          <w:sz w:val="18"/>
          <w:szCs w:val="18"/>
        </w:rPr>
        <w:t xml:space="preserve">Prepared by Brian  |  Data Analytics Portfolio  |  July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46E7A"/>
        <w:sz w:val="17"/>
        <w:szCs w:val="17"/>
      </w:rPr>
      <w:t xml:space="preserve">UK Road Accidents Analytical Report 2021–2022  |  Page </w:t>
    </w:r>
    <w:r>
      <w:rPr>
        <w:rFonts w:ascii="Calibri" w:cs="Calibri" w:eastAsia="Calibri" w:hAnsi="Calibri"/>
        <w:color w:val="546E7A"/>
        <w:sz w:val="17"/>
        <w:szCs w:val="17"/>
      </w:rPr>
      <w:fldChar w:fldCharType="begin"/>
      <w:instrText xml:space="preserve">PAGE</w:instrText>
      <w:fldChar w:fldCharType="separate"/>
      <w:fldChar w:fldCharType="end"/>
    </w:r>
    <w:r>
      <w:rPr>
        <w:rFonts w:ascii="Calibri" w:cs="Calibri" w:eastAsia="Calibri" w:hAnsi="Calibri"/>
        <w:color w:val="546E7A"/>
        <w:sz w:val="17"/>
        <w:szCs w:val="17"/>
      </w:rPr>
      <w:t xml:space="preserve"> of </w:t>
    </w:r>
    <w:r>
      <w:rPr>
        <w:rFonts w:ascii="Calibri" w:cs="Calibri" w:eastAsia="Calibri" w:hAnsi="Calibri"/>
        <w:color w:val="546E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2026-07-04T16:59:51.364Z</dcterms:created>
  <dcterms:modified xsi:type="dcterms:W3CDTF">2026-07-04T16:59:51.375Z</dcterms:modified>
</cp:coreProperties>
</file>

<file path=docProps/custom.xml><?xml version="1.0" encoding="utf-8"?>
<Properties xmlns="http://schemas.openxmlformats.org/officeDocument/2006/custom-properties" xmlns:vt="http://schemas.openxmlformats.org/officeDocument/2006/docPropsVTypes"/>
</file>