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To register for the workshop click</w:t>
            </w:r>
            <w:r>
              <w:t xml:space="preserve"> </w:t>
            </w:r>
            <w:hyperlink r:id="rId24">
              <w:r>
                <w:rPr>
                  <w:rStyle w:val="Hyperlink"/>
                </w:rPr>
                <w:t xml:space="preserve">here</w:t>
              </w:r>
            </w:hyperlink>
            <w:r>
              <w:t xml:space="preserve">.</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in silos, leading to inefficient referrals, duplicated beneficiary lists, inconsistent vulnerability criteria, and limited data sharing capabilities. These issues prevent effective coordination and increase the burden on crisis-affected populations who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2025, this workshop aims to move from analysis to action by developing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User/registration data journey</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governance group</w:t>
      </w:r>
    </w:p>
    <w:p>
      <w:pPr>
        <w:numPr>
          <w:ilvl w:val="0"/>
          <w:numId w:val="1008"/>
        </w:numPr>
      </w:pPr>
      <w:r>
        <w:t xml:space="preserve">Group C: Data Protection Impact Assessment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49"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2025-11-17T14:59:47Z</dcterms:created>
  <dcterms:modified xsi:type="dcterms:W3CDTF">2025-11-17T14:59:47Z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