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(6 hours)</w:t>
      </w:r>
    </w:p>
    <w:p>
      <w:pPr>
        <w:pStyle w:val="BodyText"/>
      </w:pPr>
      <w:r>
        <w:rPr>
          <w:b/>
          <w:bCs/>
        </w:rPr>
        <w:t xml:space="preserve">Location:</w:t>
      </w:r>
      <w:r>
        <w:t xml:space="preserve"> </w:t>
      </w:r>
      <w:hyperlink r:id="rId20">
        <w:r>
          <w:rPr>
            <w:rStyle w:val="Hyperlink"/>
          </w:rPr>
          <w:t xml:space="preserve">Imperial Plaza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Supported by:</w:t>
      </w:r>
      <w:r>
        <w:t xml:space="preserve"> </w:t>
      </w:r>
      <w:r>
        <w:t xml:space="preserve">European Commission’s Humanitarian Office (ECHO)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Users/brian/.pixi/envs/quarto/share/quarto/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Thank you to everyone who joined the workshop. The analysis presented is available</w:t>
            </w:r>
            <w:r>
              <w:t xml:space="preserve"> </w:t>
            </w:r>
            <w:hyperlink r:id="rId24">
              <w:r>
                <w:rPr>
                  <w:rStyle w:val="Hyperlink"/>
                </w:rPr>
                <w:t xml:space="preserve">here</w:t>
              </w:r>
            </w:hyperlink>
            <w:r>
              <w:t xml:space="preserve">. The workshop report will be circulated shortly.</w:t>
            </w:r>
          </w:p>
          <w:p/>
        </w:tc>
      </w:tr>
    </w:tbl>
    <w:p>
      <w:pPr>
        <w:pStyle w:val="BodyText"/>
      </w:pPr>
      <w:r>
        <w:drawing>
          <wp:inline>
            <wp:extent cx="4910903" cy="4898114"/>
            <wp:effectExtent b="0" l="0" r="0" t="0"/>
            <wp:docPr descr="QR code" title="" id="26" name="Picture"/>
            <a:graphic>
              <a:graphicData uri="http://schemas.openxmlformats.org/drawingml/2006/picture">
                <pic:pic>
                  <pic:nvPicPr>
                    <pic:cNvPr descr="figures/workshop-qrcode.png" id="27" name="Picture"/>
                    <pic:cNvPicPr>
                      <a:picLocks noChangeArrowheads="1" noChangeAspect="1"/>
                    </pic:cNvPicPr>
                  </pic:nvPicPr>
                  <pic:blipFill>
                    <a:blip r:embed="rId25"/>
                    <a:stretch>
                      <a:fillRect/>
                    </a:stretch>
                  </pic:blipFill>
                  <pic:spPr bwMode="auto">
                    <a:xfrm>
                      <a:off x="0" y="0"/>
                      <a:ext cx="4910903" cy="4898114"/>
                    </a:xfrm>
                    <a:prstGeom prst="rect">
                      <a:avLst/>
                    </a:prstGeom>
                    <a:noFill/>
                    <a:ln w="9525">
                      <a:noFill/>
                      <a:headEnd/>
                      <a:tailEnd/>
                    </a:ln>
                  </pic:spPr>
                </pic:pic>
              </a:graphicData>
            </a:graphic>
          </wp:inline>
        </w:drawing>
      </w:r>
    </w:p>
    <w:bookmarkStart w:id="28"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largely in silos, leading to inefficient referrals, duplicated beneficiary lists, inconsistent vulnerability criteria, and limited data sharing capabilities. These issues prevent effective coordination and increase the burden on crisis-affected populations who often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the third quarter of 2025, this workshop aims to move from analysis to action initiating development of practical tools and frameworks for improved registration data interoperability.</w:t>
      </w:r>
    </w:p>
    <w:bookmarkEnd w:id="28"/>
    <w:bookmarkStart w:id="29"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co-design of practical tools including a Single Registration Form and a Data Protection Impact Assessment template.</w:t>
      </w:r>
    </w:p>
    <w:p>
      <w:pPr>
        <w:numPr>
          <w:ilvl w:val="0"/>
          <w:numId w:val="1001"/>
        </w:numPr>
      </w:pPr>
      <w:r>
        <w:t xml:space="preserve">Explore the possible establishment of a Task Force on registration data interoperability</w:t>
      </w:r>
    </w:p>
    <w:p>
      <w:pPr>
        <w:numPr>
          <w:ilvl w:val="0"/>
          <w:numId w:val="1001"/>
        </w:numPr>
      </w:pPr>
      <w:r>
        <w:t xml:space="preserve">Foster collaboration and commitment among humanitarian actors toward a federated approach to beneficiary data management</w:t>
      </w:r>
    </w:p>
    <w:bookmarkEnd w:id="29"/>
    <w:bookmarkStart w:id="30"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Initiated drafting of a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30"/>
    <w:bookmarkStart w:id="31"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bookmarkEnd w:id="31"/>
    <w:bookmarkStart w:id="46" w:name="agenda"/>
    <w:p>
      <w:pPr>
        <w:pStyle w:val="Heading2"/>
      </w:pPr>
      <w:r>
        <w:t xml:space="preserve">5 Agenda</w:t>
      </w:r>
    </w:p>
    <w:bookmarkStart w:id="32"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32"/>
    <w:bookmarkStart w:id="33"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33"/>
    <w:bookmarkStart w:id="37"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34"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34"/>
    <w:bookmarkStart w:id="35"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35"/>
    <w:bookmarkStart w:id="36" w:name="plenary-summary-10-minutes"/>
    <w:p>
      <w:pPr>
        <w:pStyle w:val="Heading4"/>
      </w:pPr>
      <w:r>
        <w:t xml:space="preserve">5.3.3 Plenary summary</w:t>
      </w:r>
      <w:r>
        <w:t xml:space="preserve"> </w:t>
      </w:r>
      <w:r>
        <w:rPr>
          <w:i/>
          <w:iCs/>
        </w:rPr>
        <w:t xml:space="preserve">(10 minutes)</w:t>
      </w:r>
    </w:p>
    <w:bookmarkEnd w:id="36"/>
    <w:bookmarkEnd w:id="37"/>
    <w:bookmarkStart w:id="38"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bookmarkEnd w:id="38"/>
    <w:bookmarkStart w:id="42"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9" w:name="presentation-2-30-minutes"/>
    <w:p>
      <w:pPr>
        <w:pStyle w:val="Heading4"/>
      </w:pPr>
      <w:r>
        <w:t xml:space="preserve">5.5.1 Presentation 2: (30 minutes)</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9"/>
    <w:bookmarkStart w:id="40" w:name="breakout-2-working-sessions-45-minutes"/>
    <w:p>
      <w:pPr>
        <w:pStyle w:val="Heading4"/>
      </w:pPr>
      <w:r>
        <w:t xml:space="preserve">5.5.2 Breakout 2: Working sessions (45 minutes)</w:t>
      </w:r>
    </w:p>
    <w:p>
      <w:pPr>
        <w:numPr>
          <w:ilvl w:val="0"/>
          <w:numId w:val="1008"/>
        </w:numPr>
      </w:pPr>
      <w:r>
        <w:t xml:space="preserve">Group A: Data Protection Impact Assessment group</w:t>
      </w:r>
    </w:p>
    <w:p>
      <w:pPr>
        <w:numPr>
          <w:ilvl w:val="0"/>
          <w:numId w:val="1008"/>
        </w:numPr>
      </w:pPr>
      <w:r>
        <w:t xml:space="preserve">Group B: Standardization group</w:t>
      </w:r>
    </w:p>
    <w:p>
      <w:pPr>
        <w:numPr>
          <w:ilvl w:val="0"/>
          <w:numId w:val="1008"/>
        </w:numPr>
      </w:pPr>
      <w:r>
        <w:t xml:space="preserve">Group C: Data governance group</w:t>
      </w:r>
    </w:p>
    <w:bookmarkEnd w:id="40"/>
    <w:bookmarkStart w:id="41" w:name="report-to-plenary-15-min"/>
    <w:p>
      <w:pPr>
        <w:pStyle w:val="Heading4"/>
      </w:pPr>
      <w:r>
        <w:t xml:space="preserve">5.5.3 Report to plenary (15 min)</w:t>
      </w:r>
    </w:p>
    <w:p>
      <w:pPr>
        <w:pStyle w:val="FirstParagraph"/>
      </w:pPr>
      <w:r>
        <w:t xml:space="preserve">5 minutes per group to present their ideas and plans</w:t>
      </w:r>
    </w:p>
    <w:bookmarkEnd w:id="41"/>
    <w:bookmarkEnd w:id="42"/>
    <w:bookmarkStart w:id="43"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bookmarkEnd w:id="43"/>
    <w:bookmarkStart w:id="44"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44"/>
    <w:bookmarkStart w:id="45"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45"/>
    <w:bookmarkEnd w:id="46"/>
    <w:bookmarkStart w:id="47"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bookmarkEnd w:id="47"/>
    <w:bookmarkStart w:id="52" w:name="contact"/>
    <w:p>
      <w:pPr>
        <w:pStyle w:val="Heading2"/>
      </w:pPr>
      <w:r>
        <w:t xml:space="preserve">7 Contact</w:t>
      </w:r>
    </w:p>
    <w:p>
      <w:pPr>
        <w:pStyle w:val="FirstParagraph"/>
      </w:pPr>
      <w:r>
        <w:t xml:space="preserve">For any questions related to the workshop, please contact:</w:t>
      </w:r>
    </w:p>
    <w:p>
      <w:pPr>
        <w:numPr>
          <w:ilvl w:val="0"/>
          <w:numId w:val="1012"/>
        </w:numPr>
      </w:pPr>
      <w:r>
        <w:t xml:space="preserve">Daniel HILLAIRE - dhilaire@iom.int</w:t>
      </w:r>
    </w:p>
    <w:p>
      <w:pPr>
        <w:numPr>
          <w:ilvl w:val="0"/>
          <w:numId w:val="1012"/>
        </w:numPr>
      </w:pPr>
      <w:r>
        <w:t xml:space="preserve">Benson MBOGANI - BMbogani@iom.int</w:t>
      </w:r>
    </w:p>
    <w:p>
      <w:pPr>
        <w:numPr>
          <w:ilvl w:val="0"/>
          <w:numId w:val="1012"/>
        </w:numPr>
      </w:pPr>
      <w:r>
        <w:t xml:space="preserve">Brian MC DONALD - bmcdonald@iom.int</w:t>
      </w:r>
    </w:p>
    <w:p>
      <w:pPr>
        <w:pStyle w:val="FirstParagraph"/>
      </w:pPr>
      <w:hyperlink r:id="rId48">
        <w:r>
          <w:rPr>
            <w:rStyle w:val="Hyperlink"/>
          </w:rPr>
          <w:t xml:space="preserve">Send Email</w:t>
        </w:r>
      </w:hyperlink>
    </w:p>
    <w:p>
      <w:r>
        <w:pict>
          <v:rect style="width:0;height:1.5pt" o:hralign="center" o:hrstd="t" o:hr="t"/>
        </w:pict>
      </w:r>
    </w:p>
    <w:p>
      <w:pPr>
        <w:pStyle w:val="FirstParagraph"/>
      </w:pPr>
      <w:r>
        <w:t xml:space="preserve">This workshop is co-funded by the European Commission’s Humanitarian Office (ECHO).</w:t>
      </w:r>
    </w:p>
    <w:p>
      <w:pPr>
        <w:pStyle w:val="BodyText"/>
      </w:pPr>
      <w:r>
        <w:drawing>
          <wp:inline>
            <wp:extent cx="2381250" cy="499574"/>
            <wp:effectExtent b="0" l="0" r="0" t="0"/>
            <wp:docPr descr="" title="" id="50" name="Picture"/>
            <a:graphic>
              <a:graphicData uri="http://schemas.openxmlformats.org/drawingml/2006/picture">
                <pic:pic>
                  <pic:nvPicPr>
                    <pic:cNvPr descr="ECHO.png" id="51" name="Picture"/>
                    <pic:cNvPicPr>
                      <a:picLocks noChangeArrowheads="1" noChangeAspect="1"/>
                    </pic:cNvPicPr>
                  </pic:nvPicPr>
                  <pic:blipFill>
                    <a:blip r:embed="rId49"/>
                    <a:stretch>
                      <a:fillRect/>
                    </a:stretch>
                  </pic:blipFill>
                  <pic:spPr bwMode="auto">
                    <a:xfrm>
                      <a:off x="0" y="0"/>
                      <a:ext cx="2381250" cy="499574"/>
                    </a:xfrm>
                    <a:prstGeom prst="rect">
                      <a:avLst/>
                    </a:prstGeom>
                    <a:noFill/>
                    <a:ln w="9525">
                      <a:noFill/>
                      <a:headEnd/>
                      <a:tailEnd/>
                    </a:ln>
                  </pic:spPr>
                </pic:pic>
              </a:graphicData>
            </a:graphic>
          </wp:inline>
        </w:drawing>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hyperlink" Id="rId24" Target="https://interoperabledata.xyz/research.html"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_rels/footnotes.xml.rels><?xml version="1.0" encoding="UTF-8"?><Relationships xmlns="http://schemas.openxmlformats.org/package/2006/relationships"><Relationship Type="http://schemas.openxmlformats.org/officeDocument/2006/relationships/hyperlink" Id="rId24" Target="https://interoperabledata.xyz/research.html"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2025-12-05T07:58:41Z</dcterms:created>
  <dcterms:modified xsi:type="dcterms:W3CDTF">2025-12-05T07:58:41Z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