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Data Protection Impact Assessment group</w:t>
      </w:r>
    </w:p>
    <w:p>
      <w:pPr>
        <w:numPr>
          <w:ilvl w:val="0"/>
          <w:numId w:val="1008"/>
        </w:numPr>
      </w:pPr>
      <w:r>
        <w:t xml:space="preserve">Group B: Standardization group</w:t>
      </w:r>
    </w:p>
    <w:p>
      <w:pPr>
        <w:numPr>
          <w:ilvl w:val="0"/>
          <w:numId w:val="1008"/>
        </w:numPr>
      </w:pPr>
      <w:r>
        <w:t xml:space="preserve">Group C: Data governance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2025-11-19T05:14:05Z</dcterms:created>
  <dcterms:modified xsi:type="dcterms:W3CDTF">2025-11-19T05:14:05Z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