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Enterprise AI Strategy 2026</w:t>
      </w:r>
    </w:p>
    <w:p>
      <w:r>
        <w:t>This report outlines the strategic roadmap for deploying artificial intelligence across the organization. Key focus areas include large language model integration, retrieval-augmented generation pipelines, and edge inference for real-time decision making.</w:t>
      </w:r>
    </w:p>
    <w:p>
      <w:pPr>
        <w:pStyle w:val="Heading2"/>
      </w:pPr>
      <w:r>
        <w:t>Executive Summary</w:t>
      </w:r>
    </w:p>
    <w:p>
      <w:r>
        <w:t>AI adoption has accelerated dramatically. Organizations that deploy retrieval-augmented generation (RAG) systems report 40% faster knowledge worker productivity. Our strategy prioritizes embedding-based semantic search, multimodal document understanding, and autonomous agent workflows built on graph memory architectures.</w:t>
      </w:r>
    </w:p>
    <w:p>
      <w:pPr>
        <w:pStyle w:val="Heading2"/>
      </w:pPr>
      <w:r>
        <w:t>Technical Architecture</w:t>
      </w:r>
    </w:p>
    <w:p>
      <w:r>
        <w:t>The core architecture uses a three-tier model stack: embedding models for vector indexing, reranker models for precision scoring, and instruction-tuned models for generation. All models run on Apple Silicon via MLX framework at 4-bit quantization, achieving sub-200ms latency for text retrieval and under 5 seconds for cross-modal reranking.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