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2026 Project Status Update</w:t>
      </w:r>
    </w:p>
    <w:p>
      <w:r>
        <w:t>Defense AI Studio delivered three major capability milestones this quarter: autonomous mission planning, real-time sensor fusion, and tactical edge deployment. The team completed integration testing on NVIDIA Jetson Orin platforms with latency under 50ms for object detection and classification tasks.</w:t>
      </w:r>
    </w:p>
    <w:p>
      <w:pPr>
        <w:pStyle w:val="Heading2"/>
      </w:pPr>
      <w:r>
        <w:t>Budget Summary</w:t>
      </w:r>
    </w:p>
    <w:p>
      <w:r>
        <w:t>Total portfolio value: $38M across 12 active contracts. Burn rate is tracking 3% under plan. Key risk: supply chain delays on GPU hardware affecting two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