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5161" w14:textId="77777777" w:rsidR="004D288F" w:rsidRDefault="004007BC">
      <w:pPr>
        <w:spacing w:after="1" w:line="239" w:lineRule="auto"/>
        <w:ind w:left="-5" w:right="-13"/>
        <w:jc w:val="both"/>
      </w:pPr>
      <w:bookmarkStart w:id="0" w:name="_GoBack"/>
      <w:bookmarkEnd w:id="0"/>
      <w:r>
        <w:t xml:space="preserve">At Arbor, we are using various screening methods to interrogate the functionality of large numbers of gene </w:t>
      </w:r>
      <w:r>
        <w:t>systems. As part of this process, our recent characterization of Cas13d involved characterizing the ability of this enzyme to truncate CRISPR pre-crRNAs to form crRNAs, which guide the enzyme to bind and cleave specific RNA targets. In the below problem, y</w:t>
      </w:r>
      <w:r>
        <w:t xml:space="preserve">ou will write a basic pipeline to process </w:t>
      </w:r>
      <w:proofErr w:type="spellStart"/>
      <w:r>
        <w:t>RNAseq</w:t>
      </w:r>
      <w:proofErr w:type="spellEnd"/>
      <w:r>
        <w:t xml:space="preserve"> data to evaluate the Cas13d crRNA processing.  </w:t>
      </w:r>
    </w:p>
    <w:p w14:paraId="7B85DDF0" w14:textId="77777777" w:rsidR="004D288F" w:rsidRDefault="004007BC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9A02903" w14:textId="77777777" w:rsidR="004D288F" w:rsidRDefault="004007BC">
      <w:pPr>
        <w:pStyle w:val="Heading1"/>
        <w:ind w:left="-5"/>
      </w:pPr>
      <w:r>
        <w:t>Download data</w:t>
      </w:r>
      <w:r>
        <w:rPr>
          <w:u w:val="none" w:color="000000"/>
        </w:rPr>
        <w:t xml:space="preserve"> </w:t>
      </w:r>
    </w:p>
    <w:p w14:paraId="7052366C" w14:textId="77777777" w:rsidR="004D288F" w:rsidRDefault="004007BC">
      <w:pPr>
        <w:spacing w:after="2" w:line="259" w:lineRule="auto"/>
        <w:ind w:left="-29" w:right="-26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5FB084A5" wp14:editId="11DD9319">
                <wp:extent cx="5980177" cy="161544"/>
                <wp:effectExtent l="0" t="0" r="0" b="0"/>
                <wp:docPr id="2625" name="Group 2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7" cy="161544"/>
                          <a:chOff x="0" y="0"/>
                          <a:chExt cx="5980177" cy="161544"/>
                        </a:xfrm>
                      </wpg:grpSpPr>
                      <wps:wsp>
                        <wps:cNvPr id="2981" name="Shape 2981"/>
                        <wps:cNvSpPr/>
                        <wps:spPr>
                          <a:xfrm>
                            <a:off x="0" y="0"/>
                            <a:ext cx="5980177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7" h="161544">
                                <a:moveTo>
                                  <a:pt x="0" y="0"/>
                                </a:moveTo>
                                <a:lnTo>
                                  <a:pt x="5980177" y="0"/>
                                </a:lnTo>
                                <a:lnTo>
                                  <a:pt x="5980177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8287" y="4138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B002F" w14:textId="77777777" w:rsidR="004D288F" w:rsidRDefault="004007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5" style="width:470.88pt;height:12.72pt;mso-position-horizontal-relative:char;mso-position-vertical-relative:line" coordsize="59801,1615">
                <v:shape id="Shape 2982" style="position:absolute;width:59801;height:1615;left:0;top:0;" coordsize="5980177,161544" path="m0,0l5980177,0l5980177,161544l0,161544l0,0">
                  <v:stroke weight="0pt" endcap="flat" joinstyle="miter" miterlimit="10" on="false" color="#000000" opacity="0"/>
                  <v:fill on="true" color="#ffffff"/>
                </v:shape>
                <v:rect id="Rectangle 45" style="position:absolute;width:518;height:2083;left:182;top: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FEC160" w14:textId="77777777" w:rsidR="004D288F" w:rsidRDefault="004007BC">
      <w:pPr>
        <w:ind w:left="355"/>
      </w:pPr>
      <w:r>
        <w:t xml:space="preserve">1. Download the following files from NCBI SRA:  </w:t>
      </w:r>
    </w:p>
    <w:p w14:paraId="744D4854" w14:textId="77777777" w:rsidR="004D288F" w:rsidRDefault="004007BC">
      <w:pPr>
        <w:numPr>
          <w:ilvl w:val="0"/>
          <w:numId w:val="1"/>
        </w:numPr>
        <w:ind w:right="86" w:hanging="360"/>
        <w:jc w:val="both"/>
      </w:pPr>
      <w:r>
        <w:t xml:space="preserve">download NCBI SRA Toolkit from: </w:t>
      </w:r>
    </w:p>
    <w:p w14:paraId="53DCB128" w14:textId="77777777" w:rsidR="004D288F" w:rsidRDefault="004007BC">
      <w:pPr>
        <w:spacing w:after="3" w:line="253" w:lineRule="auto"/>
        <w:ind w:left="1090"/>
      </w:pPr>
      <w:r>
        <w:rPr>
          <w:color w:val="0000FF"/>
          <w:u w:val="single" w:color="0000FF"/>
        </w:rPr>
        <w:t>https://trace.ncbi.nlm.nih.gov/Traces/sra/sra.cgi?view</w:t>
      </w:r>
      <w:r>
        <w:rPr>
          <w:color w:val="0000FF"/>
          <w:u w:val="single" w:color="0000FF"/>
        </w:rPr>
        <w:t>=software</w:t>
      </w:r>
      <w:r>
        <w:t xml:space="preserve"> </w:t>
      </w:r>
    </w:p>
    <w:p w14:paraId="54852213" w14:textId="77777777" w:rsidR="004D288F" w:rsidRDefault="004007BC">
      <w:pPr>
        <w:numPr>
          <w:ilvl w:val="0"/>
          <w:numId w:val="1"/>
        </w:numPr>
        <w:spacing w:after="32" w:line="244" w:lineRule="auto"/>
        <w:ind w:right="86" w:hanging="360"/>
        <w:jc w:val="both"/>
      </w:pPr>
      <w:r>
        <w:t xml:space="preserve">download paired end </w:t>
      </w:r>
      <w:proofErr w:type="spellStart"/>
      <w:r>
        <w:t>fastq</w:t>
      </w:r>
      <w:proofErr w:type="spellEnd"/>
      <w:r>
        <w:t xml:space="preserve"> </w:t>
      </w:r>
      <w:proofErr w:type="spellStart"/>
      <w:r>
        <w:t>RNAseq</w:t>
      </w:r>
      <w:proofErr w:type="spellEnd"/>
      <w:r>
        <w:t xml:space="preserve"> data for </w:t>
      </w:r>
      <w:r>
        <w:rPr>
          <w:color w:val="000000"/>
        </w:rPr>
        <w:t xml:space="preserve">SRR6800317 (2 Es and 2 </w:t>
      </w:r>
      <w:proofErr w:type="spellStart"/>
      <w:r>
        <w:rPr>
          <w:color w:val="000000"/>
        </w:rPr>
        <w:t>Rsp</w:t>
      </w:r>
      <w:proofErr w:type="spellEnd"/>
      <w:r>
        <w:rPr>
          <w:color w:val="000000"/>
        </w:rPr>
        <w:t xml:space="preserve"> CRISPR pre-crRNAs treated </w:t>
      </w:r>
      <w:proofErr w:type="spellStart"/>
      <w:r>
        <w:rPr>
          <w:color w:val="000000"/>
        </w:rPr>
        <w:t>inVitro</w:t>
      </w:r>
      <w:proofErr w:type="spellEnd"/>
      <w:r>
        <w:rPr>
          <w:color w:val="000000"/>
        </w:rPr>
        <w:t xml:space="preserve"> with Es or RspCas13d, </w:t>
      </w:r>
      <w:proofErr w:type="gramStart"/>
      <w:r>
        <w:rPr>
          <w:color w:val="000000"/>
        </w:rPr>
        <w:t xml:space="preserve">respectively)  </w:t>
      </w:r>
      <w:r>
        <w:t xml:space="preserve"> </w:t>
      </w:r>
      <w:proofErr w:type="gramEnd"/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fastq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-dump -I --split-files SRR6800317</w:t>
      </w:r>
      <w:r>
        <w:rPr>
          <w:rFonts w:ascii="Courier New" w:eastAsia="Courier New" w:hAnsi="Courier New" w:cs="Courier New"/>
          <w:sz w:val="20"/>
        </w:rPr>
        <w:t xml:space="preserve"> o</w:t>
      </w:r>
      <w:r>
        <w:rPr>
          <w:sz w:val="20"/>
        </w:rPr>
        <w:t xml:space="preserve"> </w:t>
      </w:r>
      <w:r>
        <w:rPr>
          <w:color w:val="000000"/>
          <w:sz w:val="20"/>
        </w:rPr>
        <w:t xml:space="preserve">Read 1: SRR6800317_1.fastq; Read 2: SRR6800317_2.fastq </w:t>
      </w:r>
      <w:r>
        <w:rPr>
          <w:sz w:val="20"/>
        </w:rPr>
        <w:t xml:space="preserve"> </w:t>
      </w:r>
    </w:p>
    <w:p w14:paraId="127904E1" w14:textId="77777777" w:rsidR="004D288F" w:rsidRDefault="004007BC">
      <w:pPr>
        <w:numPr>
          <w:ilvl w:val="0"/>
          <w:numId w:val="1"/>
        </w:numPr>
        <w:spacing w:after="0" w:line="244" w:lineRule="auto"/>
        <w:ind w:right="86" w:hanging="360"/>
        <w:jc w:val="both"/>
      </w:pPr>
      <w:r>
        <w:t>down</w:t>
      </w:r>
      <w:r>
        <w:t xml:space="preserve">load paired end </w:t>
      </w:r>
      <w:proofErr w:type="spellStart"/>
      <w:r>
        <w:t>fastq</w:t>
      </w:r>
      <w:proofErr w:type="spellEnd"/>
      <w:r>
        <w:t xml:space="preserve"> </w:t>
      </w:r>
      <w:proofErr w:type="spellStart"/>
      <w:r>
        <w:t>RNAseq</w:t>
      </w:r>
      <w:proofErr w:type="spellEnd"/>
      <w:r>
        <w:t xml:space="preserve"> data for </w:t>
      </w:r>
      <w:r>
        <w:rPr>
          <w:color w:val="000000"/>
        </w:rPr>
        <w:t xml:space="preserve">SRR6800318 (Es or </w:t>
      </w:r>
      <w:proofErr w:type="spellStart"/>
      <w:r>
        <w:rPr>
          <w:color w:val="000000"/>
        </w:rPr>
        <w:t>Rsp</w:t>
      </w:r>
      <w:proofErr w:type="spellEnd"/>
      <w:r>
        <w:rPr>
          <w:color w:val="000000"/>
        </w:rPr>
        <w:t xml:space="preserve"> CRISPR </w:t>
      </w:r>
      <w:proofErr w:type="spellStart"/>
      <w:r>
        <w:rPr>
          <w:color w:val="000000"/>
        </w:rPr>
        <w:t>precrRNAs</w:t>
      </w:r>
      <w:proofErr w:type="spellEnd"/>
      <w:r>
        <w:rPr>
          <w:color w:val="000000"/>
        </w:rPr>
        <w:t xml:space="preserve"> – no Cas13d treatment)  </w:t>
      </w:r>
      <w:r>
        <w:t xml:space="preserve"> </w:t>
      </w:r>
    </w:p>
    <w:p w14:paraId="47BCD446" w14:textId="77777777" w:rsidR="004D288F" w:rsidRDefault="004007BC">
      <w:pPr>
        <w:spacing w:after="0" w:line="259" w:lineRule="auto"/>
        <w:ind w:left="0" w:firstLine="0"/>
      </w:pPr>
      <w:r>
        <w:t xml:space="preserve"> </w:t>
      </w:r>
    </w:p>
    <w:p w14:paraId="32286589" w14:textId="77777777" w:rsidR="004D288F" w:rsidRDefault="004007BC">
      <w:pPr>
        <w:pStyle w:val="Heading1"/>
        <w:ind w:left="-5"/>
      </w:pPr>
      <w:r>
        <w:t xml:space="preserve">Format and align </w:t>
      </w:r>
      <w:proofErr w:type="spellStart"/>
      <w:r>
        <w:t>fastq</w:t>
      </w:r>
      <w:proofErr w:type="spellEnd"/>
      <w:r>
        <w:t xml:space="preserve"> data (python preferred)</w:t>
      </w:r>
      <w:r>
        <w:rPr>
          <w:u w:val="none" w:color="000000"/>
        </w:rPr>
        <w:t xml:space="preserve"> </w:t>
      </w:r>
    </w:p>
    <w:p w14:paraId="52CC0605" w14:textId="77777777" w:rsidR="004D288F" w:rsidRDefault="004007BC">
      <w:pPr>
        <w:spacing w:after="7" w:line="259" w:lineRule="auto"/>
        <w:ind w:left="-29" w:right="-26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7C60E1CC" wp14:editId="2BC34666">
                <wp:extent cx="5980177" cy="158496"/>
                <wp:effectExtent l="0" t="0" r="0" b="0"/>
                <wp:docPr id="2626" name="Group 2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7" cy="158496"/>
                          <a:chOff x="0" y="0"/>
                          <a:chExt cx="5980177" cy="158496"/>
                        </a:xfrm>
                      </wpg:grpSpPr>
                      <wps:wsp>
                        <wps:cNvPr id="2983" name="Shape 2983"/>
                        <wps:cNvSpPr/>
                        <wps:spPr>
                          <a:xfrm>
                            <a:off x="0" y="0"/>
                            <a:ext cx="5980177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7" h="158496">
                                <a:moveTo>
                                  <a:pt x="0" y="0"/>
                                </a:moveTo>
                                <a:lnTo>
                                  <a:pt x="5980177" y="0"/>
                                </a:lnTo>
                                <a:lnTo>
                                  <a:pt x="5980177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8287" y="1089"/>
                            <a:ext cx="51841" cy="208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EDBFC" w14:textId="77777777" w:rsidR="004D288F" w:rsidRDefault="004007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6" style="width:470.88pt;height:12.48pt;mso-position-horizontal-relative:char;mso-position-vertical-relative:line" coordsize="59801,1584">
                <v:shape id="Shape 2984" style="position:absolute;width:59801;height:1584;left:0;top:0;" coordsize="5980177,158496" path="m0,0l5980177,0l5980177,158496l0,158496l0,0">
                  <v:stroke weight="0pt" endcap="flat" joinstyle="miter" miterlimit="10" on="false" color="#000000" opacity="0"/>
                  <v:fill on="true" color="#ffffff"/>
                </v:shape>
                <v:rect id="Rectangle 129" style="position:absolute;width:518;height:2083;left:182;top: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80FD211" w14:textId="77777777" w:rsidR="004D288F" w:rsidRDefault="004007BC">
      <w:pPr>
        <w:numPr>
          <w:ilvl w:val="0"/>
          <w:numId w:val="2"/>
        </w:numPr>
        <w:ind w:hanging="360"/>
      </w:pPr>
      <w:r>
        <w:t xml:space="preserve">Use </w:t>
      </w:r>
      <w:proofErr w:type="spellStart"/>
      <w:r>
        <w:t>Biopython</w:t>
      </w:r>
      <w:proofErr w:type="spellEnd"/>
      <w:r>
        <w:t xml:space="preserve"> </w:t>
      </w:r>
      <w:proofErr w:type="spellStart"/>
      <w:r>
        <w:t>SeqIO.parse</w:t>
      </w:r>
      <w:proofErr w:type="spellEnd"/>
      <w:r>
        <w:t xml:space="preserve"> (format = '</w:t>
      </w:r>
      <w:proofErr w:type="spellStart"/>
      <w:r>
        <w:t>fastq</w:t>
      </w:r>
      <w:proofErr w:type="spellEnd"/>
      <w:r>
        <w:t xml:space="preserve">') to read the records from each pair of </w:t>
      </w:r>
      <w:proofErr w:type="spellStart"/>
      <w:r>
        <w:t>fastq</w:t>
      </w:r>
      <w:proofErr w:type="spellEnd"/>
      <w:r>
        <w:t xml:space="preserve"> files, and check that read1 (R1) and read2 (R2) files are sorted correctly (sequence names should match for the read pair at each index in R1 and R2 files.  </w:t>
      </w:r>
    </w:p>
    <w:p w14:paraId="11FAD7BB" w14:textId="77777777" w:rsidR="004D288F" w:rsidRDefault="004007BC">
      <w:pPr>
        <w:spacing w:after="0" w:line="259" w:lineRule="auto"/>
        <w:ind w:left="360" w:firstLine="0"/>
      </w:pPr>
      <w:r>
        <w:t xml:space="preserve"> </w:t>
      </w:r>
    </w:p>
    <w:p w14:paraId="5F32D6A8" w14:textId="77777777" w:rsidR="004D288F" w:rsidRDefault="004007BC">
      <w:pPr>
        <w:ind w:left="355"/>
      </w:pPr>
      <w:r>
        <w:t>Note: N</w:t>
      </w:r>
      <w:r>
        <w:t xml:space="preserve">ormally R1 and R2 reads have the same name in Illumina </w:t>
      </w:r>
      <w:proofErr w:type="spellStart"/>
      <w:r>
        <w:t>fastq</w:t>
      </w:r>
      <w:proofErr w:type="spellEnd"/>
      <w:r>
        <w:t xml:space="preserve"> files, allowing direct matching. </w:t>
      </w:r>
      <w:proofErr w:type="gramStart"/>
      <w:r>
        <w:t>However</w:t>
      </w:r>
      <w:proofErr w:type="gramEnd"/>
      <w:r>
        <w:t xml:space="preserve"> NCBI SRA renames reads in submitted </w:t>
      </w:r>
      <w:proofErr w:type="spellStart"/>
      <w:r>
        <w:t>fastq</w:t>
      </w:r>
      <w:proofErr w:type="spellEnd"/>
      <w:r>
        <w:t xml:space="preserve"> files, so matching must be done using only a substring within the R1 and R2 read names (highlighted in blue belo</w:t>
      </w:r>
      <w:r>
        <w:t xml:space="preserve">w). </w:t>
      </w:r>
    </w:p>
    <w:p w14:paraId="3C61CDF0" w14:textId="77777777" w:rsidR="004D288F" w:rsidRDefault="004007BC">
      <w:pPr>
        <w:spacing w:after="0" w:line="259" w:lineRule="auto"/>
        <w:ind w:left="0" w:firstLine="0"/>
      </w:pPr>
      <w:r>
        <w:t xml:space="preserve"> </w:t>
      </w:r>
    </w:p>
    <w:p w14:paraId="0F26410A" w14:textId="77777777" w:rsidR="004D288F" w:rsidRDefault="004007BC">
      <w:pPr>
        <w:spacing w:after="0" w:line="259" w:lineRule="auto"/>
        <w:ind w:left="360" w:firstLine="0"/>
      </w:pPr>
      <w:r>
        <w:rPr>
          <w:b/>
        </w:rPr>
        <w:t xml:space="preserve">Example R1 </w:t>
      </w:r>
      <w:proofErr w:type="spellStart"/>
      <w:r>
        <w:rPr>
          <w:b/>
        </w:rPr>
        <w:t>fastq</w:t>
      </w:r>
      <w:proofErr w:type="spellEnd"/>
      <w:r>
        <w:rPr>
          <w:b/>
        </w:rPr>
        <w:t xml:space="preserve"> read </w:t>
      </w:r>
      <w:r>
        <w:t xml:space="preserve"> </w:t>
      </w:r>
    </w:p>
    <w:p w14:paraId="4999CFBC" w14:textId="77777777" w:rsidR="004D288F" w:rsidRDefault="004007BC">
      <w:pPr>
        <w:spacing w:after="0" w:line="259" w:lineRule="auto"/>
        <w:ind w:left="355"/>
      </w:pPr>
      <w:r>
        <w:rPr>
          <w:rFonts w:ascii="Courier New" w:eastAsia="Courier New" w:hAnsi="Courier New" w:cs="Courier New"/>
          <w:sz w:val="18"/>
          <w:shd w:val="clear" w:color="auto" w:fill="CFE2F3"/>
        </w:rPr>
        <w:t>@SRR6800317.1</w:t>
      </w:r>
      <w:r>
        <w:rPr>
          <w:rFonts w:ascii="Courier New" w:eastAsia="Courier New" w:hAnsi="Courier New" w:cs="Courier New"/>
          <w:sz w:val="18"/>
        </w:rPr>
        <w:t xml:space="preserve">.1 1 length=75 </w:t>
      </w:r>
    </w:p>
    <w:p w14:paraId="2CC3347E" w14:textId="77777777" w:rsidR="004D288F" w:rsidRDefault="004007BC">
      <w:pPr>
        <w:spacing w:after="0" w:line="259" w:lineRule="auto"/>
        <w:ind w:left="355"/>
      </w:pPr>
      <w:r>
        <w:rPr>
          <w:rFonts w:ascii="Courier New" w:eastAsia="Courier New" w:hAnsi="Courier New" w:cs="Courier New"/>
          <w:sz w:val="18"/>
        </w:rPr>
        <w:t xml:space="preserve">CAACTNACTGAAATGCGAACTACACCCGTGCAAAATTGCAGGGGTCTAAATCAGATCGGAAGAGCACACGTCTGA </w:t>
      </w:r>
    </w:p>
    <w:p w14:paraId="57C18D67" w14:textId="77777777" w:rsidR="004D288F" w:rsidRDefault="004007BC">
      <w:pPr>
        <w:spacing w:after="0" w:line="259" w:lineRule="auto"/>
        <w:ind w:left="355"/>
      </w:pPr>
      <w:r>
        <w:rPr>
          <w:rFonts w:ascii="Courier New" w:eastAsia="Courier New" w:hAnsi="Courier New" w:cs="Courier New"/>
          <w:sz w:val="18"/>
        </w:rPr>
        <w:t xml:space="preserve">+SRR6800317.1.1 1 length=75 </w:t>
      </w:r>
    </w:p>
    <w:p w14:paraId="375A9B22" w14:textId="77777777" w:rsidR="004D288F" w:rsidRDefault="004007BC">
      <w:pPr>
        <w:spacing w:after="0" w:line="259" w:lineRule="auto"/>
        <w:ind w:left="355"/>
      </w:pPr>
      <w:r>
        <w:rPr>
          <w:rFonts w:ascii="Courier New" w:eastAsia="Courier New" w:hAnsi="Courier New" w:cs="Courier New"/>
          <w:sz w:val="18"/>
        </w:rPr>
        <w:t xml:space="preserve">AAAAA#EEEE/&lt;EEEEAEEE&lt;AEEAEEEEEEEEEEEEEEAEEEEEEEEEEEEEEEAAEAEEAAEEAEEEE/EEEE </w:t>
      </w:r>
    </w:p>
    <w:p w14:paraId="29FE44B7" w14:textId="77777777" w:rsidR="004D288F" w:rsidRDefault="004007BC">
      <w:pPr>
        <w:spacing w:after="0" w:line="259" w:lineRule="auto"/>
        <w:ind w:left="0" w:firstLine="0"/>
      </w:pPr>
      <w:r>
        <w:t xml:space="preserve"> </w:t>
      </w:r>
    </w:p>
    <w:p w14:paraId="1A9EE066" w14:textId="77777777" w:rsidR="004D288F" w:rsidRDefault="004007BC">
      <w:pPr>
        <w:numPr>
          <w:ilvl w:val="0"/>
          <w:numId w:val="2"/>
        </w:numPr>
        <w:ind w:hanging="360"/>
      </w:pPr>
      <w:r>
        <w:t xml:space="preserve">Trim R1 and R2 reads to the first 30bp (the start/end of the original RNA molecule). </w:t>
      </w:r>
    </w:p>
    <w:p w14:paraId="5C135A35" w14:textId="77777777" w:rsidR="004D288F" w:rsidRDefault="004007BC">
      <w:pPr>
        <w:spacing w:after="0" w:line="259" w:lineRule="auto"/>
        <w:ind w:left="0" w:firstLine="0"/>
      </w:pPr>
      <w:r>
        <w:t xml:space="preserve"> </w:t>
      </w:r>
    </w:p>
    <w:p w14:paraId="6D788316" w14:textId="77777777" w:rsidR="004D288F" w:rsidRDefault="004007BC">
      <w:pPr>
        <w:ind w:left="355"/>
      </w:pPr>
      <w:r>
        <w:t xml:space="preserve">Note: 30bp is long enough providing high mapping fidelity while minimizing failed mappings due to accumulated sequence errors introduced by library prep or sequencing in long reads. </w:t>
      </w:r>
    </w:p>
    <w:p w14:paraId="4349C90B" w14:textId="77777777" w:rsidR="004D288F" w:rsidRDefault="004007BC">
      <w:pPr>
        <w:spacing w:after="0" w:line="259" w:lineRule="auto"/>
        <w:ind w:left="0" w:firstLine="0"/>
      </w:pPr>
      <w:r>
        <w:t xml:space="preserve"> </w:t>
      </w:r>
    </w:p>
    <w:p w14:paraId="00B29420" w14:textId="77777777" w:rsidR="004D288F" w:rsidRDefault="004007BC">
      <w:pPr>
        <w:numPr>
          <w:ilvl w:val="0"/>
          <w:numId w:val="2"/>
        </w:numPr>
        <w:ind w:hanging="360"/>
      </w:pPr>
      <w:r>
        <w:t xml:space="preserve">Discard all 30-mer reads with average Illumina </w:t>
      </w:r>
      <w:proofErr w:type="spellStart"/>
      <w:r>
        <w:t>Phred</w:t>
      </w:r>
      <w:proofErr w:type="spellEnd"/>
      <w:r>
        <w:t xml:space="preserve"> quality scores les</w:t>
      </w:r>
      <w:r>
        <w:t xml:space="preserve">s than 30. Write truncated reads to new R1 and R2 </w:t>
      </w:r>
      <w:proofErr w:type="spellStart"/>
      <w:r>
        <w:t>fastq</w:t>
      </w:r>
      <w:proofErr w:type="spellEnd"/>
      <w:r>
        <w:t xml:space="preserve"> files.   </w:t>
      </w:r>
    </w:p>
    <w:p w14:paraId="5DE93D08" w14:textId="77777777" w:rsidR="004D288F" w:rsidRDefault="004007BC">
      <w:pPr>
        <w:spacing w:after="0" w:line="259" w:lineRule="auto"/>
        <w:ind w:left="0" w:firstLine="0"/>
      </w:pPr>
      <w:r>
        <w:t xml:space="preserve"> </w:t>
      </w:r>
    </w:p>
    <w:p w14:paraId="57D73898" w14:textId="77777777" w:rsidR="004D288F" w:rsidRDefault="004007BC">
      <w:pPr>
        <w:numPr>
          <w:ilvl w:val="0"/>
          <w:numId w:val="2"/>
        </w:numPr>
        <w:ind w:hanging="360"/>
      </w:pPr>
      <w:r>
        <w:t>Build a bowtie2 index for the file ‘pre-</w:t>
      </w:r>
      <w:proofErr w:type="spellStart"/>
      <w:r>
        <w:t>crRNA_</w:t>
      </w:r>
      <w:proofErr w:type="gramStart"/>
      <w:r>
        <w:t>reference.fa</w:t>
      </w:r>
      <w:proofErr w:type="spellEnd"/>
      <w:proofErr w:type="gramEnd"/>
      <w:r>
        <w:t xml:space="preserve">’ using default parameters. </w:t>
      </w:r>
    </w:p>
    <w:p w14:paraId="76A2F89B" w14:textId="77777777" w:rsidR="004D288F" w:rsidRDefault="004007BC">
      <w:pPr>
        <w:spacing w:after="3" w:line="253" w:lineRule="auto"/>
        <w:ind w:left="1065" w:hanging="360"/>
      </w:pPr>
      <w:r>
        <w:t xml:space="preserve">- </w:t>
      </w:r>
      <w:r>
        <w:tab/>
        <w:t xml:space="preserve">for documentation on bowtie2, visit: </w:t>
      </w:r>
      <w:r>
        <w:rPr>
          <w:color w:val="0000FF"/>
          <w:u w:val="single" w:color="0000FF"/>
        </w:rPr>
        <w:t>http://bowtiebio.sourceforge.net/bowtie2/manual.shtml</w:t>
      </w:r>
      <w:r>
        <w:t xml:space="preserve"> </w:t>
      </w:r>
    </w:p>
    <w:p w14:paraId="652846E5" w14:textId="77777777" w:rsidR="004D288F" w:rsidRDefault="004007BC">
      <w:pPr>
        <w:spacing w:after="0" w:line="259" w:lineRule="auto"/>
        <w:ind w:left="0" w:firstLine="0"/>
      </w:pPr>
      <w:r>
        <w:t xml:space="preserve"> </w:t>
      </w:r>
    </w:p>
    <w:p w14:paraId="5534B14E" w14:textId="77777777" w:rsidR="004D288F" w:rsidRDefault="004007BC">
      <w:pPr>
        <w:numPr>
          <w:ilvl w:val="0"/>
          <w:numId w:val="2"/>
        </w:numPr>
        <w:ind w:hanging="360"/>
      </w:pPr>
      <w:r>
        <w:t>Alig</w:t>
      </w:r>
      <w:r>
        <w:t xml:space="preserve">n each pair of truncated </w:t>
      </w:r>
      <w:proofErr w:type="spellStart"/>
      <w:r>
        <w:t>fastq</w:t>
      </w:r>
      <w:proofErr w:type="spellEnd"/>
      <w:r>
        <w:t xml:space="preserve"> files to ‘pre-</w:t>
      </w:r>
      <w:proofErr w:type="spellStart"/>
      <w:r>
        <w:t>crRNA_</w:t>
      </w:r>
      <w:proofErr w:type="gramStart"/>
      <w:r>
        <w:t>reference.fa</w:t>
      </w:r>
      <w:proofErr w:type="spellEnd"/>
      <w:proofErr w:type="gramEnd"/>
      <w:r>
        <w:t xml:space="preserve">’ index using bowtie2.  - </w:t>
      </w:r>
      <w:r>
        <w:tab/>
        <w:t xml:space="preserve">Contains 2 Es and 2 </w:t>
      </w:r>
      <w:proofErr w:type="spellStart"/>
      <w:r>
        <w:t>Rsp</w:t>
      </w:r>
      <w:proofErr w:type="spellEnd"/>
      <w:r>
        <w:t xml:space="preserve"> CRISPR pre-crRNA reference sequences </w:t>
      </w:r>
    </w:p>
    <w:p w14:paraId="6182EFAD" w14:textId="77777777" w:rsidR="004D288F" w:rsidRDefault="004007BC">
      <w:pPr>
        <w:spacing w:after="0" w:line="259" w:lineRule="auto"/>
        <w:ind w:left="0" w:firstLine="0"/>
      </w:pPr>
      <w:r>
        <w:t xml:space="preserve"> </w:t>
      </w:r>
    </w:p>
    <w:p w14:paraId="7731A0BA" w14:textId="77777777" w:rsidR="004D288F" w:rsidRDefault="004007BC">
      <w:pPr>
        <w:pStyle w:val="Heading1"/>
        <w:ind w:left="-5"/>
      </w:pPr>
      <w:r>
        <w:lastRenderedPageBreak/>
        <w:t xml:space="preserve">Analyze </w:t>
      </w:r>
      <w:proofErr w:type="spellStart"/>
      <w:r>
        <w:t>RNAseq</w:t>
      </w:r>
      <w:proofErr w:type="spellEnd"/>
      <w:r>
        <w:t xml:space="preserve"> alignments (python preferred)</w:t>
      </w:r>
      <w:r>
        <w:rPr>
          <w:b w:val="0"/>
          <w:u w:val="none" w:color="000000"/>
        </w:rPr>
        <w:t xml:space="preserve"> </w:t>
      </w:r>
    </w:p>
    <w:p w14:paraId="45EFFA74" w14:textId="77777777" w:rsidR="004D288F" w:rsidRDefault="004007BC">
      <w:pPr>
        <w:spacing w:after="7" w:line="259" w:lineRule="auto"/>
        <w:ind w:left="-29" w:right="-26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7D70711F" wp14:editId="5DB0A9B2">
                <wp:extent cx="5980177" cy="158496"/>
                <wp:effectExtent l="0" t="0" r="0" b="0"/>
                <wp:docPr id="2627" name="Group 2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7" cy="158496"/>
                          <a:chOff x="0" y="0"/>
                          <a:chExt cx="5980177" cy="158496"/>
                        </a:xfrm>
                      </wpg:grpSpPr>
                      <wps:wsp>
                        <wps:cNvPr id="2985" name="Shape 2985"/>
                        <wps:cNvSpPr/>
                        <wps:spPr>
                          <a:xfrm>
                            <a:off x="0" y="0"/>
                            <a:ext cx="5980177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7" h="158496">
                                <a:moveTo>
                                  <a:pt x="0" y="0"/>
                                </a:moveTo>
                                <a:lnTo>
                                  <a:pt x="5980177" y="0"/>
                                </a:lnTo>
                                <a:lnTo>
                                  <a:pt x="5980177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8287" y="1088"/>
                            <a:ext cx="51841" cy="208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A8BBA" w14:textId="77777777" w:rsidR="004D288F" w:rsidRDefault="004007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7" style="width:470.88pt;height:12.48pt;mso-position-horizontal-relative:char;mso-position-vertical-relative:line" coordsize="59801,1584">
                <v:shape id="Shape 2986" style="position:absolute;width:59801;height:1584;left:0;top:0;" coordsize="5980177,158496" path="m0,0l5980177,0l5980177,158496l0,158496l0,0">
                  <v:stroke weight="0pt" endcap="flat" joinstyle="miter" miterlimit="10" on="false" color="#000000" opacity="0"/>
                  <v:fill on="true" color="#ffffff"/>
                </v:shape>
                <v:rect id="Rectangle 295" style="position:absolute;width:518;height:2083;left:182;top: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26809C9" w14:textId="77777777" w:rsidR="004D288F" w:rsidRDefault="004007BC">
      <w:pPr>
        <w:numPr>
          <w:ilvl w:val="0"/>
          <w:numId w:val="3"/>
        </w:numPr>
        <w:ind w:hanging="360"/>
      </w:pPr>
      <w:r>
        <w:t xml:space="preserve">Install </w:t>
      </w:r>
      <w:proofErr w:type="spellStart"/>
      <w:r>
        <w:t>samtools</w:t>
      </w:r>
      <w:proofErr w:type="spellEnd"/>
      <w:r>
        <w:t xml:space="preserve"> python package </w:t>
      </w:r>
    </w:p>
    <w:p w14:paraId="0C4C2F1A" w14:textId="77777777" w:rsidR="004D288F" w:rsidRDefault="004007BC">
      <w:pPr>
        <w:numPr>
          <w:ilvl w:val="1"/>
          <w:numId w:val="3"/>
        </w:numPr>
        <w:ind w:hanging="360"/>
      </w:pPr>
      <w:r>
        <w:t xml:space="preserve">pip install </w:t>
      </w:r>
      <w:proofErr w:type="spellStart"/>
      <w:r>
        <w:t>pysam</w:t>
      </w:r>
      <w:proofErr w:type="spellEnd"/>
      <w:r>
        <w:t xml:space="preserve"> </w:t>
      </w:r>
    </w:p>
    <w:p w14:paraId="61B7AC12" w14:textId="77777777" w:rsidR="004D288F" w:rsidRDefault="004007BC">
      <w:pPr>
        <w:numPr>
          <w:ilvl w:val="1"/>
          <w:numId w:val="3"/>
        </w:numPr>
        <w:spacing w:after="3" w:line="253" w:lineRule="auto"/>
        <w:ind w:hanging="360"/>
      </w:pPr>
      <w:r>
        <w:t xml:space="preserve">Documentation: </w:t>
      </w:r>
      <w:r>
        <w:rPr>
          <w:color w:val="0000FF"/>
          <w:u w:val="single" w:color="0000FF"/>
        </w:rPr>
        <w:t>https://media.readthedocs.org/pdf/pysam/latest/pysam.pdf</w:t>
      </w:r>
      <w:r>
        <w:t xml:space="preserve"> </w:t>
      </w:r>
    </w:p>
    <w:p w14:paraId="5E510E25" w14:textId="77777777" w:rsidR="004D288F" w:rsidRDefault="004007BC">
      <w:pPr>
        <w:spacing w:after="0" w:line="259" w:lineRule="auto"/>
        <w:ind w:left="0" w:firstLine="0"/>
      </w:pPr>
      <w:r>
        <w:t xml:space="preserve"> </w:t>
      </w:r>
    </w:p>
    <w:p w14:paraId="669898F3" w14:textId="77777777" w:rsidR="004D288F" w:rsidRDefault="004007BC">
      <w:pPr>
        <w:numPr>
          <w:ilvl w:val="0"/>
          <w:numId w:val="3"/>
        </w:numPr>
        <w:ind w:hanging="360"/>
      </w:pPr>
      <w:r>
        <w:t xml:space="preserve">Read alignment </w:t>
      </w:r>
      <w:proofErr w:type="spellStart"/>
      <w:r>
        <w:t>sam</w:t>
      </w:r>
      <w:proofErr w:type="spellEnd"/>
      <w:r>
        <w:t xml:space="preserve"> file using ‘</w:t>
      </w:r>
      <w:proofErr w:type="spellStart"/>
      <w:proofErr w:type="gramStart"/>
      <w:r>
        <w:t>pysam.AlignmentFile</w:t>
      </w:r>
      <w:proofErr w:type="spellEnd"/>
      <w:proofErr w:type="gramEnd"/>
      <w:r>
        <w:t xml:space="preserve">’, and for each read pair in the </w:t>
      </w:r>
      <w:proofErr w:type="spellStart"/>
      <w:r>
        <w:t>sam</w:t>
      </w:r>
      <w:proofErr w:type="spellEnd"/>
      <w:r>
        <w:t xml:space="preserve"> file, </w:t>
      </w:r>
      <w:r>
        <w:t xml:space="preserve">determine the following the R1 and R2 reads both align to a single reference. </w:t>
      </w:r>
    </w:p>
    <w:p w14:paraId="0730979E" w14:textId="77777777" w:rsidR="004D288F" w:rsidRDefault="004007BC">
      <w:pPr>
        <w:spacing w:after="0" w:line="259" w:lineRule="auto"/>
        <w:ind w:left="0" w:firstLine="0"/>
      </w:pPr>
      <w:r>
        <w:t xml:space="preserve"> </w:t>
      </w:r>
    </w:p>
    <w:p w14:paraId="6E354D1B" w14:textId="77777777" w:rsidR="004D288F" w:rsidRDefault="004007BC">
      <w:pPr>
        <w:numPr>
          <w:ilvl w:val="0"/>
          <w:numId w:val="3"/>
        </w:numPr>
        <w:ind w:hanging="360"/>
      </w:pPr>
      <w:r>
        <w:t xml:space="preserve">For instances where both R1 and R2 are aligned, determine: </w:t>
      </w:r>
    </w:p>
    <w:p w14:paraId="0DDBF44E" w14:textId="77777777" w:rsidR="004D288F" w:rsidRDefault="004007BC">
      <w:pPr>
        <w:numPr>
          <w:ilvl w:val="1"/>
          <w:numId w:val="3"/>
        </w:numPr>
        <w:ind w:hanging="360"/>
      </w:pPr>
      <w:r>
        <w:t xml:space="preserve">Determine the start, end, and orientation of the R1 and R2 reads on the reference. - </w:t>
      </w:r>
      <w:r>
        <w:tab/>
        <w:t>Reconstruct the sequence of t</w:t>
      </w:r>
      <w:r>
        <w:t xml:space="preserve">he original RNA molecule given the reference. </w:t>
      </w:r>
    </w:p>
    <w:p w14:paraId="4A38129A" w14:textId="77777777" w:rsidR="004D288F" w:rsidRDefault="004007BC">
      <w:pPr>
        <w:spacing w:after="0" w:line="259" w:lineRule="auto"/>
        <w:ind w:left="0" w:firstLine="0"/>
      </w:pPr>
      <w:r>
        <w:t xml:space="preserve"> </w:t>
      </w:r>
    </w:p>
    <w:p w14:paraId="642E759C" w14:textId="77777777" w:rsidR="004D288F" w:rsidRDefault="004007BC">
      <w:pPr>
        <w:numPr>
          <w:ilvl w:val="0"/>
          <w:numId w:val="3"/>
        </w:numPr>
        <w:ind w:hanging="360"/>
      </w:pPr>
      <w:r>
        <w:t xml:space="preserve">Calculate a frequency distribution of different truncated Es and </w:t>
      </w:r>
      <w:proofErr w:type="spellStart"/>
      <w:r>
        <w:t>Rsp</w:t>
      </w:r>
      <w:proofErr w:type="spellEnd"/>
      <w:r>
        <w:t xml:space="preserve"> pre-crRNAs reconstructed in step </w:t>
      </w:r>
      <w:proofErr w:type="gramStart"/>
      <w:r>
        <w:t>7, and</w:t>
      </w:r>
      <w:proofErr w:type="gramEnd"/>
      <w:r>
        <w:t xml:space="preserve"> determine truncated sequences for each pre-crRNA that are highly enriched in samples treated with </w:t>
      </w:r>
      <w:r>
        <w:t xml:space="preserve">Cas13d vs. those with no Cas13d treatment. </w:t>
      </w:r>
    </w:p>
    <w:p w14:paraId="6562CF71" w14:textId="77777777" w:rsidR="004D288F" w:rsidRDefault="004007BC">
      <w:pPr>
        <w:spacing w:after="0" w:line="259" w:lineRule="auto"/>
        <w:ind w:left="0" w:firstLine="0"/>
      </w:pPr>
      <w:r>
        <w:t xml:space="preserve"> </w:t>
      </w:r>
    </w:p>
    <w:p w14:paraId="1ABCFFDD" w14:textId="77777777" w:rsidR="004D288F" w:rsidRDefault="004007BC">
      <w:pPr>
        <w:spacing w:after="1" w:line="239" w:lineRule="auto"/>
        <w:ind w:left="-5" w:right="-13"/>
        <w:jc w:val="both"/>
      </w:pPr>
      <w:r>
        <w:t>Does the data suggest that Cas13d is manipulating the pre-crRNA reference sequences, and if so, what are some of the most prevalent truncated forms (possible crRNAs)? While the scope of this problem is small (4</w:t>
      </w:r>
      <w:r>
        <w:t xml:space="preserve"> arrays treated with/without 2 genes), in practice, what are some ways of scaling this analysis for 100s or 1000s of gene-crRNA combinations? </w:t>
      </w:r>
    </w:p>
    <w:sectPr w:rsidR="004D288F">
      <w:pgSz w:w="12240" w:h="15840"/>
      <w:pgMar w:top="1466" w:right="1418" w:bottom="1480" w:left="14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B02F0"/>
    <w:multiLevelType w:val="hybridMultilevel"/>
    <w:tmpl w:val="CE46EBB2"/>
    <w:lvl w:ilvl="0" w:tplc="A778525A">
      <w:start w:val="2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08EF1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B4C2E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6023E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8EB7F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96F5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E4DEA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E4894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CCE8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C3FCB"/>
    <w:multiLevelType w:val="hybridMultilevel"/>
    <w:tmpl w:val="085E6E6A"/>
    <w:lvl w:ilvl="0" w:tplc="4E5C9A12">
      <w:start w:val="1"/>
      <w:numFmt w:val="bullet"/>
      <w:lvlText w:val="-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36D63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56AD9C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C4E3B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885ADE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1044D6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CE3FC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EEBFAC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62A5C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B155FA"/>
    <w:multiLevelType w:val="hybridMultilevel"/>
    <w:tmpl w:val="4128F7EE"/>
    <w:lvl w:ilvl="0" w:tplc="2BCA73CE">
      <w:start w:val="7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CEC99E">
      <w:start w:val="1"/>
      <w:numFmt w:val="bullet"/>
      <w:lvlText w:val="-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1231F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701C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4C7C3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804C1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08EC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B4F54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46766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88F"/>
    <w:rsid w:val="004007BC"/>
    <w:rsid w:val="004D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BBA8"/>
  <w15:docId w15:val="{EC2CE09F-EC2B-4964-8E46-19FF0349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2121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212121"/>
      <w:u w:val="single" w:color="2121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12121"/>
      <w:sz w:val="22"/>
      <w:u w:val="single" w:color="2121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Arbor_Comp_Bio_Exercise-1_v2.docx</vt:lpstr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Arbor_Comp_Bio_Exercise-1_v2.docx</dc:title>
  <dc:subject/>
  <dc:creator>Brian Palmer</dc:creator>
  <cp:keywords/>
  <cp:lastModifiedBy>Brian Palmer</cp:lastModifiedBy>
  <cp:revision>2</cp:revision>
  <dcterms:created xsi:type="dcterms:W3CDTF">2018-12-11T17:51:00Z</dcterms:created>
  <dcterms:modified xsi:type="dcterms:W3CDTF">2018-12-11T17:51:00Z</dcterms:modified>
</cp:coreProperties>
</file>