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C3F7" w14:textId="77777777" w:rsidR="00D14598" w:rsidRPr="00D21F79" w:rsidRDefault="00D14598" w:rsidP="00D21F79">
      <w:pPr>
        <w:spacing w:before="1440"/>
        <w:jc w:val="center"/>
        <w:rPr>
          <w:rFonts w:ascii="Times New Roman" w:hAnsi="Times New Roman" w:cs="Times New Roman"/>
          <w:sz w:val="36"/>
          <w:szCs w:val="36"/>
        </w:rPr>
      </w:pPr>
    </w:p>
    <w:p w14:paraId="7AB5A009" w14:textId="77777777" w:rsidR="00D14598" w:rsidRPr="00D21F79" w:rsidRDefault="00000000" w:rsidP="00D21F79">
      <w:pPr>
        <w:spacing w:after="400"/>
        <w:jc w:val="center"/>
        <w:rPr>
          <w:rFonts w:ascii="Times New Roman" w:hAnsi="Times New Roman" w:cs="Times New Roman"/>
          <w:sz w:val="36"/>
          <w:szCs w:val="36"/>
        </w:rPr>
      </w:pPr>
      <w:r w:rsidRPr="00D21F79">
        <w:rPr>
          <w:rFonts w:ascii="Times New Roman" w:hAnsi="Times New Roman" w:cs="Times New Roman"/>
          <w:b/>
          <w:bCs/>
          <w:color w:val="1F3864"/>
          <w:sz w:val="36"/>
          <w:szCs w:val="36"/>
        </w:rPr>
        <w:t>Evaluating Alert Fatigue in Clinical Decision Support Systems</w:t>
      </w:r>
    </w:p>
    <w:p w14:paraId="24C97A26" w14:textId="77777777" w:rsidR="00D14598" w:rsidRPr="00D21F79" w:rsidRDefault="00D14598" w:rsidP="00D21F79">
      <w:pPr>
        <w:pBdr>
          <w:bottom w:val="single" w:sz="6" w:space="1" w:color="2E75B6"/>
        </w:pBdr>
        <w:spacing w:before="200" w:after="200"/>
        <w:jc w:val="center"/>
        <w:rPr>
          <w:rFonts w:ascii="Times New Roman" w:hAnsi="Times New Roman" w:cs="Times New Roman"/>
        </w:rPr>
      </w:pPr>
    </w:p>
    <w:p w14:paraId="605FC777" w14:textId="77777777" w:rsidR="00D14598" w:rsidRPr="00D21F79" w:rsidRDefault="00000000" w:rsidP="00D21F79">
      <w:pPr>
        <w:spacing w:before="200" w:after="200"/>
        <w:jc w:val="center"/>
        <w:rPr>
          <w:rFonts w:ascii="Times New Roman" w:hAnsi="Times New Roman" w:cs="Times New Roman"/>
        </w:rPr>
      </w:pPr>
      <w:r w:rsidRPr="00D21F79">
        <w:rPr>
          <w:rFonts w:ascii="Times New Roman" w:hAnsi="Times New Roman" w:cs="Times New Roman"/>
          <w:i/>
          <w:iCs/>
          <w:color w:val="555555"/>
        </w:rPr>
        <w:t>DAAN 784 — Final Project Report</w:t>
      </w:r>
    </w:p>
    <w:p w14:paraId="5573FAE5" w14:textId="0830A9EF" w:rsidR="00D14598" w:rsidRPr="00D21F79" w:rsidRDefault="004041B8" w:rsidP="00D21F79">
      <w:pPr>
        <w:spacing w:before="200" w:after="120"/>
        <w:jc w:val="center"/>
        <w:rPr>
          <w:rFonts w:ascii="Times New Roman" w:hAnsi="Times New Roman" w:cs="Times New Roman"/>
        </w:rPr>
      </w:pPr>
      <w:r w:rsidRPr="00D21F79">
        <w:rPr>
          <w:rFonts w:ascii="Times New Roman" w:hAnsi="Times New Roman" w:cs="Times New Roman"/>
          <w:color w:val="000000"/>
        </w:rPr>
        <w:t>Brianna D. Jackson</w:t>
      </w:r>
    </w:p>
    <w:p w14:paraId="5D6CF4C9" w14:textId="4DF3FCA2" w:rsidR="00D14598" w:rsidRPr="00D21F79" w:rsidRDefault="004041B8" w:rsidP="00D21F79">
      <w:pPr>
        <w:spacing w:after="120"/>
        <w:jc w:val="center"/>
        <w:rPr>
          <w:rFonts w:ascii="Times New Roman" w:hAnsi="Times New Roman" w:cs="Times New Roman"/>
        </w:rPr>
      </w:pPr>
      <w:r w:rsidRPr="00D21F79">
        <w:rPr>
          <w:rFonts w:ascii="Times New Roman" w:hAnsi="Times New Roman" w:cs="Times New Roman"/>
          <w:color w:val="555555"/>
        </w:rPr>
        <w:t>North Carolina Agricultural and Technical State University</w:t>
      </w:r>
    </w:p>
    <w:p w14:paraId="37F7BBCE" w14:textId="593DF489" w:rsidR="00D14598" w:rsidRPr="00D21F79" w:rsidRDefault="004041B8" w:rsidP="00D21F79">
      <w:pPr>
        <w:spacing w:after="120"/>
        <w:jc w:val="center"/>
        <w:rPr>
          <w:rFonts w:ascii="Times New Roman" w:hAnsi="Times New Roman" w:cs="Times New Roman"/>
        </w:rPr>
      </w:pPr>
      <w:r w:rsidRPr="00D21F79">
        <w:rPr>
          <w:rFonts w:ascii="Times New Roman" w:hAnsi="Times New Roman" w:cs="Times New Roman"/>
          <w:color w:val="555555"/>
        </w:rPr>
        <w:t xml:space="preserve">Dr. </w:t>
      </w:r>
      <w:proofErr w:type="spellStart"/>
      <w:r w:rsidRPr="00D21F79">
        <w:rPr>
          <w:rFonts w:ascii="Times New Roman" w:hAnsi="Times New Roman" w:cs="Times New Roman"/>
          <w:color w:val="555555"/>
        </w:rPr>
        <w:t>Seongtae</w:t>
      </w:r>
      <w:proofErr w:type="spellEnd"/>
      <w:r w:rsidRPr="00D21F79">
        <w:rPr>
          <w:rFonts w:ascii="Times New Roman" w:hAnsi="Times New Roman" w:cs="Times New Roman"/>
          <w:color w:val="555555"/>
        </w:rPr>
        <w:t xml:space="preserve"> Kim</w:t>
      </w:r>
    </w:p>
    <w:p w14:paraId="35ECA02F" w14:textId="77777777" w:rsidR="00D14598" w:rsidRPr="00D21F79" w:rsidRDefault="00000000" w:rsidP="00D21F79">
      <w:pPr>
        <w:jc w:val="center"/>
        <w:rPr>
          <w:rFonts w:ascii="Times New Roman" w:hAnsi="Times New Roman" w:cs="Times New Roman"/>
        </w:rPr>
      </w:pPr>
      <w:r w:rsidRPr="00D21F79">
        <w:rPr>
          <w:rFonts w:ascii="Times New Roman" w:hAnsi="Times New Roman" w:cs="Times New Roman"/>
          <w:color w:val="555555"/>
        </w:rPr>
        <w:t>April 2026</w:t>
      </w:r>
    </w:p>
    <w:p w14:paraId="51C9F674" w14:textId="77777777" w:rsidR="00D14598" w:rsidRPr="00D21F79" w:rsidRDefault="00000000" w:rsidP="00D21F79">
      <w:pPr>
        <w:jc w:val="center"/>
        <w:rPr>
          <w:rFonts w:ascii="Times New Roman" w:hAnsi="Times New Roman" w:cs="Times New Roman"/>
        </w:rPr>
      </w:pPr>
      <w:r w:rsidRPr="00D21F79">
        <w:rPr>
          <w:rFonts w:ascii="Times New Roman" w:hAnsi="Times New Roman" w:cs="Times New Roman"/>
        </w:rPr>
        <w:br w:type="page"/>
      </w:r>
    </w:p>
    <w:p w14:paraId="4C008FA4" w14:textId="77777777" w:rsidR="00D14598" w:rsidRPr="008E3E98" w:rsidRDefault="00000000" w:rsidP="008E3E98">
      <w:pPr>
        <w:pStyle w:val="Heading1"/>
        <w:jc w:val="both"/>
        <w:rPr>
          <w:rFonts w:ascii="Times New Roman" w:hAnsi="Times New Roman" w:cs="Times New Roman"/>
          <w:sz w:val="24"/>
          <w:szCs w:val="24"/>
        </w:rPr>
      </w:pPr>
      <w:bookmarkStart w:id="0" w:name="_Toc228825797"/>
      <w:r w:rsidRPr="008E3E98">
        <w:rPr>
          <w:rFonts w:ascii="Times New Roman" w:hAnsi="Times New Roman" w:cs="Times New Roman"/>
          <w:sz w:val="24"/>
          <w:szCs w:val="24"/>
        </w:rPr>
        <w:lastRenderedPageBreak/>
        <w:t>Abstract</w:t>
      </w:r>
      <w:bookmarkEnd w:id="0"/>
    </w:p>
    <w:p w14:paraId="572F9D81" w14:textId="77777777" w:rsidR="00FD558E" w:rsidRPr="008E3E98" w:rsidRDefault="00FD558E" w:rsidP="008E3E98">
      <w:pPr>
        <w:jc w:val="both"/>
        <w:rPr>
          <w:rFonts w:ascii="Times New Roman" w:hAnsi="Times New Roman" w:cs="Times New Roman"/>
        </w:rPr>
      </w:pPr>
      <w:r w:rsidRPr="008E3E98">
        <w:rPr>
          <w:rFonts w:ascii="Times New Roman" w:hAnsi="Times New Roman" w:cs="Times New Roman"/>
        </w:rPr>
        <w:t>Alert fatigue is a significant challenge in clinical decision support (CDS) systems, arising when clinicians become desensitized to excessive volumes of automated alerts. This desensitization can lead to frequent overrides, including dismissal of clinically important warnings, ultimately compromising patient safety. Although safety alerts are designed to improve care, their high frequency and often low clinical relevance can unexpectedly increase the risk of patient harm. With the widespread adoption of electronic health records, alert fatigue has emerged as a major unintended consequence of healthcare computerization and a recognized patient safety hazard.</w:t>
      </w:r>
    </w:p>
    <w:p w14:paraId="3CADAB35" w14:textId="77777777" w:rsidR="00FD558E" w:rsidRPr="008E3E98" w:rsidRDefault="00FD558E" w:rsidP="008E3E98">
      <w:pPr>
        <w:jc w:val="both"/>
        <w:rPr>
          <w:rFonts w:ascii="Times New Roman" w:hAnsi="Times New Roman" w:cs="Times New Roman"/>
        </w:rPr>
      </w:pPr>
    </w:p>
    <w:p w14:paraId="58BA451D" w14:textId="77777777" w:rsidR="00FD558E" w:rsidRPr="008E3E98" w:rsidRDefault="00FD558E" w:rsidP="008E3E98">
      <w:pPr>
        <w:jc w:val="both"/>
        <w:rPr>
          <w:rFonts w:ascii="Times New Roman" w:hAnsi="Times New Roman" w:cs="Times New Roman"/>
        </w:rPr>
      </w:pPr>
      <w:r w:rsidRPr="008E3E98">
        <w:rPr>
          <w:rFonts w:ascii="Times New Roman" w:hAnsi="Times New Roman" w:cs="Times New Roman"/>
        </w:rPr>
        <w:t>This study leverages MIMIC-IV, a large publicly available intensive care unit (ICU) database, to examine patterns of CDS-triggering events, including medication orders and laboratory tests, across ICU unit types, patient demographics, and lengths of stay. Negative binomial regression was employed due to substantial overdispersion in count-based outcomes, supported by variance-to-mean ratios ranging from 119 to 1,178 and a likelihood ratio test (χ² = 8,224,010, p &lt; 0.0001). ICU unit type emerged as the strongest predictor of daily event burden. Compared to the cardiovascular ICU (CVICU) reference group, medical and surgical ICU (MICU/SICU) patients generated approximately 20% more CDS-triggering events per day (IRR = 1.20), while Neuro Intermediate patients generated approximately 81% fewer (IRR = 0.19). Temporal analyses further revealed that alert burden is not evenly distributed across the day or across units.</w:t>
      </w:r>
    </w:p>
    <w:p w14:paraId="7674A23E" w14:textId="77777777" w:rsidR="00FD558E" w:rsidRPr="008E3E98" w:rsidRDefault="00FD558E" w:rsidP="008E3E98">
      <w:pPr>
        <w:jc w:val="both"/>
        <w:rPr>
          <w:rFonts w:ascii="Times New Roman" w:hAnsi="Times New Roman" w:cs="Times New Roman"/>
        </w:rPr>
      </w:pPr>
    </w:p>
    <w:p w14:paraId="7CFA4EE9" w14:textId="77777777" w:rsidR="00FD558E" w:rsidRPr="008E3E98" w:rsidRDefault="00FD558E" w:rsidP="008E3E98">
      <w:pPr>
        <w:jc w:val="both"/>
        <w:rPr>
          <w:rFonts w:ascii="Times New Roman" w:hAnsi="Times New Roman" w:cs="Times New Roman"/>
        </w:rPr>
      </w:pPr>
      <w:r w:rsidRPr="008E3E98">
        <w:rPr>
          <w:rFonts w:ascii="Times New Roman" w:hAnsi="Times New Roman" w:cs="Times New Roman"/>
        </w:rPr>
        <w:t>These findings support the use of targeted, unit-specific alert management strategies, including shift-aware suppression protocols and burst-threshold calibration, as practical approaches to reducing clinically irrelevant alerts. Simulated suppression scenarios further suggest that targeted reductions in duplicate medication orders and redundant laboratory tests could meaningfully lower high-burden encounters. Overall, this study demonstrates that alert burden varies substantially across ICU settings and that targeted optimization strategies, rather than uniform system-wide interventions, offer a more effective path toward improving CDS performance and patient safety.</w:t>
      </w:r>
    </w:p>
    <w:p w14:paraId="313A1986" w14:textId="77777777" w:rsidR="00D14598" w:rsidRPr="008E3E98" w:rsidRDefault="00000000" w:rsidP="008E3E98">
      <w:pPr>
        <w:jc w:val="both"/>
        <w:rPr>
          <w:rFonts w:ascii="Times New Roman" w:hAnsi="Times New Roman" w:cs="Times New Roman"/>
        </w:rPr>
      </w:pPr>
      <w:r w:rsidRPr="008E3E98">
        <w:rPr>
          <w:rFonts w:ascii="Times New Roman" w:hAnsi="Times New Roman" w:cs="Times New Roman"/>
        </w:rPr>
        <w:br w:type="page"/>
      </w:r>
    </w:p>
    <w:p w14:paraId="1CF1E8B2" w14:textId="77777777" w:rsidR="00D14598" w:rsidRPr="008E3E98" w:rsidRDefault="00000000" w:rsidP="008E3E98">
      <w:pPr>
        <w:pStyle w:val="Heading1"/>
        <w:jc w:val="both"/>
        <w:rPr>
          <w:rFonts w:ascii="Times New Roman" w:hAnsi="Times New Roman" w:cs="Times New Roman"/>
          <w:sz w:val="24"/>
          <w:szCs w:val="24"/>
        </w:rPr>
      </w:pPr>
      <w:bookmarkStart w:id="1" w:name="_Toc228825798"/>
      <w:r w:rsidRPr="008E3E98">
        <w:rPr>
          <w:rFonts w:ascii="Times New Roman" w:hAnsi="Times New Roman" w:cs="Times New Roman"/>
          <w:sz w:val="24"/>
          <w:szCs w:val="24"/>
        </w:rPr>
        <w:lastRenderedPageBreak/>
        <w:t>Acknowledgements</w:t>
      </w:r>
      <w:bookmarkEnd w:id="1"/>
    </w:p>
    <w:p w14:paraId="0740A14C" w14:textId="77777777" w:rsidR="00CA33E2" w:rsidRDefault="00CA33E2" w:rsidP="00CA33E2">
      <w:pPr>
        <w:jc w:val="both"/>
        <w:rPr>
          <w:rFonts w:ascii="Times New Roman" w:hAnsi="Times New Roman" w:cs="Times New Roman"/>
        </w:rPr>
      </w:pPr>
      <w:r w:rsidRPr="00CA33E2">
        <w:rPr>
          <w:rFonts w:ascii="Times New Roman" w:hAnsi="Times New Roman" w:cs="Times New Roman"/>
        </w:rPr>
        <w:t>I would like to express my sincere gratitude to the individuals whose guidance and support made this project possible.</w:t>
      </w:r>
    </w:p>
    <w:p w14:paraId="015E8548" w14:textId="77777777" w:rsidR="00CA33E2" w:rsidRPr="00CA33E2" w:rsidRDefault="00CA33E2" w:rsidP="00CA33E2">
      <w:pPr>
        <w:jc w:val="both"/>
        <w:rPr>
          <w:rFonts w:ascii="Times New Roman" w:hAnsi="Times New Roman" w:cs="Times New Roman"/>
        </w:rPr>
      </w:pPr>
    </w:p>
    <w:p w14:paraId="06E7BFEA" w14:textId="01304956" w:rsidR="00CA33E2" w:rsidRDefault="00CA33E2" w:rsidP="00CA33E2">
      <w:pPr>
        <w:jc w:val="both"/>
        <w:rPr>
          <w:rFonts w:ascii="Times New Roman" w:hAnsi="Times New Roman" w:cs="Times New Roman"/>
        </w:rPr>
      </w:pPr>
      <w:r w:rsidRPr="00CA33E2">
        <w:rPr>
          <w:rFonts w:ascii="Times New Roman" w:hAnsi="Times New Roman" w:cs="Times New Roman"/>
        </w:rPr>
        <w:t xml:space="preserve">First, I would like to express my sincere gratitude to my advisor, Dr. </w:t>
      </w:r>
      <w:proofErr w:type="spellStart"/>
      <w:r w:rsidRPr="00CA33E2">
        <w:rPr>
          <w:rFonts w:ascii="Times New Roman" w:hAnsi="Times New Roman" w:cs="Times New Roman"/>
        </w:rPr>
        <w:t>Seongtae</w:t>
      </w:r>
      <w:proofErr w:type="spellEnd"/>
      <w:r w:rsidRPr="00CA33E2">
        <w:rPr>
          <w:rFonts w:ascii="Times New Roman" w:hAnsi="Times New Roman" w:cs="Times New Roman"/>
        </w:rPr>
        <w:t xml:space="preserve"> Kim, for his invaluable feedback, thoughtful guidance, and steadfast encouragement throughout this project. His expertise and willingness to engage closely with the work played a significant role in shaping both the analytical approach and the outcome.</w:t>
      </w:r>
      <w:r>
        <w:rPr>
          <w:rFonts w:ascii="Times New Roman" w:hAnsi="Times New Roman" w:cs="Times New Roman"/>
        </w:rPr>
        <w:t xml:space="preserve"> </w:t>
      </w:r>
    </w:p>
    <w:p w14:paraId="21961D68" w14:textId="77777777" w:rsidR="00CA33E2" w:rsidRPr="00CA33E2" w:rsidRDefault="00CA33E2" w:rsidP="00CA33E2">
      <w:pPr>
        <w:jc w:val="both"/>
        <w:rPr>
          <w:rFonts w:ascii="Times New Roman" w:hAnsi="Times New Roman" w:cs="Times New Roman"/>
        </w:rPr>
      </w:pPr>
    </w:p>
    <w:p w14:paraId="109621FB" w14:textId="77777777" w:rsidR="00CA33E2" w:rsidRDefault="00CA33E2" w:rsidP="00CA33E2">
      <w:pPr>
        <w:jc w:val="both"/>
        <w:rPr>
          <w:rFonts w:ascii="Times New Roman" w:hAnsi="Times New Roman" w:cs="Times New Roman"/>
        </w:rPr>
      </w:pPr>
      <w:r w:rsidRPr="00CA33E2">
        <w:rPr>
          <w:rFonts w:ascii="Times New Roman" w:hAnsi="Times New Roman" w:cs="Times New Roman"/>
        </w:rPr>
        <w:t>I would also like to thank my instructor, Dr. Abeer Hasan, for her guidance and support throughout the DAAN 784 course. Her instruction provided the foundation for the analytical and writing skills applied in this study.</w:t>
      </w:r>
    </w:p>
    <w:p w14:paraId="186577D4" w14:textId="77777777" w:rsidR="00CA33E2" w:rsidRPr="00CA33E2" w:rsidRDefault="00CA33E2" w:rsidP="00CA33E2">
      <w:pPr>
        <w:jc w:val="both"/>
        <w:rPr>
          <w:rFonts w:ascii="Times New Roman" w:hAnsi="Times New Roman" w:cs="Times New Roman"/>
        </w:rPr>
      </w:pPr>
    </w:p>
    <w:p w14:paraId="6AA2675C" w14:textId="65EDA9E4" w:rsidR="00CA33E2" w:rsidRDefault="00CA33E2" w:rsidP="00CA33E2">
      <w:pPr>
        <w:jc w:val="both"/>
        <w:rPr>
          <w:rFonts w:ascii="Times New Roman" w:hAnsi="Times New Roman" w:cs="Times New Roman"/>
        </w:rPr>
      </w:pPr>
      <w:r w:rsidRPr="00CA33E2">
        <w:rPr>
          <w:rFonts w:ascii="Times New Roman" w:hAnsi="Times New Roman" w:cs="Times New Roman"/>
        </w:rPr>
        <w:t xml:space="preserve">I am also grateful to the developers and maintainers of MIMIC-IV at the MIT Laboratory for Computational Physiology and Beth Israel Deaconess Medical Center for making this critical care dataset publicly available through PhysioNet. Access to this resource </w:t>
      </w:r>
      <w:r>
        <w:rPr>
          <w:rFonts w:ascii="Times New Roman" w:hAnsi="Times New Roman" w:cs="Times New Roman"/>
        </w:rPr>
        <w:t>enabled</w:t>
      </w:r>
      <w:r w:rsidRPr="00CA33E2">
        <w:rPr>
          <w:rFonts w:ascii="Times New Roman" w:hAnsi="Times New Roman" w:cs="Times New Roman"/>
        </w:rPr>
        <w:t xml:space="preserve"> a reproducible, open-data analysis of alert burden in ICU settings without relying on proprietary institutional data.</w:t>
      </w:r>
    </w:p>
    <w:p w14:paraId="6F2AD888" w14:textId="77777777" w:rsidR="00CA33E2" w:rsidRPr="00CA33E2" w:rsidRDefault="00CA33E2" w:rsidP="00CA33E2">
      <w:pPr>
        <w:jc w:val="both"/>
        <w:rPr>
          <w:rFonts w:ascii="Times New Roman" w:hAnsi="Times New Roman" w:cs="Times New Roman"/>
        </w:rPr>
      </w:pPr>
    </w:p>
    <w:p w14:paraId="736411B4" w14:textId="7A04BE9B" w:rsidR="00CA33E2" w:rsidRPr="00CA33E2" w:rsidRDefault="00CA33E2" w:rsidP="00CA33E2">
      <w:pPr>
        <w:jc w:val="both"/>
        <w:rPr>
          <w:rFonts w:ascii="Times New Roman" w:hAnsi="Times New Roman" w:cs="Times New Roman"/>
        </w:rPr>
      </w:pPr>
      <w:r w:rsidRPr="00CA33E2">
        <w:rPr>
          <w:rFonts w:ascii="Times New Roman" w:hAnsi="Times New Roman" w:cs="Times New Roman"/>
        </w:rPr>
        <w:t xml:space="preserve">Finally, I would like to acknowledge North Carolina Agricultural and Technical State University and the </w:t>
      </w:r>
      <w:r>
        <w:rPr>
          <w:rFonts w:ascii="Times New Roman" w:hAnsi="Times New Roman" w:cs="Times New Roman"/>
        </w:rPr>
        <w:t>College of Science and Technology</w:t>
      </w:r>
      <w:r w:rsidRPr="00CA33E2">
        <w:rPr>
          <w:rFonts w:ascii="Times New Roman" w:hAnsi="Times New Roman" w:cs="Times New Roman"/>
        </w:rPr>
        <w:t xml:space="preserve"> for providing the academic environment and resources that supported this work.</w:t>
      </w:r>
    </w:p>
    <w:p w14:paraId="3F356C71" w14:textId="77777777" w:rsidR="00D14598" w:rsidRPr="008E3E98" w:rsidRDefault="00000000" w:rsidP="008E3E98">
      <w:pPr>
        <w:jc w:val="both"/>
        <w:rPr>
          <w:rFonts w:ascii="Times New Roman" w:hAnsi="Times New Roman" w:cs="Times New Roman"/>
        </w:rPr>
      </w:pPr>
      <w:r w:rsidRPr="008E3E98">
        <w:rPr>
          <w:rFonts w:ascii="Times New Roman" w:hAnsi="Times New Roman" w:cs="Times New Roman"/>
        </w:rPr>
        <w:br w:type="page"/>
      </w:r>
    </w:p>
    <w:p w14:paraId="7F8E0C9B" w14:textId="77777777" w:rsidR="00D14598" w:rsidRPr="008E3E98" w:rsidRDefault="00000000" w:rsidP="008E3E98">
      <w:pPr>
        <w:pStyle w:val="Heading1"/>
        <w:jc w:val="both"/>
        <w:rPr>
          <w:rFonts w:ascii="Times New Roman" w:hAnsi="Times New Roman" w:cs="Times New Roman"/>
          <w:sz w:val="24"/>
          <w:szCs w:val="24"/>
        </w:rPr>
      </w:pPr>
      <w:bookmarkStart w:id="2" w:name="_Toc228825799"/>
      <w:r w:rsidRPr="008E3E98">
        <w:rPr>
          <w:rFonts w:ascii="Times New Roman" w:hAnsi="Times New Roman" w:cs="Times New Roman"/>
          <w:sz w:val="24"/>
          <w:szCs w:val="24"/>
        </w:rPr>
        <w:lastRenderedPageBreak/>
        <w:t>Table of Contents</w:t>
      </w:r>
      <w:bookmarkEnd w:id="2"/>
    </w:p>
    <w:sdt>
      <w:sdtPr>
        <w:rPr>
          <w:rFonts w:ascii="Times New Roman" w:hAnsi="Times New Roman" w:cs="Times New Roman"/>
        </w:rPr>
        <w:alias w:val="Table of Contents"/>
        <w:id w:val="1867939222"/>
      </w:sdtPr>
      <w:sdtContent>
        <w:p w14:paraId="1A995BCC" w14:textId="2D6975FF" w:rsidR="00EC4389" w:rsidRDefault="00000000">
          <w:pPr>
            <w:pStyle w:val="TOC1"/>
            <w:tabs>
              <w:tab w:val="right" w:leader="dot" w:pos="9350"/>
            </w:tabs>
            <w:rPr>
              <w:rFonts w:asciiTheme="minorHAnsi" w:eastAsiaTheme="minorEastAsia" w:hAnsiTheme="minorHAnsi" w:cstheme="minorBidi"/>
              <w:noProof/>
              <w:kern w:val="2"/>
              <w14:ligatures w14:val="standardContextual"/>
            </w:rPr>
          </w:pPr>
          <w:r w:rsidRPr="008E3E98">
            <w:rPr>
              <w:rFonts w:ascii="Times New Roman" w:hAnsi="Times New Roman" w:cs="Times New Roman"/>
            </w:rPr>
            <w:fldChar w:fldCharType="begin"/>
          </w:r>
          <w:r w:rsidRPr="008E3E98">
            <w:rPr>
              <w:rFonts w:ascii="Times New Roman" w:hAnsi="Times New Roman" w:cs="Times New Roman"/>
            </w:rPr>
            <w:instrText>TOC \h \o "1-3" \t "undefined,1,undefined,2,undefined,3"</w:instrText>
          </w:r>
          <w:r w:rsidRPr="008E3E98">
            <w:rPr>
              <w:rFonts w:ascii="Times New Roman" w:hAnsi="Times New Roman" w:cs="Times New Roman"/>
            </w:rPr>
            <w:fldChar w:fldCharType="separate"/>
          </w:r>
          <w:hyperlink w:anchor="_Toc228825797" w:history="1">
            <w:r w:rsidR="00EC4389" w:rsidRPr="00FE5F30">
              <w:rPr>
                <w:rStyle w:val="Hyperlink"/>
                <w:rFonts w:ascii="Times New Roman" w:hAnsi="Times New Roman" w:cs="Times New Roman"/>
                <w:noProof/>
              </w:rPr>
              <w:t>Abstract</w:t>
            </w:r>
            <w:r w:rsidR="00EC4389">
              <w:rPr>
                <w:noProof/>
              </w:rPr>
              <w:tab/>
            </w:r>
            <w:r w:rsidR="00EC4389">
              <w:rPr>
                <w:noProof/>
              </w:rPr>
              <w:fldChar w:fldCharType="begin"/>
            </w:r>
            <w:r w:rsidR="00EC4389">
              <w:rPr>
                <w:noProof/>
              </w:rPr>
              <w:instrText xml:space="preserve"> PAGEREF _Toc228825797 \h </w:instrText>
            </w:r>
            <w:r w:rsidR="00EC4389">
              <w:rPr>
                <w:noProof/>
              </w:rPr>
            </w:r>
            <w:r w:rsidR="00EC4389">
              <w:rPr>
                <w:noProof/>
              </w:rPr>
              <w:fldChar w:fldCharType="separate"/>
            </w:r>
            <w:r w:rsidR="00EC4389">
              <w:rPr>
                <w:noProof/>
              </w:rPr>
              <w:t>2</w:t>
            </w:r>
            <w:r w:rsidR="00EC4389">
              <w:rPr>
                <w:noProof/>
              </w:rPr>
              <w:fldChar w:fldCharType="end"/>
            </w:r>
          </w:hyperlink>
        </w:p>
        <w:p w14:paraId="08636FDD" w14:textId="5F81A3C2"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798" w:history="1">
            <w:r w:rsidRPr="00FE5F30">
              <w:rPr>
                <w:rStyle w:val="Hyperlink"/>
                <w:rFonts w:ascii="Times New Roman" w:hAnsi="Times New Roman" w:cs="Times New Roman"/>
                <w:noProof/>
              </w:rPr>
              <w:t>Acknowledgements</w:t>
            </w:r>
            <w:r>
              <w:rPr>
                <w:noProof/>
              </w:rPr>
              <w:tab/>
            </w:r>
            <w:r>
              <w:rPr>
                <w:noProof/>
              </w:rPr>
              <w:fldChar w:fldCharType="begin"/>
            </w:r>
            <w:r>
              <w:rPr>
                <w:noProof/>
              </w:rPr>
              <w:instrText xml:space="preserve"> PAGEREF _Toc228825798 \h </w:instrText>
            </w:r>
            <w:r>
              <w:rPr>
                <w:noProof/>
              </w:rPr>
            </w:r>
            <w:r>
              <w:rPr>
                <w:noProof/>
              </w:rPr>
              <w:fldChar w:fldCharType="separate"/>
            </w:r>
            <w:r>
              <w:rPr>
                <w:noProof/>
              </w:rPr>
              <w:t>3</w:t>
            </w:r>
            <w:r>
              <w:rPr>
                <w:noProof/>
              </w:rPr>
              <w:fldChar w:fldCharType="end"/>
            </w:r>
          </w:hyperlink>
        </w:p>
        <w:p w14:paraId="69C72116" w14:textId="0339380E"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799" w:history="1">
            <w:r w:rsidRPr="00FE5F30">
              <w:rPr>
                <w:rStyle w:val="Hyperlink"/>
                <w:rFonts w:ascii="Times New Roman" w:hAnsi="Times New Roman" w:cs="Times New Roman"/>
                <w:noProof/>
              </w:rPr>
              <w:t>Table of Contents</w:t>
            </w:r>
            <w:r>
              <w:rPr>
                <w:noProof/>
              </w:rPr>
              <w:tab/>
            </w:r>
            <w:r>
              <w:rPr>
                <w:noProof/>
              </w:rPr>
              <w:fldChar w:fldCharType="begin"/>
            </w:r>
            <w:r>
              <w:rPr>
                <w:noProof/>
              </w:rPr>
              <w:instrText xml:space="preserve"> PAGEREF _Toc228825799 \h </w:instrText>
            </w:r>
            <w:r>
              <w:rPr>
                <w:noProof/>
              </w:rPr>
            </w:r>
            <w:r>
              <w:rPr>
                <w:noProof/>
              </w:rPr>
              <w:fldChar w:fldCharType="separate"/>
            </w:r>
            <w:r>
              <w:rPr>
                <w:noProof/>
              </w:rPr>
              <w:t>4</w:t>
            </w:r>
            <w:r>
              <w:rPr>
                <w:noProof/>
              </w:rPr>
              <w:fldChar w:fldCharType="end"/>
            </w:r>
          </w:hyperlink>
        </w:p>
        <w:p w14:paraId="174D44DA" w14:textId="3200C39D"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00" w:history="1">
            <w:r w:rsidRPr="00FE5F30">
              <w:rPr>
                <w:rStyle w:val="Hyperlink"/>
                <w:rFonts w:ascii="Times New Roman" w:hAnsi="Times New Roman" w:cs="Times New Roman"/>
                <w:noProof/>
              </w:rPr>
              <w:t>1. Introduction and Background</w:t>
            </w:r>
            <w:r>
              <w:rPr>
                <w:noProof/>
              </w:rPr>
              <w:tab/>
            </w:r>
            <w:r>
              <w:rPr>
                <w:noProof/>
              </w:rPr>
              <w:fldChar w:fldCharType="begin"/>
            </w:r>
            <w:r>
              <w:rPr>
                <w:noProof/>
              </w:rPr>
              <w:instrText xml:space="preserve"> PAGEREF _Toc228825800 \h </w:instrText>
            </w:r>
            <w:r>
              <w:rPr>
                <w:noProof/>
              </w:rPr>
            </w:r>
            <w:r>
              <w:rPr>
                <w:noProof/>
              </w:rPr>
              <w:fldChar w:fldCharType="separate"/>
            </w:r>
            <w:r>
              <w:rPr>
                <w:noProof/>
              </w:rPr>
              <w:t>7</w:t>
            </w:r>
            <w:r>
              <w:rPr>
                <w:noProof/>
              </w:rPr>
              <w:fldChar w:fldCharType="end"/>
            </w:r>
          </w:hyperlink>
        </w:p>
        <w:p w14:paraId="0A571C57" w14:textId="2D3B1DCA" w:rsidR="00EC4389" w:rsidRDefault="00EC438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825801" w:history="1">
            <w:r w:rsidRPr="00FE5F30">
              <w:rPr>
                <w:rStyle w:val="Hyperlink"/>
                <w:rFonts w:ascii="Times New Roman" w:hAnsi="Times New Roman" w:cs="Times New Roman"/>
                <w:noProof/>
              </w:rPr>
              <w:t>1.1</w:t>
            </w:r>
            <w:r>
              <w:rPr>
                <w:rFonts w:asciiTheme="minorHAnsi" w:eastAsiaTheme="minorEastAsia" w:hAnsiTheme="minorHAnsi" w:cstheme="minorBidi"/>
                <w:noProof/>
                <w:kern w:val="2"/>
                <w14:ligatures w14:val="standardContextual"/>
              </w:rPr>
              <w:tab/>
            </w:r>
            <w:r w:rsidRPr="00FE5F30">
              <w:rPr>
                <w:rStyle w:val="Hyperlink"/>
                <w:rFonts w:ascii="Times New Roman" w:hAnsi="Times New Roman" w:cs="Times New Roman"/>
                <w:noProof/>
              </w:rPr>
              <w:t>Problem Statement</w:t>
            </w:r>
            <w:r>
              <w:rPr>
                <w:noProof/>
              </w:rPr>
              <w:tab/>
            </w:r>
            <w:r>
              <w:rPr>
                <w:noProof/>
              </w:rPr>
              <w:fldChar w:fldCharType="begin"/>
            </w:r>
            <w:r>
              <w:rPr>
                <w:noProof/>
              </w:rPr>
              <w:instrText xml:space="preserve"> PAGEREF _Toc228825801 \h </w:instrText>
            </w:r>
            <w:r>
              <w:rPr>
                <w:noProof/>
              </w:rPr>
            </w:r>
            <w:r>
              <w:rPr>
                <w:noProof/>
              </w:rPr>
              <w:fldChar w:fldCharType="separate"/>
            </w:r>
            <w:r>
              <w:rPr>
                <w:noProof/>
              </w:rPr>
              <w:t>8</w:t>
            </w:r>
            <w:r>
              <w:rPr>
                <w:noProof/>
              </w:rPr>
              <w:fldChar w:fldCharType="end"/>
            </w:r>
          </w:hyperlink>
        </w:p>
        <w:p w14:paraId="4AE6F179" w14:textId="29DEF362" w:rsidR="00EC4389" w:rsidRDefault="00EC4389">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8825802" w:history="1">
            <w:r w:rsidRPr="00FE5F30">
              <w:rPr>
                <w:rStyle w:val="Hyperlink"/>
                <w:rFonts w:ascii="Times New Roman" w:hAnsi="Times New Roman" w:cs="Times New Roman"/>
                <w:noProof/>
              </w:rPr>
              <w:t>1.2</w:t>
            </w:r>
            <w:r>
              <w:rPr>
                <w:rFonts w:asciiTheme="minorHAnsi" w:eastAsiaTheme="minorEastAsia" w:hAnsiTheme="minorHAnsi" w:cstheme="minorBidi"/>
                <w:noProof/>
                <w:kern w:val="2"/>
                <w14:ligatures w14:val="standardContextual"/>
              </w:rPr>
              <w:tab/>
            </w:r>
            <w:r w:rsidRPr="00FE5F30">
              <w:rPr>
                <w:rStyle w:val="Hyperlink"/>
                <w:rFonts w:ascii="Times New Roman" w:hAnsi="Times New Roman" w:cs="Times New Roman"/>
                <w:noProof/>
              </w:rPr>
              <w:t>Research Objectives</w:t>
            </w:r>
            <w:r>
              <w:rPr>
                <w:noProof/>
              </w:rPr>
              <w:tab/>
            </w:r>
            <w:r>
              <w:rPr>
                <w:noProof/>
              </w:rPr>
              <w:fldChar w:fldCharType="begin"/>
            </w:r>
            <w:r>
              <w:rPr>
                <w:noProof/>
              </w:rPr>
              <w:instrText xml:space="preserve"> PAGEREF _Toc228825802 \h </w:instrText>
            </w:r>
            <w:r>
              <w:rPr>
                <w:noProof/>
              </w:rPr>
            </w:r>
            <w:r>
              <w:rPr>
                <w:noProof/>
              </w:rPr>
              <w:fldChar w:fldCharType="separate"/>
            </w:r>
            <w:r>
              <w:rPr>
                <w:noProof/>
              </w:rPr>
              <w:t>8</w:t>
            </w:r>
            <w:r>
              <w:rPr>
                <w:noProof/>
              </w:rPr>
              <w:fldChar w:fldCharType="end"/>
            </w:r>
          </w:hyperlink>
        </w:p>
        <w:p w14:paraId="18CA8DD2" w14:textId="4DBDB531"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03" w:history="1">
            <w:r w:rsidRPr="00FE5F30">
              <w:rPr>
                <w:rStyle w:val="Hyperlink"/>
                <w:rFonts w:ascii="Times New Roman" w:hAnsi="Times New Roman" w:cs="Times New Roman"/>
                <w:noProof/>
              </w:rPr>
              <w:t>1.3 Significance of the Study</w:t>
            </w:r>
            <w:r>
              <w:rPr>
                <w:noProof/>
              </w:rPr>
              <w:tab/>
            </w:r>
            <w:r>
              <w:rPr>
                <w:noProof/>
              </w:rPr>
              <w:fldChar w:fldCharType="begin"/>
            </w:r>
            <w:r>
              <w:rPr>
                <w:noProof/>
              </w:rPr>
              <w:instrText xml:space="preserve"> PAGEREF _Toc228825803 \h </w:instrText>
            </w:r>
            <w:r>
              <w:rPr>
                <w:noProof/>
              </w:rPr>
            </w:r>
            <w:r>
              <w:rPr>
                <w:noProof/>
              </w:rPr>
              <w:fldChar w:fldCharType="separate"/>
            </w:r>
            <w:r>
              <w:rPr>
                <w:noProof/>
              </w:rPr>
              <w:t>9</w:t>
            </w:r>
            <w:r>
              <w:rPr>
                <w:noProof/>
              </w:rPr>
              <w:fldChar w:fldCharType="end"/>
            </w:r>
          </w:hyperlink>
        </w:p>
        <w:p w14:paraId="2DAF631E" w14:textId="15F33CA1"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04" w:history="1">
            <w:r w:rsidRPr="00FE5F30">
              <w:rPr>
                <w:rStyle w:val="Hyperlink"/>
                <w:rFonts w:ascii="Times New Roman" w:hAnsi="Times New Roman" w:cs="Times New Roman"/>
                <w:noProof/>
              </w:rPr>
              <w:t>2. Literature Review</w:t>
            </w:r>
            <w:r>
              <w:rPr>
                <w:noProof/>
              </w:rPr>
              <w:tab/>
            </w:r>
            <w:r>
              <w:rPr>
                <w:noProof/>
              </w:rPr>
              <w:fldChar w:fldCharType="begin"/>
            </w:r>
            <w:r>
              <w:rPr>
                <w:noProof/>
              </w:rPr>
              <w:instrText xml:space="preserve"> PAGEREF _Toc228825804 \h </w:instrText>
            </w:r>
            <w:r>
              <w:rPr>
                <w:noProof/>
              </w:rPr>
            </w:r>
            <w:r>
              <w:rPr>
                <w:noProof/>
              </w:rPr>
              <w:fldChar w:fldCharType="separate"/>
            </w:r>
            <w:r>
              <w:rPr>
                <w:noProof/>
              </w:rPr>
              <w:t>10</w:t>
            </w:r>
            <w:r>
              <w:rPr>
                <w:noProof/>
              </w:rPr>
              <w:fldChar w:fldCharType="end"/>
            </w:r>
          </w:hyperlink>
        </w:p>
        <w:p w14:paraId="3C7A47B8" w14:textId="05274D02"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05" w:history="1">
            <w:r w:rsidRPr="00FE5F30">
              <w:rPr>
                <w:rStyle w:val="Hyperlink"/>
                <w:rFonts w:ascii="Times New Roman" w:hAnsi="Times New Roman" w:cs="Times New Roman"/>
                <w:noProof/>
              </w:rPr>
              <w:t>2.1 Alert Fatigue in Clinical Settings</w:t>
            </w:r>
            <w:r>
              <w:rPr>
                <w:noProof/>
              </w:rPr>
              <w:tab/>
            </w:r>
            <w:r>
              <w:rPr>
                <w:noProof/>
              </w:rPr>
              <w:fldChar w:fldCharType="begin"/>
            </w:r>
            <w:r>
              <w:rPr>
                <w:noProof/>
              </w:rPr>
              <w:instrText xml:space="preserve"> PAGEREF _Toc228825805 \h </w:instrText>
            </w:r>
            <w:r>
              <w:rPr>
                <w:noProof/>
              </w:rPr>
            </w:r>
            <w:r>
              <w:rPr>
                <w:noProof/>
              </w:rPr>
              <w:fldChar w:fldCharType="separate"/>
            </w:r>
            <w:r>
              <w:rPr>
                <w:noProof/>
              </w:rPr>
              <w:t>10</w:t>
            </w:r>
            <w:r>
              <w:rPr>
                <w:noProof/>
              </w:rPr>
              <w:fldChar w:fldCharType="end"/>
            </w:r>
          </w:hyperlink>
        </w:p>
        <w:p w14:paraId="3A1E452C" w14:textId="6087A5CB"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06" w:history="1">
            <w:r w:rsidRPr="00FE5F30">
              <w:rPr>
                <w:rStyle w:val="Hyperlink"/>
                <w:rFonts w:ascii="Times New Roman" w:hAnsi="Times New Roman" w:cs="Times New Roman"/>
                <w:noProof/>
              </w:rPr>
              <w:t>2.2 Clinical Decision Support Systems in the ICU</w:t>
            </w:r>
            <w:r>
              <w:rPr>
                <w:noProof/>
              </w:rPr>
              <w:tab/>
            </w:r>
            <w:r>
              <w:rPr>
                <w:noProof/>
              </w:rPr>
              <w:fldChar w:fldCharType="begin"/>
            </w:r>
            <w:r>
              <w:rPr>
                <w:noProof/>
              </w:rPr>
              <w:instrText xml:space="preserve"> PAGEREF _Toc228825806 \h </w:instrText>
            </w:r>
            <w:r>
              <w:rPr>
                <w:noProof/>
              </w:rPr>
            </w:r>
            <w:r>
              <w:rPr>
                <w:noProof/>
              </w:rPr>
              <w:fldChar w:fldCharType="separate"/>
            </w:r>
            <w:r>
              <w:rPr>
                <w:noProof/>
              </w:rPr>
              <w:t>11</w:t>
            </w:r>
            <w:r>
              <w:rPr>
                <w:noProof/>
              </w:rPr>
              <w:fldChar w:fldCharType="end"/>
            </w:r>
          </w:hyperlink>
        </w:p>
        <w:p w14:paraId="36506EF8" w14:textId="71A43C11"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07" w:history="1">
            <w:r w:rsidRPr="00FE5F30">
              <w:rPr>
                <w:rStyle w:val="Hyperlink"/>
                <w:rFonts w:ascii="Times New Roman" w:hAnsi="Times New Roman" w:cs="Times New Roman"/>
                <w:noProof/>
              </w:rPr>
              <w:t>2.3 Statistical Approaches to Clinical Event Modeling</w:t>
            </w:r>
            <w:r>
              <w:rPr>
                <w:noProof/>
              </w:rPr>
              <w:tab/>
            </w:r>
            <w:r>
              <w:rPr>
                <w:noProof/>
              </w:rPr>
              <w:fldChar w:fldCharType="begin"/>
            </w:r>
            <w:r>
              <w:rPr>
                <w:noProof/>
              </w:rPr>
              <w:instrText xml:space="preserve"> PAGEREF _Toc228825807 \h </w:instrText>
            </w:r>
            <w:r>
              <w:rPr>
                <w:noProof/>
              </w:rPr>
            </w:r>
            <w:r>
              <w:rPr>
                <w:noProof/>
              </w:rPr>
              <w:fldChar w:fldCharType="separate"/>
            </w:r>
            <w:r>
              <w:rPr>
                <w:noProof/>
              </w:rPr>
              <w:t>13</w:t>
            </w:r>
            <w:r>
              <w:rPr>
                <w:noProof/>
              </w:rPr>
              <w:fldChar w:fldCharType="end"/>
            </w:r>
          </w:hyperlink>
        </w:p>
        <w:p w14:paraId="46BDEC98" w14:textId="78A3A2C7"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08" w:history="1">
            <w:r w:rsidRPr="00FE5F30">
              <w:rPr>
                <w:rStyle w:val="Hyperlink"/>
                <w:rFonts w:ascii="Times New Roman" w:hAnsi="Times New Roman" w:cs="Times New Roman"/>
                <w:noProof/>
              </w:rPr>
              <w:t>2.4 Gaps in Existing Research</w:t>
            </w:r>
            <w:r>
              <w:rPr>
                <w:noProof/>
              </w:rPr>
              <w:tab/>
            </w:r>
            <w:r>
              <w:rPr>
                <w:noProof/>
              </w:rPr>
              <w:fldChar w:fldCharType="begin"/>
            </w:r>
            <w:r>
              <w:rPr>
                <w:noProof/>
              </w:rPr>
              <w:instrText xml:space="preserve"> PAGEREF _Toc228825808 \h </w:instrText>
            </w:r>
            <w:r>
              <w:rPr>
                <w:noProof/>
              </w:rPr>
            </w:r>
            <w:r>
              <w:rPr>
                <w:noProof/>
              </w:rPr>
              <w:fldChar w:fldCharType="separate"/>
            </w:r>
            <w:r>
              <w:rPr>
                <w:noProof/>
              </w:rPr>
              <w:t>15</w:t>
            </w:r>
            <w:r>
              <w:rPr>
                <w:noProof/>
              </w:rPr>
              <w:fldChar w:fldCharType="end"/>
            </w:r>
          </w:hyperlink>
        </w:p>
        <w:p w14:paraId="7F2A6E83" w14:textId="39DFF69B"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09" w:history="1">
            <w:r w:rsidRPr="00FE5F30">
              <w:rPr>
                <w:rStyle w:val="Hyperlink"/>
                <w:rFonts w:ascii="Times New Roman" w:hAnsi="Times New Roman" w:cs="Times New Roman"/>
                <w:noProof/>
              </w:rPr>
              <w:t>3. Methodology and Analytical Process</w:t>
            </w:r>
            <w:r>
              <w:rPr>
                <w:noProof/>
              </w:rPr>
              <w:tab/>
            </w:r>
            <w:r>
              <w:rPr>
                <w:noProof/>
              </w:rPr>
              <w:fldChar w:fldCharType="begin"/>
            </w:r>
            <w:r>
              <w:rPr>
                <w:noProof/>
              </w:rPr>
              <w:instrText xml:space="preserve"> PAGEREF _Toc228825809 \h </w:instrText>
            </w:r>
            <w:r>
              <w:rPr>
                <w:noProof/>
              </w:rPr>
            </w:r>
            <w:r>
              <w:rPr>
                <w:noProof/>
              </w:rPr>
              <w:fldChar w:fldCharType="separate"/>
            </w:r>
            <w:r>
              <w:rPr>
                <w:noProof/>
              </w:rPr>
              <w:t>16</w:t>
            </w:r>
            <w:r>
              <w:rPr>
                <w:noProof/>
              </w:rPr>
              <w:fldChar w:fldCharType="end"/>
            </w:r>
          </w:hyperlink>
        </w:p>
        <w:p w14:paraId="19DE9BFE" w14:textId="24F814DA"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0" w:history="1">
            <w:r w:rsidRPr="00FE5F30">
              <w:rPr>
                <w:rStyle w:val="Hyperlink"/>
                <w:rFonts w:ascii="Times New Roman" w:hAnsi="Times New Roman" w:cs="Times New Roman"/>
                <w:noProof/>
              </w:rPr>
              <w:t>3.1 Data Source</w:t>
            </w:r>
            <w:r>
              <w:rPr>
                <w:noProof/>
              </w:rPr>
              <w:tab/>
            </w:r>
            <w:r>
              <w:rPr>
                <w:noProof/>
              </w:rPr>
              <w:fldChar w:fldCharType="begin"/>
            </w:r>
            <w:r>
              <w:rPr>
                <w:noProof/>
              </w:rPr>
              <w:instrText xml:space="preserve"> PAGEREF _Toc228825810 \h </w:instrText>
            </w:r>
            <w:r>
              <w:rPr>
                <w:noProof/>
              </w:rPr>
            </w:r>
            <w:r>
              <w:rPr>
                <w:noProof/>
              </w:rPr>
              <w:fldChar w:fldCharType="separate"/>
            </w:r>
            <w:r>
              <w:rPr>
                <w:noProof/>
              </w:rPr>
              <w:t>16</w:t>
            </w:r>
            <w:r>
              <w:rPr>
                <w:noProof/>
              </w:rPr>
              <w:fldChar w:fldCharType="end"/>
            </w:r>
          </w:hyperlink>
        </w:p>
        <w:p w14:paraId="0C131141" w14:textId="50C54AC9"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1" w:history="1">
            <w:r w:rsidRPr="00FE5F30">
              <w:rPr>
                <w:rStyle w:val="Hyperlink"/>
                <w:rFonts w:ascii="Times New Roman" w:hAnsi="Times New Roman" w:cs="Times New Roman"/>
                <w:noProof/>
              </w:rPr>
              <w:t>3.2 Data Processing Pipeline</w:t>
            </w:r>
            <w:r>
              <w:rPr>
                <w:noProof/>
              </w:rPr>
              <w:tab/>
            </w:r>
            <w:r>
              <w:rPr>
                <w:noProof/>
              </w:rPr>
              <w:fldChar w:fldCharType="begin"/>
            </w:r>
            <w:r>
              <w:rPr>
                <w:noProof/>
              </w:rPr>
              <w:instrText xml:space="preserve"> PAGEREF _Toc228825811 \h </w:instrText>
            </w:r>
            <w:r>
              <w:rPr>
                <w:noProof/>
              </w:rPr>
            </w:r>
            <w:r>
              <w:rPr>
                <w:noProof/>
              </w:rPr>
              <w:fldChar w:fldCharType="separate"/>
            </w:r>
            <w:r>
              <w:rPr>
                <w:noProof/>
              </w:rPr>
              <w:t>16</w:t>
            </w:r>
            <w:r>
              <w:rPr>
                <w:noProof/>
              </w:rPr>
              <w:fldChar w:fldCharType="end"/>
            </w:r>
          </w:hyperlink>
        </w:p>
        <w:p w14:paraId="5289A402" w14:textId="225CA485"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2" w:history="1">
            <w:r w:rsidRPr="00FE5F30">
              <w:rPr>
                <w:rStyle w:val="Hyperlink"/>
                <w:rFonts w:ascii="Times New Roman" w:hAnsi="Times New Roman" w:cs="Times New Roman"/>
                <w:noProof/>
              </w:rPr>
              <w:t>3.2 Data Processing Flowchart</w:t>
            </w:r>
            <w:r>
              <w:rPr>
                <w:noProof/>
              </w:rPr>
              <w:tab/>
            </w:r>
            <w:r>
              <w:rPr>
                <w:noProof/>
              </w:rPr>
              <w:fldChar w:fldCharType="begin"/>
            </w:r>
            <w:r>
              <w:rPr>
                <w:noProof/>
              </w:rPr>
              <w:instrText xml:space="preserve"> PAGEREF _Toc228825812 \h </w:instrText>
            </w:r>
            <w:r>
              <w:rPr>
                <w:noProof/>
              </w:rPr>
            </w:r>
            <w:r>
              <w:rPr>
                <w:noProof/>
              </w:rPr>
              <w:fldChar w:fldCharType="separate"/>
            </w:r>
            <w:r>
              <w:rPr>
                <w:noProof/>
              </w:rPr>
              <w:t>17</w:t>
            </w:r>
            <w:r>
              <w:rPr>
                <w:noProof/>
              </w:rPr>
              <w:fldChar w:fldCharType="end"/>
            </w:r>
          </w:hyperlink>
        </w:p>
        <w:p w14:paraId="0565BFD1" w14:textId="0C09C3E9"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3" w:history="1">
            <w:r w:rsidRPr="00FE5F30">
              <w:rPr>
                <w:rStyle w:val="Hyperlink"/>
                <w:rFonts w:ascii="Times New Roman" w:hAnsi="Times New Roman" w:cs="Times New Roman"/>
                <w:noProof/>
              </w:rPr>
              <w:t>3.3.2 Predictor Variables</w:t>
            </w:r>
            <w:r>
              <w:rPr>
                <w:noProof/>
              </w:rPr>
              <w:tab/>
            </w:r>
            <w:r>
              <w:rPr>
                <w:noProof/>
              </w:rPr>
              <w:fldChar w:fldCharType="begin"/>
            </w:r>
            <w:r>
              <w:rPr>
                <w:noProof/>
              </w:rPr>
              <w:instrText xml:space="preserve"> PAGEREF _Toc228825813 \h </w:instrText>
            </w:r>
            <w:r>
              <w:rPr>
                <w:noProof/>
              </w:rPr>
            </w:r>
            <w:r>
              <w:rPr>
                <w:noProof/>
              </w:rPr>
              <w:fldChar w:fldCharType="separate"/>
            </w:r>
            <w:r>
              <w:rPr>
                <w:noProof/>
              </w:rPr>
              <w:t>19</w:t>
            </w:r>
            <w:r>
              <w:rPr>
                <w:noProof/>
              </w:rPr>
              <w:fldChar w:fldCharType="end"/>
            </w:r>
          </w:hyperlink>
        </w:p>
        <w:p w14:paraId="2B7C554C" w14:textId="32421A22"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4" w:history="1">
            <w:r w:rsidRPr="00FE5F30">
              <w:rPr>
                <w:rStyle w:val="Hyperlink"/>
                <w:rFonts w:ascii="Times New Roman" w:hAnsi="Times New Roman" w:cs="Times New Roman"/>
                <w:noProof/>
              </w:rPr>
              <w:t>3.3.3 Model Offset</w:t>
            </w:r>
            <w:r>
              <w:rPr>
                <w:noProof/>
              </w:rPr>
              <w:tab/>
            </w:r>
            <w:r>
              <w:rPr>
                <w:noProof/>
              </w:rPr>
              <w:fldChar w:fldCharType="begin"/>
            </w:r>
            <w:r>
              <w:rPr>
                <w:noProof/>
              </w:rPr>
              <w:instrText xml:space="preserve"> PAGEREF _Toc228825814 \h </w:instrText>
            </w:r>
            <w:r>
              <w:rPr>
                <w:noProof/>
              </w:rPr>
            </w:r>
            <w:r>
              <w:rPr>
                <w:noProof/>
              </w:rPr>
              <w:fldChar w:fldCharType="separate"/>
            </w:r>
            <w:r>
              <w:rPr>
                <w:noProof/>
              </w:rPr>
              <w:t>20</w:t>
            </w:r>
            <w:r>
              <w:rPr>
                <w:noProof/>
              </w:rPr>
              <w:fldChar w:fldCharType="end"/>
            </w:r>
          </w:hyperlink>
        </w:p>
        <w:p w14:paraId="5BE10A11" w14:textId="428F49A1"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5" w:history="1">
            <w:r w:rsidRPr="00FE5F30">
              <w:rPr>
                <w:rStyle w:val="Hyperlink"/>
                <w:rFonts w:ascii="Times New Roman" w:hAnsi="Times New Roman" w:cs="Times New Roman"/>
                <w:noProof/>
              </w:rPr>
              <w:t>3.3.4 Scenario Analysis Variables</w:t>
            </w:r>
            <w:r>
              <w:rPr>
                <w:noProof/>
              </w:rPr>
              <w:tab/>
            </w:r>
            <w:r>
              <w:rPr>
                <w:noProof/>
              </w:rPr>
              <w:fldChar w:fldCharType="begin"/>
            </w:r>
            <w:r>
              <w:rPr>
                <w:noProof/>
              </w:rPr>
              <w:instrText xml:space="preserve"> PAGEREF _Toc228825815 \h </w:instrText>
            </w:r>
            <w:r>
              <w:rPr>
                <w:noProof/>
              </w:rPr>
            </w:r>
            <w:r>
              <w:rPr>
                <w:noProof/>
              </w:rPr>
              <w:fldChar w:fldCharType="separate"/>
            </w:r>
            <w:r>
              <w:rPr>
                <w:noProof/>
              </w:rPr>
              <w:t>20</w:t>
            </w:r>
            <w:r>
              <w:rPr>
                <w:noProof/>
              </w:rPr>
              <w:fldChar w:fldCharType="end"/>
            </w:r>
          </w:hyperlink>
        </w:p>
        <w:p w14:paraId="634C16A0" w14:textId="7788057E"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6" w:history="1">
            <w:r w:rsidRPr="00FE5F30">
              <w:rPr>
                <w:rStyle w:val="Hyperlink"/>
                <w:rFonts w:ascii="Times New Roman" w:hAnsi="Times New Roman" w:cs="Times New Roman"/>
                <w:noProof/>
              </w:rPr>
              <w:t>3.4 Statistical Approach</w:t>
            </w:r>
            <w:r>
              <w:rPr>
                <w:noProof/>
              </w:rPr>
              <w:tab/>
            </w:r>
            <w:r>
              <w:rPr>
                <w:noProof/>
              </w:rPr>
              <w:fldChar w:fldCharType="begin"/>
            </w:r>
            <w:r>
              <w:rPr>
                <w:noProof/>
              </w:rPr>
              <w:instrText xml:space="preserve"> PAGEREF _Toc228825816 \h </w:instrText>
            </w:r>
            <w:r>
              <w:rPr>
                <w:noProof/>
              </w:rPr>
            </w:r>
            <w:r>
              <w:rPr>
                <w:noProof/>
              </w:rPr>
              <w:fldChar w:fldCharType="separate"/>
            </w:r>
            <w:r>
              <w:rPr>
                <w:noProof/>
              </w:rPr>
              <w:t>23</w:t>
            </w:r>
            <w:r>
              <w:rPr>
                <w:noProof/>
              </w:rPr>
              <w:fldChar w:fldCharType="end"/>
            </w:r>
          </w:hyperlink>
        </w:p>
        <w:p w14:paraId="790CD9E7" w14:textId="332B213D"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7" w:history="1">
            <w:r w:rsidRPr="00FE5F30">
              <w:rPr>
                <w:rStyle w:val="Hyperlink"/>
                <w:rFonts w:ascii="Times New Roman" w:hAnsi="Times New Roman" w:cs="Times New Roman"/>
                <w:noProof/>
              </w:rPr>
              <w:t>3.4.1 Model Diagnostics</w:t>
            </w:r>
            <w:r>
              <w:rPr>
                <w:noProof/>
              </w:rPr>
              <w:tab/>
            </w:r>
            <w:r>
              <w:rPr>
                <w:noProof/>
              </w:rPr>
              <w:fldChar w:fldCharType="begin"/>
            </w:r>
            <w:r>
              <w:rPr>
                <w:noProof/>
              </w:rPr>
              <w:instrText xml:space="preserve"> PAGEREF _Toc228825817 \h </w:instrText>
            </w:r>
            <w:r>
              <w:rPr>
                <w:noProof/>
              </w:rPr>
            </w:r>
            <w:r>
              <w:rPr>
                <w:noProof/>
              </w:rPr>
              <w:fldChar w:fldCharType="separate"/>
            </w:r>
            <w:r>
              <w:rPr>
                <w:noProof/>
              </w:rPr>
              <w:t>23</w:t>
            </w:r>
            <w:r>
              <w:rPr>
                <w:noProof/>
              </w:rPr>
              <w:fldChar w:fldCharType="end"/>
            </w:r>
          </w:hyperlink>
        </w:p>
        <w:p w14:paraId="7D1074B1" w14:textId="57AD6F8B"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8" w:history="1">
            <w:r w:rsidRPr="00FE5F30">
              <w:rPr>
                <w:rStyle w:val="Hyperlink"/>
                <w:rFonts w:ascii="Times New Roman" w:hAnsi="Times New Roman" w:cs="Times New Roman"/>
                <w:noProof/>
              </w:rPr>
              <w:t>3.4.2 Handling of Outliers and Data Constraints</w:t>
            </w:r>
            <w:r>
              <w:rPr>
                <w:noProof/>
              </w:rPr>
              <w:tab/>
            </w:r>
            <w:r>
              <w:rPr>
                <w:noProof/>
              </w:rPr>
              <w:fldChar w:fldCharType="begin"/>
            </w:r>
            <w:r>
              <w:rPr>
                <w:noProof/>
              </w:rPr>
              <w:instrText xml:space="preserve"> PAGEREF _Toc228825818 \h </w:instrText>
            </w:r>
            <w:r>
              <w:rPr>
                <w:noProof/>
              </w:rPr>
            </w:r>
            <w:r>
              <w:rPr>
                <w:noProof/>
              </w:rPr>
              <w:fldChar w:fldCharType="separate"/>
            </w:r>
            <w:r>
              <w:rPr>
                <w:noProof/>
              </w:rPr>
              <w:t>24</w:t>
            </w:r>
            <w:r>
              <w:rPr>
                <w:noProof/>
              </w:rPr>
              <w:fldChar w:fldCharType="end"/>
            </w:r>
          </w:hyperlink>
        </w:p>
        <w:p w14:paraId="7B599B37" w14:textId="2B401B49"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19" w:history="1">
            <w:r w:rsidRPr="00FE5F30">
              <w:rPr>
                <w:rStyle w:val="Hyperlink"/>
                <w:rFonts w:ascii="Times New Roman" w:hAnsi="Times New Roman" w:cs="Times New Roman"/>
                <w:noProof/>
              </w:rPr>
              <w:t>3.4.3 Scenario Analysis</w:t>
            </w:r>
            <w:r>
              <w:rPr>
                <w:noProof/>
              </w:rPr>
              <w:tab/>
            </w:r>
            <w:r>
              <w:rPr>
                <w:noProof/>
              </w:rPr>
              <w:fldChar w:fldCharType="begin"/>
            </w:r>
            <w:r>
              <w:rPr>
                <w:noProof/>
              </w:rPr>
              <w:instrText xml:space="preserve"> PAGEREF _Toc228825819 \h </w:instrText>
            </w:r>
            <w:r>
              <w:rPr>
                <w:noProof/>
              </w:rPr>
            </w:r>
            <w:r>
              <w:rPr>
                <w:noProof/>
              </w:rPr>
              <w:fldChar w:fldCharType="separate"/>
            </w:r>
            <w:r>
              <w:rPr>
                <w:noProof/>
              </w:rPr>
              <w:t>24</w:t>
            </w:r>
            <w:r>
              <w:rPr>
                <w:noProof/>
              </w:rPr>
              <w:fldChar w:fldCharType="end"/>
            </w:r>
          </w:hyperlink>
        </w:p>
        <w:p w14:paraId="37A482FE" w14:textId="645645C3"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20" w:history="1">
            <w:r w:rsidRPr="00FE5F30">
              <w:rPr>
                <w:rStyle w:val="Hyperlink"/>
                <w:rFonts w:ascii="Times New Roman" w:hAnsi="Times New Roman" w:cs="Times New Roman"/>
                <w:noProof/>
              </w:rPr>
              <w:t>4. Results and Discussion</w:t>
            </w:r>
            <w:r>
              <w:rPr>
                <w:noProof/>
              </w:rPr>
              <w:tab/>
            </w:r>
            <w:r>
              <w:rPr>
                <w:noProof/>
              </w:rPr>
              <w:fldChar w:fldCharType="begin"/>
            </w:r>
            <w:r>
              <w:rPr>
                <w:noProof/>
              </w:rPr>
              <w:instrText xml:space="preserve"> PAGEREF _Toc228825820 \h </w:instrText>
            </w:r>
            <w:r>
              <w:rPr>
                <w:noProof/>
              </w:rPr>
            </w:r>
            <w:r>
              <w:rPr>
                <w:noProof/>
              </w:rPr>
              <w:fldChar w:fldCharType="separate"/>
            </w:r>
            <w:r>
              <w:rPr>
                <w:noProof/>
              </w:rPr>
              <w:t>26</w:t>
            </w:r>
            <w:r>
              <w:rPr>
                <w:noProof/>
              </w:rPr>
              <w:fldChar w:fldCharType="end"/>
            </w:r>
          </w:hyperlink>
        </w:p>
        <w:p w14:paraId="3D422769" w14:textId="2F0D1640"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21" w:history="1">
            <w:r w:rsidRPr="00FE5F30">
              <w:rPr>
                <w:rStyle w:val="Hyperlink"/>
                <w:rFonts w:ascii="Times New Roman" w:hAnsi="Times New Roman" w:cs="Times New Roman"/>
                <w:noProof/>
              </w:rPr>
              <w:t>4.1 Descriptive Statistics</w:t>
            </w:r>
            <w:r>
              <w:rPr>
                <w:noProof/>
              </w:rPr>
              <w:tab/>
            </w:r>
            <w:r>
              <w:rPr>
                <w:noProof/>
              </w:rPr>
              <w:fldChar w:fldCharType="begin"/>
            </w:r>
            <w:r>
              <w:rPr>
                <w:noProof/>
              </w:rPr>
              <w:instrText xml:space="preserve"> PAGEREF _Toc228825821 \h </w:instrText>
            </w:r>
            <w:r>
              <w:rPr>
                <w:noProof/>
              </w:rPr>
            </w:r>
            <w:r>
              <w:rPr>
                <w:noProof/>
              </w:rPr>
              <w:fldChar w:fldCharType="separate"/>
            </w:r>
            <w:r>
              <w:rPr>
                <w:noProof/>
              </w:rPr>
              <w:t>26</w:t>
            </w:r>
            <w:r>
              <w:rPr>
                <w:noProof/>
              </w:rPr>
              <w:fldChar w:fldCharType="end"/>
            </w:r>
          </w:hyperlink>
        </w:p>
        <w:p w14:paraId="2DEEB885" w14:textId="49F20901"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22" w:history="1">
            <w:r w:rsidRPr="00FE5F30">
              <w:rPr>
                <w:rStyle w:val="Hyperlink"/>
                <w:rFonts w:ascii="Times New Roman" w:hAnsi="Times New Roman" w:cs="Times New Roman"/>
                <w:noProof/>
              </w:rPr>
              <w:t>4.2 Model Results — Medication Orders (rx_per_day)</w:t>
            </w:r>
            <w:r>
              <w:rPr>
                <w:noProof/>
              </w:rPr>
              <w:tab/>
            </w:r>
            <w:r>
              <w:rPr>
                <w:noProof/>
              </w:rPr>
              <w:fldChar w:fldCharType="begin"/>
            </w:r>
            <w:r>
              <w:rPr>
                <w:noProof/>
              </w:rPr>
              <w:instrText xml:space="preserve"> PAGEREF _Toc228825822 \h </w:instrText>
            </w:r>
            <w:r>
              <w:rPr>
                <w:noProof/>
              </w:rPr>
            </w:r>
            <w:r>
              <w:rPr>
                <w:noProof/>
              </w:rPr>
              <w:fldChar w:fldCharType="separate"/>
            </w:r>
            <w:r>
              <w:rPr>
                <w:noProof/>
              </w:rPr>
              <w:t>27</w:t>
            </w:r>
            <w:r>
              <w:rPr>
                <w:noProof/>
              </w:rPr>
              <w:fldChar w:fldCharType="end"/>
            </w:r>
          </w:hyperlink>
        </w:p>
        <w:p w14:paraId="3A2983D5" w14:textId="5305D2DD"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23" w:history="1">
            <w:r w:rsidRPr="00FE5F30">
              <w:rPr>
                <w:rStyle w:val="Hyperlink"/>
                <w:rFonts w:ascii="Times New Roman" w:hAnsi="Times New Roman" w:cs="Times New Roman"/>
                <w:noProof/>
              </w:rPr>
              <w:t>4.3 Model Results — Laboratory Events (labs_per_day)</w:t>
            </w:r>
            <w:r>
              <w:rPr>
                <w:noProof/>
              </w:rPr>
              <w:tab/>
            </w:r>
            <w:r>
              <w:rPr>
                <w:noProof/>
              </w:rPr>
              <w:fldChar w:fldCharType="begin"/>
            </w:r>
            <w:r>
              <w:rPr>
                <w:noProof/>
              </w:rPr>
              <w:instrText xml:space="preserve"> PAGEREF _Toc228825823 \h </w:instrText>
            </w:r>
            <w:r>
              <w:rPr>
                <w:noProof/>
              </w:rPr>
            </w:r>
            <w:r>
              <w:rPr>
                <w:noProof/>
              </w:rPr>
              <w:fldChar w:fldCharType="separate"/>
            </w:r>
            <w:r>
              <w:rPr>
                <w:noProof/>
              </w:rPr>
              <w:t>29</w:t>
            </w:r>
            <w:r>
              <w:rPr>
                <w:noProof/>
              </w:rPr>
              <w:fldChar w:fldCharType="end"/>
            </w:r>
          </w:hyperlink>
        </w:p>
        <w:p w14:paraId="65B36116" w14:textId="380A3E60"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24" w:history="1">
            <w:r>
              <w:rPr>
                <w:noProof/>
              </w:rPr>
              <w:tab/>
            </w:r>
            <w:r>
              <w:rPr>
                <w:noProof/>
              </w:rPr>
              <w:fldChar w:fldCharType="begin"/>
            </w:r>
            <w:r>
              <w:rPr>
                <w:noProof/>
              </w:rPr>
              <w:instrText xml:space="preserve"> PAGEREF _Toc228825824 \h </w:instrText>
            </w:r>
            <w:r>
              <w:rPr>
                <w:noProof/>
              </w:rPr>
            </w:r>
            <w:r>
              <w:rPr>
                <w:noProof/>
              </w:rPr>
              <w:fldChar w:fldCharType="separate"/>
            </w:r>
            <w:r>
              <w:rPr>
                <w:noProof/>
              </w:rPr>
              <w:t>30</w:t>
            </w:r>
            <w:r>
              <w:rPr>
                <w:noProof/>
              </w:rPr>
              <w:fldChar w:fldCharType="end"/>
            </w:r>
          </w:hyperlink>
        </w:p>
        <w:p w14:paraId="2DA0799C" w14:textId="40757F22"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25" w:history="1">
            <w:r w:rsidRPr="00FE5F30">
              <w:rPr>
                <w:rStyle w:val="Hyperlink"/>
                <w:rFonts w:ascii="Times New Roman" w:hAnsi="Times New Roman" w:cs="Times New Roman"/>
                <w:noProof/>
              </w:rPr>
              <w:t>4.4 Model Results — Total CDS Events (total_events_per_day)</w:t>
            </w:r>
            <w:r>
              <w:rPr>
                <w:noProof/>
              </w:rPr>
              <w:tab/>
            </w:r>
            <w:r>
              <w:rPr>
                <w:noProof/>
              </w:rPr>
              <w:fldChar w:fldCharType="begin"/>
            </w:r>
            <w:r>
              <w:rPr>
                <w:noProof/>
              </w:rPr>
              <w:instrText xml:space="preserve"> PAGEREF _Toc228825825 \h </w:instrText>
            </w:r>
            <w:r>
              <w:rPr>
                <w:noProof/>
              </w:rPr>
            </w:r>
            <w:r>
              <w:rPr>
                <w:noProof/>
              </w:rPr>
              <w:fldChar w:fldCharType="separate"/>
            </w:r>
            <w:r>
              <w:rPr>
                <w:noProof/>
              </w:rPr>
              <w:t>31</w:t>
            </w:r>
            <w:r>
              <w:rPr>
                <w:noProof/>
              </w:rPr>
              <w:fldChar w:fldCharType="end"/>
            </w:r>
          </w:hyperlink>
        </w:p>
        <w:p w14:paraId="00662FBD" w14:textId="33EB089B"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26" w:history="1">
            <w:r w:rsidRPr="00FE5F30">
              <w:rPr>
                <w:rStyle w:val="Hyperlink"/>
                <w:rFonts w:ascii="Times New Roman" w:hAnsi="Times New Roman" w:cs="Times New Roman"/>
                <w:noProof/>
              </w:rPr>
              <w:t>4.5 Discussion</w:t>
            </w:r>
            <w:r>
              <w:rPr>
                <w:noProof/>
              </w:rPr>
              <w:tab/>
            </w:r>
            <w:r>
              <w:rPr>
                <w:noProof/>
              </w:rPr>
              <w:fldChar w:fldCharType="begin"/>
            </w:r>
            <w:r>
              <w:rPr>
                <w:noProof/>
              </w:rPr>
              <w:instrText xml:space="preserve"> PAGEREF _Toc228825826 \h </w:instrText>
            </w:r>
            <w:r>
              <w:rPr>
                <w:noProof/>
              </w:rPr>
            </w:r>
            <w:r>
              <w:rPr>
                <w:noProof/>
              </w:rPr>
              <w:fldChar w:fldCharType="separate"/>
            </w:r>
            <w:r>
              <w:rPr>
                <w:noProof/>
              </w:rPr>
              <w:t>33</w:t>
            </w:r>
            <w:r>
              <w:rPr>
                <w:noProof/>
              </w:rPr>
              <w:fldChar w:fldCharType="end"/>
            </w:r>
          </w:hyperlink>
        </w:p>
        <w:p w14:paraId="6B4225DF" w14:textId="12B3CE30"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27" w:history="1">
            <w:r w:rsidRPr="00FE5F30">
              <w:rPr>
                <w:rStyle w:val="Hyperlink"/>
                <w:rFonts w:ascii="Times New Roman" w:hAnsi="Times New Roman" w:cs="Times New Roman"/>
                <w:noProof/>
              </w:rPr>
              <w:t>5. Conclusions</w:t>
            </w:r>
            <w:r>
              <w:rPr>
                <w:noProof/>
              </w:rPr>
              <w:tab/>
            </w:r>
            <w:r>
              <w:rPr>
                <w:noProof/>
              </w:rPr>
              <w:fldChar w:fldCharType="begin"/>
            </w:r>
            <w:r>
              <w:rPr>
                <w:noProof/>
              </w:rPr>
              <w:instrText xml:space="preserve"> PAGEREF _Toc228825827 \h </w:instrText>
            </w:r>
            <w:r>
              <w:rPr>
                <w:noProof/>
              </w:rPr>
            </w:r>
            <w:r>
              <w:rPr>
                <w:noProof/>
              </w:rPr>
              <w:fldChar w:fldCharType="separate"/>
            </w:r>
            <w:r>
              <w:rPr>
                <w:noProof/>
              </w:rPr>
              <w:t>35</w:t>
            </w:r>
            <w:r>
              <w:rPr>
                <w:noProof/>
              </w:rPr>
              <w:fldChar w:fldCharType="end"/>
            </w:r>
          </w:hyperlink>
        </w:p>
        <w:p w14:paraId="63B3CF67" w14:textId="0505FA60"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28" w:history="1">
            <w:r w:rsidRPr="00FE5F30">
              <w:rPr>
                <w:rStyle w:val="Hyperlink"/>
                <w:rFonts w:ascii="Times New Roman" w:hAnsi="Times New Roman" w:cs="Times New Roman"/>
                <w:noProof/>
              </w:rPr>
              <w:t>6. Recommendations and Future Work</w:t>
            </w:r>
            <w:r>
              <w:rPr>
                <w:noProof/>
              </w:rPr>
              <w:tab/>
            </w:r>
            <w:r>
              <w:rPr>
                <w:noProof/>
              </w:rPr>
              <w:fldChar w:fldCharType="begin"/>
            </w:r>
            <w:r>
              <w:rPr>
                <w:noProof/>
              </w:rPr>
              <w:instrText xml:space="preserve"> PAGEREF _Toc228825828 \h </w:instrText>
            </w:r>
            <w:r>
              <w:rPr>
                <w:noProof/>
              </w:rPr>
            </w:r>
            <w:r>
              <w:rPr>
                <w:noProof/>
              </w:rPr>
              <w:fldChar w:fldCharType="separate"/>
            </w:r>
            <w:r>
              <w:rPr>
                <w:noProof/>
              </w:rPr>
              <w:t>36</w:t>
            </w:r>
            <w:r>
              <w:rPr>
                <w:noProof/>
              </w:rPr>
              <w:fldChar w:fldCharType="end"/>
            </w:r>
          </w:hyperlink>
        </w:p>
        <w:p w14:paraId="04288028" w14:textId="58D4E93F"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29" w:history="1">
            <w:r w:rsidRPr="00FE5F30">
              <w:rPr>
                <w:rStyle w:val="Hyperlink"/>
                <w:rFonts w:ascii="Times New Roman" w:hAnsi="Times New Roman" w:cs="Times New Roman"/>
                <w:noProof/>
              </w:rPr>
              <w:t>6.1 Practical Recommendations</w:t>
            </w:r>
            <w:r>
              <w:rPr>
                <w:noProof/>
              </w:rPr>
              <w:tab/>
            </w:r>
            <w:r>
              <w:rPr>
                <w:noProof/>
              </w:rPr>
              <w:fldChar w:fldCharType="begin"/>
            </w:r>
            <w:r>
              <w:rPr>
                <w:noProof/>
              </w:rPr>
              <w:instrText xml:space="preserve"> PAGEREF _Toc228825829 \h </w:instrText>
            </w:r>
            <w:r>
              <w:rPr>
                <w:noProof/>
              </w:rPr>
            </w:r>
            <w:r>
              <w:rPr>
                <w:noProof/>
              </w:rPr>
              <w:fldChar w:fldCharType="separate"/>
            </w:r>
            <w:r>
              <w:rPr>
                <w:noProof/>
              </w:rPr>
              <w:t>36</w:t>
            </w:r>
            <w:r>
              <w:rPr>
                <w:noProof/>
              </w:rPr>
              <w:fldChar w:fldCharType="end"/>
            </w:r>
          </w:hyperlink>
        </w:p>
        <w:p w14:paraId="20C93AED" w14:textId="0B4A57C2"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0" w:history="1">
            <w:r w:rsidRPr="00FE5F30">
              <w:rPr>
                <w:rStyle w:val="Hyperlink"/>
                <w:rFonts w:ascii="Times New Roman" w:hAnsi="Times New Roman" w:cs="Times New Roman"/>
                <w:noProof/>
              </w:rPr>
              <w:t>6.2 Limitations</w:t>
            </w:r>
            <w:r>
              <w:rPr>
                <w:noProof/>
              </w:rPr>
              <w:tab/>
            </w:r>
            <w:r>
              <w:rPr>
                <w:noProof/>
              </w:rPr>
              <w:fldChar w:fldCharType="begin"/>
            </w:r>
            <w:r>
              <w:rPr>
                <w:noProof/>
              </w:rPr>
              <w:instrText xml:space="preserve"> PAGEREF _Toc228825830 \h </w:instrText>
            </w:r>
            <w:r>
              <w:rPr>
                <w:noProof/>
              </w:rPr>
            </w:r>
            <w:r>
              <w:rPr>
                <w:noProof/>
              </w:rPr>
              <w:fldChar w:fldCharType="separate"/>
            </w:r>
            <w:r>
              <w:rPr>
                <w:noProof/>
              </w:rPr>
              <w:t>36</w:t>
            </w:r>
            <w:r>
              <w:rPr>
                <w:noProof/>
              </w:rPr>
              <w:fldChar w:fldCharType="end"/>
            </w:r>
          </w:hyperlink>
        </w:p>
        <w:p w14:paraId="62E65902" w14:textId="556EBFBA"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1" w:history="1">
            <w:r w:rsidRPr="00FE5F30">
              <w:rPr>
                <w:rStyle w:val="Hyperlink"/>
                <w:rFonts w:ascii="Times New Roman" w:hAnsi="Times New Roman" w:cs="Times New Roman"/>
                <w:noProof/>
              </w:rPr>
              <w:t>6.3 Future Work</w:t>
            </w:r>
            <w:r>
              <w:rPr>
                <w:noProof/>
              </w:rPr>
              <w:tab/>
            </w:r>
            <w:r>
              <w:rPr>
                <w:noProof/>
              </w:rPr>
              <w:fldChar w:fldCharType="begin"/>
            </w:r>
            <w:r>
              <w:rPr>
                <w:noProof/>
              </w:rPr>
              <w:instrText xml:space="preserve"> PAGEREF _Toc228825831 \h </w:instrText>
            </w:r>
            <w:r>
              <w:rPr>
                <w:noProof/>
              </w:rPr>
            </w:r>
            <w:r>
              <w:rPr>
                <w:noProof/>
              </w:rPr>
              <w:fldChar w:fldCharType="separate"/>
            </w:r>
            <w:r>
              <w:rPr>
                <w:noProof/>
              </w:rPr>
              <w:t>38</w:t>
            </w:r>
            <w:r>
              <w:rPr>
                <w:noProof/>
              </w:rPr>
              <w:fldChar w:fldCharType="end"/>
            </w:r>
          </w:hyperlink>
        </w:p>
        <w:p w14:paraId="39F1836F" w14:textId="5B69046B"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32" w:history="1">
            <w:r w:rsidRPr="00FE5F30">
              <w:rPr>
                <w:rStyle w:val="Hyperlink"/>
                <w:rFonts w:ascii="Times New Roman" w:hAnsi="Times New Roman" w:cs="Times New Roman"/>
                <w:noProof/>
              </w:rPr>
              <w:t>References</w:t>
            </w:r>
            <w:r>
              <w:rPr>
                <w:noProof/>
              </w:rPr>
              <w:tab/>
            </w:r>
            <w:r>
              <w:rPr>
                <w:noProof/>
              </w:rPr>
              <w:fldChar w:fldCharType="begin"/>
            </w:r>
            <w:r>
              <w:rPr>
                <w:noProof/>
              </w:rPr>
              <w:instrText xml:space="preserve"> PAGEREF _Toc228825832 \h </w:instrText>
            </w:r>
            <w:r>
              <w:rPr>
                <w:noProof/>
              </w:rPr>
            </w:r>
            <w:r>
              <w:rPr>
                <w:noProof/>
              </w:rPr>
              <w:fldChar w:fldCharType="separate"/>
            </w:r>
            <w:r>
              <w:rPr>
                <w:noProof/>
              </w:rPr>
              <w:t>39</w:t>
            </w:r>
            <w:r>
              <w:rPr>
                <w:noProof/>
              </w:rPr>
              <w:fldChar w:fldCharType="end"/>
            </w:r>
          </w:hyperlink>
        </w:p>
        <w:p w14:paraId="014C0DC6" w14:textId="0C2F2107" w:rsidR="00EC4389" w:rsidRDefault="00EC4389">
          <w:pPr>
            <w:pStyle w:val="TOC1"/>
            <w:tabs>
              <w:tab w:val="right" w:leader="dot" w:pos="9350"/>
            </w:tabs>
            <w:rPr>
              <w:rFonts w:asciiTheme="minorHAnsi" w:eastAsiaTheme="minorEastAsia" w:hAnsiTheme="minorHAnsi" w:cstheme="minorBidi"/>
              <w:noProof/>
              <w:kern w:val="2"/>
              <w14:ligatures w14:val="standardContextual"/>
            </w:rPr>
          </w:pPr>
          <w:hyperlink w:anchor="_Toc228825833" w:history="1">
            <w:r w:rsidRPr="00FE5F30">
              <w:rPr>
                <w:rStyle w:val="Hyperlink"/>
                <w:rFonts w:ascii="Times New Roman" w:hAnsi="Times New Roman" w:cs="Times New Roman"/>
                <w:noProof/>
              </w:rPr>
              <w:t>Appendices</w:t>
            </w:r>
            <w:r>
              <w:rPr>
                <w:noProof/>
              </w:rPr>
              <w:tab/>
            </w:r>
            <w:r>
              <w:rPr>
                <w:noProof/>
              </w:rPr>
              <w:fldChar w:fldCharType="begin"/>
            </w:r>
            <w:r>
              <w:rPr>
                <w:noProof/>
              </w:rPr>
              <w:instrText xml:space="preserve"> PAGEREF _Toc228825833 \h </w:instrText>
            </w:r>
            <w:r>
              <w:rPr>
                <w:noProof/>
              </w:rPr>
            </w:r>
            <w:r>
              <w:rPr>
                <w:noProof/>
              </w:rPr>
              <w:fldChar w:fldCharType="separate"/>
            </w:r>
            <w:r>
              <w:rPr>
                <w:noProof/>
              </w:rPr>
              <w:t>41</w:t>
            </w:r>
            <w:r>
              <w:rPr>
                <w:noProof/>
              </w:rPr>
              <w:fldChar w:fldCharType="end"/>
            </w:r>
          </w:hyperlink>
        </w:p>
        <w:p w14:paraId="5DB90D3D" w14:textId="75D5EFE1"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4" w:history="1">
            <w:r w:rsidRPr="00FE5F30">
              <w:rPr>
                <w:rStyle w:val="Hyperlink"/>
                <w:rFonts w:ascii="Times New Roman" w:hAnsi="Times New Roman" w:cs="Times New Roman"/>
                <w:noProof/>
              </w:rPr>
              <w:t>Appendix A: Codebook</w:t>
            </w:r>
            <w:r>
              <w:rPr>
                <w:noProof/>
              </w:rPr>
              <w:tab/>
            </w:r>
            <w:r>
              <w:rPr>
                <w:noProof/>
              </w:rPr>
              <w:fldChar w:fldCharType="begin"/>
            </w:r>
            <w:r>
              <w:rPr>
                <w:noProof/>
              </w:rPr>
              <w:instrText xml:space="preserve"> PAGEREF _Toc228825834 \h </w:instrText>
            </w:r>
            <w:r>
              <w:rPr>
                <w:noProof/>
              </w:rPr>
            </w:r>
            <w:r>
              <w:rPr>
                <w:noProof/>
              </w:rPr>
              <w:fldChar w:fldCharType="separate"/>
            </w:r>
            <w:r>
              <w:rPr>
                <w:noProof/>
              </w:rPr>
              <w:t>41</w:t>
            </w:r>
            <w:r>
              <w:rPr>
                <w:noProof/>
              </w:rPr>
              <w:fldChar w:fldCharType="end"/>
            </w:r>
          </w:hyperlink>
        </w:p>
        <w:p w14:paraId="1F3DD2BA" w14:textId="32C78567"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5" w:history="1">
            <w:r w:rsidRPr="00FE5F30">
              <w:rPr>
                <w:rStyle w:val="Hyperlink"/>
                <w:rFonts w:ascii="Times New Roman" w:hAnsi="Times New Roman" w:cs="Times New Roman"/>
                <w:noProof/>
              </w:rPr>
              <w:t>Appendix B: Reproducible Code</w:t>
            </w:r>
            <w:r>
              <w:rPr>
                <w:noProof/>
              </w:rPr>
              <w:tab/>
            </w:r>
            <w:r>
              <w:rPr>
                <w:noProof/>
              </w:rPr>
              <w:fldChar w:fldCharType="begin"/>
            </w:r>
            <w:r>
              <w:rPr>
                <w:noProof/>
              </w:rPr>
              <w:instrText xml:space="preserve"> PAGEREF _Toc228825835 \h </w:instrText>
            </w:r>
            <w:r>
              <w:rPr>
                <w:noProof/>
              </w:rPr>
            </w:r>
            <w:r>
              <w:rPr>
                <w:noProof/>
              </w:rPr>
              <w:fldChar w:fldCharType="separate"/>
            </w:r>
            <w:r>
              <w:rPr>
                <w:noProof/>
              </w:rPr>
              <w:t>41</w:t>
            </w:r>
            <w:r>
              <w:rPr>
                <w:noProof/>
              </w:rPr>
              <w:fldChar w:fldCharType="end"/>
            </w:r>
          </w:hyperlink>
        </w:p>
        <w:p w14:paraId="21C9E84A" w14:textId="09F276DB"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6" w:history="1">
            <w:r w:rsidRPr="00FE5F30">
              <w:rPr>
                <w:rStyle w:val="Hyperlink"/>
                <w:rFonts w:ascii="Times New Roman" w:hAnsi="Times New Roman" w:cs="Times New Roman"/>
                <w:noProof/>
              </w:rPr>
              <w:t>Appendix C: Additional Tables and Figures</w:t>
            </w:r>
            <w:r>
              <w:rPr>
                <w:noProof/>
              </w:rPr>
              <w:tab/>
            </w:r>
            <w:r>
              <w:rPr>
                <w:noProof/>
              </w:rPr>
              <w:fldChar w:fldCharType="begin"/>
            </w:r>
            <w:r>
              <w:rPr>
                <w:noProof/>
              </w:rPr>
              <w:instrText xml:space="preserve"> PAGEREF _Toc228825836 \h </w:instrText>
            </w:r>
            <w:r>
              <w:rPr>
                <w:noProof/>
              </w:rPr>
            </w:r>
            <w:r>
              <w:rPr>
                <w:noProof/>
              </w:rPr>
              <w:fldChar w:fldCharType="separate"/>
            </w:r>
            <w:r>
              <w:rPr>
                <w:noProof/>
              </w:rPr>
              <w:t>41</w:t>
            </w:r>
            <w:r>
              <w:rPr>
                <w:noProof/>
              </w:rPr>
              <w:fldChar w:fldCharType="end"/>
            </w:r>
          </w:hyperlink>
        </w:p>
        <w:p w14:paraId="59E113A2" w14:textId="17F474E2"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7" w:history="1">
            <w:r w:rsidRPr="00FE5F30">
              <w:rPr>
                <w:rStyle w:val="Hyperlink"/>
                <w:rFonts w:ascii="Times New Roman" w:hAnsi="Times New Roman" w:cs="Times New Roman"/>
                <w:noProof/>
              </w:rPr>
              <w:t>Figure 2. Distribution of Total CDS-Triggering Events per ICU Admission</w:t>
            </w:r>
            <w:r>
              <w:rPr>
                <w:noProof/>
              </w:rPr>
              <w:tab/>
            </w:r>
            <w:r>
              <w:rPr>
                <w:noProof/>
              </w:rPr>
              <w:fldChar w:fldCharType="begin"/>
            </w:r>
            <w:r>
              <w:rPr>
                <w:noProof/>
              </w:rPr>
              <w:instrText xml:space="preserve"> PAGEREF _Toc228825837 \h </w:instrText>
            </w:r>
            <w:r>
              <w:rPr>
                <w:noProof/>
              </w:rPr>
            </w:r>
            <w:r>
              <w:rPr>
                <w:noProof/>
              </w:rPr>
              <w:fldChar w:fldCharType="separate"/>
            </w:r>
            <w:r>
              <w:rPr>
                <w:noProof/>
              </w:rPr>
              <w:t>42</w:t>
            </w:r>
            <w:r>
              <w:rPr>
                <w:noProof/>
              </w:rPr>
              <w:fldChar w:fldCharType="end"/>
            </w:r>
          </w:hyperlink>
        </w:p>
        <w:p w14:paraId="2ABB02E6" w14:textId="39F2D742"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8" w:history="1">
            <w:r w:rsidRPr="00FE5F30">
              <w:rPr>
                <w:rStyle w:val="Hyperlink"/>
                <w:rFonts w:ascii="Times New Roman" w:hAnsi="Times New Roman" w:cs="Times New Roman"/>
                <w:noProof/>
              </w:rPr>
              <w:t>Figure 3. Daily CDS-Triggering Event Rate by ICU Unit Type</w:t>
            </w:r>
            <w:r>
              <w:rPr>
                <w:noProof/>
              </w:rPr>
              <w:tab/>
            </w:r>
            <w:r>
              <w:rPr>
                <w:noProof/>
              </w:rPr>
              <w:fldChar w:fldCharType="begin"/>
            </w:r>
            <w:r>
              <w:rPr>
                <w:noProof/>
              </w:rPr>
              <w:instrText xml:space="preserve"> PAGEREF _Toc228825838 \h </w:instrText>
            </w:r>
            <w:r>
              <w:rPr>
                <w:noProof/>
              </w:rPr>
            </w:r>
            <w:r>
              <w:rPr>
                <w:noProof/>
              </w:rPr>
              <w:fldChar w:fldCharType="separate"/>
            </w:r>
            <w:r>
              <w:rPr>
                <w:noProof/>
              </w:rPr>
              <w:t>43</w:t>
            </w:r>
            <w:r>
              <w:rPr>
                <w:noProof/>
              </w:rPr>
              <w:fldChar w:fldCharType="end"/>
            </w:r>
          </w:hyperlink>
        </w:p>
        <w:p w14:paraId="636AEB3F" w14:textId="0036A5E4"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39" w:history="1">
            <w:r w:rsidRPr="00FE5F30">
              <w:rPr>
                <w:rStyle w:val="Hyperlink"/>
                <w:rFonts w:ascii="Times New Roman" w:hAnsi="Times New Roman" w:cs="Times New Roman"/>
                <w:noProof/>
              </w:rPr>
              <w:t>Figure 4. Relationship Between Medication Orders and Laboratory Events per ICU Admission</w:t>
            </w:r>
            <w:r>
              <w:rPr>
                <w:noProof/>
              </w:rPr>
              <w:tab/>
            </w:r>
            <w:r>
              <w:rPr>
                <w:noProof/>
              </w:rPr>
              <w:fldChar w:fldCharType="begin"/>
            </w:r>
            <w:r>
              <w:rPr>
                <w:noProof/>
              </w:rPr>
              <w:instrText xml:space="preserve"> PAGEREF _Toc228825839 \h </w:instrText>
            </w:r>
            <w:r>
              <w:rPr>
                <w:noProof/>
              </w:rPr>
            </w:r>
            <w:r>
              <w:rPr>
                <w:noProof/>
              </w:rPr>
              <w:fldChar w:fldCharType="separate"/>
            </w:r>
            <w:r>
              <w:rPr>
                <w:noProof/>
              </w:rPr>
              <w:t>44</w:t>
            </w:r>
            <w:r>
              <w:rPr>
                <w:noProof/>
              </w:rPr>
              <w:fldChar w:fldCharType="end"/>
            </w:r>
          </w:hyperlink>
        </w:p>
        <w:p w14:paraId="17CFCAD9" w14:textId="0E754D62"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40" w:history="1">
            <w:r w:rsidRPr="00FE5F30">
              <w:rPr>
                <w:rStyle w:val="Hyperlink"/>
                <w:rFonts w:ascii="Times New Roman" w:hAnsi="Times New Roman" w:cs="Times New Roman"/>
                <w:noProof/>
              </w:rPr>
              <w:t>Figure 5. Estimated CDS Event Burden Under Suppression Scenarios</w:t>
            </w:r>
            <w:r>
              <w:rPr>
                <w:noProof/>
              </w:rPr>
              <w:tab/>
            </w:r>
            <w:r>
              <w:rPr>
                <w:noProof/>
              </w:rPr>
              <w:fldChar w:fldCharType="begin"/>
            </w:r>
            <w:r>
              <w:rPr>
                <w:noProof/>
              </w:rPr>
              <w:instrText xml:space="preserve"> PAGEREF _Toc228825840 \h </w:instrText>
            </w:r>
            <w:r>
              <w:rPr>
                <w:noProof/>
              </w:rPr>
            </w:r>
            <w:r>
              <w:rPr>
                <w:noProof/>
              </w:rPr>
              <w:fldChar w:fldCharType="separate"/>
            </w:r>
            <w:r>
              <w:rPr>
                <w:noProof/>
              </w:rPr>
              <w:t>45</w:t>
            </w:r>
            <w:r>
              <w:rPr>
                <w:noProof/>
              </w:rPr>
              <w:fldChar w:fldCharType="end"/>
            </w:r>
          </w:hyperlink>
        </w:p>
        <w:p w14:paraId="19A59D15" w14:textId="6BCC9B41"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41" w:history="1">
            <w:r w:rsidRPr="00FE5F30">
              <w:rPr>
                <w:rStyle w:val="Hyperlink"/>
                <w:rFonts w:ascii="Times New Roman" w:hAnsi="Times New Roman" w:cs="Times New Roman"/>
                <w:noProof/>
              </w:rPr>
              <w:t>Figure 6. ICU Length of Stay Distribution</w:t>
            </w:r>
            <w:r>
              <w:rPr>
                <w:noProof/>
              </w:rPr>
              <w:tab/>
            </w:r>
            <w:r>
              <w:rPr>
                <w:noProof/>
              </w:rPr>
              <w:fldChar w:fldCharType="begin"/>
            </w:r>
            <w:r>
              <w:rPr>
                <w:noProof/>
              </w:rPr>
              <w:instrText xml:space="preserve"> PAGEREF _Toc228825841 \h </w:instrText>
            </w:r>
            <w:r>
              <w:rPr>
                <w:noProof/>
              </w:rPr>
            </w:r>
            <w:r>
              <w:rPr>
                <w:noProof/>
              </w:rPr>
              <w:fldChar w:fldCharType="separate"/>
            </w:r>
            <w:r>
              <w:rPr>
                <w:noProof/>
              </w:rPr>
              <w:t>46</w:t>
            </w:r>
            <w:r>
              <w:rPr>
                <w:noProof/>
              </w:rPr>
              <w:fldChar w:fldCharType="end"/>
            </w:r>
          </w:hyperlink>
        </w:p>
        <w:p w14:paraId="0187F597" w14:textId="2738BAC7"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42" w:history="1">
            <w:r w:rsidRPr="00FE5F30">
              <w:rPr>
                <w:rStyle w:val="Hyperlink"/>
                <w:rFonts w:ascii="Times New Roman" w:hAnsi="Times New Roman" w:cs="Times New Roman"/>
                <w:noProof/>
              </w:rPr>
              <w:t>Figure 7. Medication Order Activity by Hour of Day</w:t>
            </w:r>
            <w:r>
              <w:rPr>
                <w:noProof/>
              </w:rPr>
              <w:tab/>
            </w:r>
            <w:r>
              <w:rPr>
                <w:noProof/>
              </w:rPr>
              <w:fldChar w:fldCharType="begin"/>
            </w:r>
            <w:r>
              <w:rPr>
                <w:noProof/>
              </w:rPr>
              <w:instrText xml:space="preserve"> PAGEREF _Toc228825842 \h </w:instrText>
            </w:r>
            <w:r>
              <w:rPr>
                <w:noProof/>
              </w:rPr>
            </w:r>
            <w:r>
              <w:rPr>
                <w:noProof/>
              </w:rPr>
              <w:fldChar w:fldCharType="separate"/>
            </w:r>
            <w:r>
              <w:rPr>
                <w:noProof/>
              </w:rPr>
              <w:t>47</w:t>
            </w:r>
            <w:r>
              <w:rPr>
                <w:noProof/>
              </w:rPr>
              <w:fldChar w:fldCharType="end"/>
            </w:r>
          </w:hyperlink>
        </w:p>
        <w:p w14:paraId="57E555DB" w14:textId="40D41D16"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43" w:history="1">
            <w:r w:rsidRPr="00FE5F30">
              <w:rPr>
                <w:rStyle w:val="Hyperlink"/>
                <w:rFonts w:ascii="Times New Roman" w:hAnsi="Times New Roman" w:cs="Times New Roman"/>
                <w:noProof/>
              </w:rPr>
              <w:t>Figure 8. Medication Order Volume by Clinical Shift</w:t>
            </w:r>
            <w:r>
              <w:rPr>
                <w:noProof/>
              </w:rPr>
              <w:tab/>
            </w:r>
            <w:r>
              <w:rPr>
                <w:noProof/>
              </w:rPr>
              <w:fldChar w:fldCharType="begin"/>
            </w:r>
            <w:r>
              <w:rPr>
                <w:noProof/>
              </w:rPr>
              <w:instrText xml:space="preserve"> PAGEREF _Toc228825843 \h </w:instrText>
            </w:r>
            <w:r>
              <w:rPr>
                <w:noProof/>
              </w:rPr>
            </w:r>
            <w:r>
              <w:rPr>
                <w:noProof/>
              </w:rPr>
              <w:fldChar w:fldCharType="separate"/>
            </w:r>
            <w:r>
              <w:rPr>
                <w:noProof/>
              </w:rPr>
              <w:t>48</w:t>
            </w:r>
            <w:r>
              <w:rPr>
                <w:noProof/>
              </w:rPr>
              <w:fldChar w:fldCharType="end"/>
            </w:r>
          </w:hyperlink>
        </w:p>
        <w:p w14:paraId="141B8EA6" w14:textId="778D5DC8"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44" w:history="1">
            <w:r w:rsidRPr="00FE5F30">
              <w:rPr>
                <w:rStyle w:val="Hyperlink"/>
                <w:rFonts w:ascii="Times New Roman" w:hAnsi="Times New Roman" w:cs="Times New Roman"/>
                <w:noProof/>
              </w:rPr>
              <w:t>Figure 9. Average Medication Orders per Admission by ICU Day of Stay</w:t>
            </w:r>
            <w:r>
              <w:rPr>
                <w:noProof/>
              </w:rPr>
              <w:tab/>
            </w:r>
            <w:r>
              <w:rPr>
                <w:noProof/>
              </w:rPr>
              <w:fldChar w:fldCharType="begin"/>
            </w:r>
            <w:r>
              <w:rPr>
                <w:noProof/>
              </w:rPr>
              <w:instrText xml:space="preserve"> PAGEREF _Toc228825844 \h </w:instrText>
            </w:r>
            <w:r>
              <w:rPr>
                <w:noProof/>
              </w:rPr>
            </w:r>
            <w:r>
              <w:rPr>
                <w:noProof/>
              </w:rPr>
              <w:fldChar w:fldCharType="separate"/>
            </w:r>
            <w:r>
              <w:rPr>
                <w:noProof/>
              </w:rPr>
              <w:t>49</w:t>
            </w:r>
            <w:r>
              <w:rPr>
                <w:noProof/>
              </w:rPr>
              <w:fldChar w:fldCharType="end"/>
            </w:r>
          </w:hyperlink>
        </w:p>
        <w:p w14:paraId="003C3E51" w14:textId="78B40D14"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45" w:history="1">
            <w:r w:rsidRPr="00FE5F30">
              <w:rPr>
                <w:rStyle w:val="Hyperlink"/>
                <w:rFonts w:ascii="Times New Roman" w:hAnsi="Times New Roman" w:cs="Times New Roman"/>
                <w:noProof/>
              </w:rPr>
              <w:t>Figure 10. Distribution of Maximum Medication Orders in Any 60-Minute Window per ICU Admission</w:t>
            </w:r>
            <w:r>
              <w:rPr>
                <w:noProof/>
              </w:rPr>
              <w:tab/>
            </w:r>
            <w:r>
              <w:rPr>
                <w:noProof/>
              </w:rPr>
              <w:fldChar w:fldCharType="begin"/>
            </w:r>
            <w:r>
              <w:rPr>
                <w:noProof/>
              </w:rPr>
              <w:instrText xml:space="preserve"> PAGEREF _Toc228825845 \h </w:instrText>
            </w:r>
            <w:r>
              <w:rPr>
                <w:noProof/>
              </w:rPr>
            </w:r>
            <w:r>
              <w:rPr>
                <w:noProof/>
              </w:rPr>
              <w:fldChar w:fldCharType="separate"/>
            </w:r>
            <w:r>
              <w:rPr>
                <w:noProof/>
              </w:rPr>
              <w:t>50</w:t>
            </w:r>
            <w:r>
              <w:rPr>
                <w:noProof/>
              </w:rPr>
              <w:fldChar w:fldCharType="end"/>
            </w:r>
          </w:hyperlink>
        </w:p>
        <w:p w14:paraId="222F4BE5" w14:textId="33895EE5" w:rsidR="00EC4389" w:rsidRDefault="00EC4389">
          <w:pPr>
            <w:pStyle w:val="TOC2"/>
            <w:tabs>
              <w:tab w:val="right" w:leader="dot" w:pos="9350"/>
            </w:tabs>
            <w:rPr>
              <w:rFonts w:asciiTheme="minorHAnsi" w:eastAsiaTheme="minorEastAsia" w:hAnsiTheme="minorHAnsi" w:cstheme="minorBidi"/>
              <w:noProof/>
              <w:kern w:val="2"/>
              <w14:ligatures w14:val="standardContextual"/>
            </w:rPr>
          </w:pPr>
          <w:hyperlink w:anchor="_Toc228825846" w:history="1">
            <w:r w:rsidRPr="00FE5F30">
              <w:rPr>
                <w:rStyle w:val="Hyperlink"/>
                <w:rFonts w:ascii="Times New Roman" w:hAnsi="Times New Roman" w:cs="Times New Roman"/>
                <w:noProof/>
              </w:rPr>
              <w:t>Figure 11. ICU Admissions by 60-Minute Burst Intensity Category</w:t>
            </w:r>
            <w:r>
              <w:rPr>
                <w:noProof/>
              </w:rPr>
              <w:tab/>
            </w:r>
            <w:r>
              <w:rPr>
                <w:noProof/>
              </w:rPr>
              <w:fldChar w:fldCharType="begin"/>
            </w:r>
            <w:r>
              <w:rPr>
                <w:noProof/>
              </w:rPr>
              <w:instrText xml:space="preserve"> PAGEREF _Toc228825846 \h </w:instrText>
            </w:r>
            <w:r>
              <w:rPr>
                <w:noProof/>
              </w:rPr>
            </w:r>
            <w:r>
              <w:rPr>
                <w:noProof/>
              </w:rPr>
              <w:fldChar w:fldCharType="separate"/>
            </w:r>
            <w:r>
              <w:rPr>
                <w:noProof/>
              </w:rPr>
              <w:t>51</w:t>
            </w:r>
            <w:r>
              <w:rPr>
                <w:noProof/>
              </w:rPr>
              <w:fldChar w:fldCharType="end"/>
            </w:r>
          </w:hyperlink>
        </w:p>
        <w:p w14:paraId="2E6C9F90" w14:textId="0B7F58F4" w:rsidR="00D14598" w:rsidRPr="008E3E98" w:rsidRDefault="00000000" w:rsidP="008E3E98">
          <w:pPr>
            <w:jc w:val="both"/>
            <w:rPr>
              <w:rFonts w:ascii="Times New Roman" w:hAnsi="Times New Roman" w:cs="Times New Roman"/>
            </w:rPr>
          </w:pPr>
          <w:r w:rsidRPr="008E3E98">
            <w:rPr>
              <w:rFonts w:ascii="Times New Roman" w:hAnsi="Times New Roman" w:cs="Times New Roman"/>
            </w:rPr>
            <w:fldChar w:fldCharType="end"/>
          </w:r>
        </w:p>
      </w:sdtContent>
    </w:sdt>
    <w:p w14:paraId="18323619" w14:textId="77777777" w:rsidR="00D14598" w:rsidRPr="008E3E98" w:rsidRDefault="00000000" w:rsidP="008E3E98">
      <w:pPr>
        <w:jc w:val="both"/>
        <w:rPr>
          <w:rFonts w:ascii="Times New Roman" w:hAnsi="Times New Roman" w:cs="Times New Roman"/>
        </w:rPr>
      </w:pPr>
      <w:r w:rsidRPr="008E3E98">
        <w:rPr>
          <w:rFonts w:ascii="Times New Roman" w:hAnsi="Times New Roman" w:cs="Times New Roman"/>
        </w:rPr>
        <w:br w:type="page"/>
      </w:r>
    </w:p>
    <w:p w14:paraId="59522E4E" w14:textId="77777777" w:rsidR="00D14598" w:rsidRPr="008E3E98" w:rsidRDefault="00000000" w:rsidP="008E3E98">
      <w:pPr>
        <w:pStyle w:val="Heading1"/>
        <w:jc w:val="both"/>
        <w:rPr>
          <w:rFonts w:ascii="Times New Roman" w:hAnsi="Times New Roman" w:cs="Times New Roman"/>
          <w:sz w:val="24"/>
          <w:szCs w:val="24"/>
        </w:rPr>
      </w:pPr>
      <w:bookmarkStart w:id="3" w:name="_Toc228825800"/>
      <w:r w:rsidRPr="008E3E98">
        <w:rPr>
          <w:rFonts w:ascii="Times New Roman" w:hAnsi="Times New Roman" w:cs="Times New Roman"/>
          <w:sz w:val="24"/>
          <w:szCs w:val="24"/>
        </w:rPr>
        <w:lastRenderedPageBreak/>
        <w:t>1. Introduction and Background</w:t>
      </w:r>
      <w:bookmarkEnd w:id="3"/>
    </w:p>
    <w:p w14:paraId="4A7D6F90" w14:textId="3A00DBB5" w:rsidR="00BB26C7" w:rsidRPr="00BB26C7" w:rsidRDefault="00BB26C7" w:rsidP="00BB26C7">
      <w:pPr>
        <w:spacing w:before="120" w:after="120"/>
        <w:jc w:val="both"/>
        <w:rPr>
          <w:rFonts w:ascii="Times New Roman" w:hAnsi="Times New Roman" w:cs="Times New Roman"/>
          <w:color w:val="000000"/>
        </w:rPr>
      </w:pPr>
      <w:r w:rsidRPr="00BB26C7">
        <w:rPr>
          <w:rFonts w:ascii="Times New Roman" w:hAnsi="Times New Roman" w:cs="Times New Roman"/>
          <w:color w:val="000000"/>
        </w:rPr>
        <w:t>Clinical decision support (CDS) systems are widely used in hospital settings to support clinicians with evidence-based recommendations, drug interaction warnings, and diagnostic guidance. In theory, these systems strengthen patient safety by helping providers identify risks more quickly and make more informed decisions at the point of care. In practice, however, their effectiveness can be undermined when the volume of alerts becomes excessive. Repeated exposure to frequent, low-value, or non-actionable notifications can lead clinicians to become desensitized, increasing the likelihood that important alerts will be overridden or ignored.</w:t>
      </w:r>
    </w:p>
    <w:p w14:paraId="492DC918" w14:textId="77777777" w:rsidR="00BB26C7" w:rsidRPr="00BB26C7" w:rsidRDefault="00BB26C7" w:rsidP="00BB26C7">
      <w:pPr>
        <w:spacing w:before="120" w:after="120"/>
        <w:jc w:val="both"/>
        <w:rPr>
          <w:rFonts w:ascii="Times New Roman" w:hAnsi="Times New Roman" w:cs="Times New Roman"/>
          <w:color w:val="000000"/>
        </w:rPr>
      </w:pPr>
      <w:r w:rsidRPr="00BB26C7">
        <w:rPr>
          <w:rFonts w:ascii="Times New Roman" w:hAnsi="Times New Roman" w:cs="Times New Roman"/>
          <w:color w:val="000000"/>
        </w:rPr>
        <w:t>This problem is especially relevant in intensive care units (ICUs), where patients are medically complex, decisions are time-sensitive, and clinicians must process large volumes of information throughout the day. ICU workflows involve continuous monitoring, frequent medication changes, repeated laboratory testing, and rapid responses to changes in patient status. As a result, clinicians in these settings are often exposed to a dense stream of CDS-triggering events that can interrupt workflow and add to cognitive burden. Over time, this may contribute not only to alert fatigue but also to broader concerns about efficiency, attention, and clinician well-being.</w:t>
      </w:r>
    </w:p>
    <w:p w14:paraId="7C887921" w14:textId="77777777" w:rsidR="00BB26C7" w:rsidRPr="00BB26C7" w:rsidRDefault="00BB26C7" w:rsidP="00BB26C7">
      <w:pPr>
        <w:spacing w:before="120" w:after="120"/>
        <w:jc w:val="both"/>
        <w:rPr>
          <w:rFonts w:ascii="Times New Roman" w:hAnsi="Times New Roman" w:cs="Times New Roman"/>
          <w:color w:val="000000"/>
        </w:rPr>
      </w:pPr>
      <w:r w:rsidRPr="00BB26C7">
        <w:rPr>
          <w:rFonts w:ascii="Times New Roman" w:hAnsi="Times New Roman" w:cs="Times New Roman"/>
          <w:color w:val="000000"/>
        </w:rPr>
        <w:t xml:space="preserve">This study examines alert fatigue in ICU care using MIMIC-IV, a publicly available critical care database. MIMIC-IV draws from both a hospital-wide electronic health record and an ICU-specific clinical information system, making it well suited for studying patterns of clinical activity in a high-acuity environment. Because direct CDS alert logs are not generally available in open datasets, this analysis uses medication orders, laboratory tests, and total CDS-triggering events as practical indicators of alert burden. The primary aim is to identify patient-level and unit-level predictors of clinical activity burden, operationalized as rates per </w:t>
      </w:r>
      <w:proofErr w:type="gramStart"/>
      <w:r w:rsidRPr="00BB26C7">
        <w:rPr>
          <w:rFonts w:ascii="Times New Roman" w:hAnsi="Times New Roman" w:cs="Times New Roman"/>
          <w:color w:val="000000"/>
        </w:rPr>
        <w:t>ICU day</w:t>
      </w:r>
      <w:proofErr w:type="gramEnd"/>
      <w:r w:rsidRPr="00BB26C7">
        <w:rPr>
          <w:rFonts w:ascii="Times New Roman" w:hAnsi="Times New Roman" w:cs="Times New Roman"/>
          <w:color w:val="000000"/>
        </w:rPr>
        <w:t xml:space="preserve">, </w:t>
      </w:r>
      <w:proofErr w:type="gramStart"/>
      <w:r w:rsidRPr="00BB26C7">
        <w:rPr>
          <w:rFonts w:ascii="Times New Roman" w:hAnsi="Times New Roman" w:cs="Times New Roman"/>
          <w:color w:val="000000"/>
        </w:rPr>
        <w:t>in order to</w:t>
      </w:r>
      <w:proofErr w:type="gramEnd"/>
      <w:r w:rsidRPr="00BB26C7">
        <w:rPr>
          <w:rFonts w:ascii="Times New Roman" w:hAnsi="Times New Roman" w:cs="Times New Roman"/>
          <w:color w:val="000000"/>
        </w:rPr>
        <w:t xml:space="preserve"> better understand where and under what conditions alert burden is greatest.</w:t>
      </w:r>
    </w:p>
    <w:p w14:paraId="1A9BD7E8" w14:textId="77777777" w:rsidR="00BB26C7" w:rsidRDefault="00BB26C7" w:rsidP="00BB26C7">
      <w:pPr>
        <w:spacing w:before="120" w:after="120"/>
        <w:jc w:val="both"/>
        <w:rPr>
          <w:rFonts w:ascii="Times New Roman" w:hAnsi="Times New Roman" w:cs="Times New Roman"/>
          <w:color w:val="000000"/>
        </w:rPr>
      </w:pPr>
      <w:r w:rsidRPr="00BB26C7">
        <w:rPr>
          <w:rFonts w:ascii="Times New Roman" w:hAnsi="Times New Roman" w:cs="Times New Roman"/>
          <w:color w:val="000000"/>
        </w:rPr>
        <w:t>By focusing on variation across ICU encounters and unit types, this study seeks to move beyond a one-size-fits-all view of CDS performance. A more detailed understanding of clinical activity burden can help inform targeted alert management strategies that reduce unnecessary interruptions while preserving the safety benefits of CDS. In doing so, the study contributes to ongoing efforts to improve the design, efficiency, and clinical usefulness of decision support in critical care settings.</w:t>
      </w:r>
    </w:p>
    <w:p w14:paraId="06CADA97" w14:textId="77777777" w:rsidR="00BB26C7" w:rsidRDefault="00BB26C7" w:rsidP="00BB26C7">
      <w:pPr>
        <w:spacing w:before="120" w:after="120"/>
        <w:jc w:val="both"/>
        <w:rPr>
          <w:rFonts w:ascii="Times New Roman" w:hAnsi="Times New Roman" w:cs="Times New Roman"/>
          <w:color w:val="000000"/>
        </w:rPr>
      </w:pPr>
    </w:p>
    <w:p w14:paraId="6A4C5871" w14:textId="77777777" w:rsidR="00BB26C7" w:rsidRDefault="00BB26C7" w:rsidP="00BB26C7">
      <w:pPr>
        <w:spacing w:before="120" w:after="120"/>
        <w:jc w:val="both"/>
        <w:rPr>
          <w:rFonts w:ascii="Times New Roman" w:hAnsi="Times New Roman" w:cs="Times New Roman"/>
          <w:color w:val="000000"/>
        </w:rPr>
      </w:pPr>
    </w:p>
    <w:p w14:paraId="5F6DF066" w14:textId="77777777" w:rsidR="00BB26C7" w:rsidRDefault="00BB26C7" w:rsidP="00BB26C7">
      <w:pPr>
        <w:spacing w:before="120" w:after="120"/>
        <w:jc w:val="both"/>
        <w:rPr>
          <w:rFonts w:ascii="Times New Roman" w:hAnsi="Times New Roman" w:cs="Times New Roman"/>
          <w:color w:val="000000"/>
        </w:rPr>
      </w:pPr>
    </w:p>
    <w:p w14:paraId="4B02F532" w14:textId="77777777" w:rsidR="00BB26C7" w:rsidRDefault="00BB26C7" w:rsidP="00BB26C7">
      <w:pPr>
        <w:spacing w:before="120" w:after="120"/>
        <w:jc w:val="both"/>
        <w:rPr>
          <w:rFonts w:ascii="Times New Roman" w:hAnsi="Times New Roman" w:cs="Times New Roman"/>
          <w:color w:val="000000"/>
        </w:rPr>
      </w:pPr>
    </w:p>
    <w:p w14:paraId="579A172E" w14:textId="77777777" w:rsidR="00BB26C7" w:rsidRDefault="00BB26C7" w:rsidP="00BB26C7">
      <w:pPr>
        <w:spacing w:before="120" w:after="120"/>
        <w:jc w:val="both"/>
        <w:rPr>
          <w:rFonts w:ascii="Times New Roman" w:hAnsi="Times New Roman" w:cs="Times New Roman"/>
          <w:color w:val="000000"/>
        </w:rPr>
      </w:pPr>
    </w:p>
    <w:p w14:paraId="1284B2E4" w14:textId="77777777" w:rsidR="00BB26C7" w:rsidRDefault="00BB26C7" w:rsidP="00BB26C7">
      <w:pPr>
        <w:spacing w:before="120" w:after="120"/>
        <w:jc w:val="both"/>
        <w:rPr>
          <w:rFonts w:ascii="Times New Roman" w:hAnsi="Times New Roman" w:cs="Times New Roman"/>
          <w:color w:val="000000"/>
        </w:rPr>
      </w:pPr>
    </w:p>
    <w:p w14:paraId="405C421F" w14:textId="77777777" w:rsidR="00BB26C7" w:rsidRDefault="00BB26C7" w:rsidP="00BB26C7">
      <w:pPr>
        <w:spacing w:before="120" w:after="120"/>
        <w:jc w:val="both"/>
        <w:rPr>
          <w:rFonts w:ascii="Times New Roman" w:hAnsi="Times New Roman" w:cs="Times New Roman"/>
          <w:color w:val="000000"/>
        </w:rPr>
      </w:pPr>
    </w:p>
    <w:p w14:paraId="6930F17D" w14:textId="77777777" w:rsidR="00BB26C7" w:rsidRDefault="00BB26C7" w:rsidP="00BB26C7">
      <w:pPr>
        <w:spacing w:before="120" w:after="120"/>
        <w:jc w:val="both"/>
        <w:rPr>
          <w:rFonts w:ascii="Times New Roman" w:hAnsi="Times New Roman" w:cs="Times New Roman"/>
          <w:color w:val="000000"/>
        </w:rPr>
      </w:pPr>
    </w:p>
    <w:p w14:paraId="33F85E82" w14:textId="77777777" w:rsidR="00BB26C7" w:rsidRPr="00BB26C7" w:rsidRDefault="00BB26C7" w:rsidP="00BB26C7">
      <w:pPr>
        <w:spacing w:before="120" w:after="120"/>
        <w:jc w:val="both"/>
        <w:rPr>
          <w:rFonts w:ascii="Times New Roman" w:hAnsi="Times New Roman" w:cs="Times New Roman"/>
          <w:color w:val="000000"/>
        </w:rPr>
      </w:pPr>
    </w:p>
    <w:p w14:paraId="366056BF" w14:textId="67B6AEEE" w:rsidR="00D14598" w:rsidRPr="00BB26C7" w:rsidRDefault="00D14598" w:rsidP="008E3E98">
      <w:pPr>
        <w:spacing w:before="120" w:after="120"/>
        <w:jc w:val="both"/>
        <w:rPr>
          <w:rFonts w:ascii="Times New Roman" w:hAnsi="Times New Roman" w:cs="Times New Roman"/>
          <w:color w:val="000000"/>
        </w:rPr>
      </w:pPr>
    </w:p>
    <w:p w14:paraId="29460F40" w14:textId="311DFF08" w:rsidR="00D14598" w:rsidRPr="008E3E98" w:rsidRDefault="00000000" w:rsidP="008E3E98">
      <w:pPr>
        <w:pStyle w:val="Heading2"/>
        <w:numPr>
          <w:ilvl w:val="1"/>
          <w:numId w:val="2"/>
        </w:numPr>
        <w:jc w:val="both"/>
        <w:rPr>
          <w:rFonts w:ascii="Times New Roman" w:hAnsi="Times New Roman" w:cs="Times New Roman"/>
          <w:sz w:val="24"/>
          <w:szCs w:val="24"/>
        </w:rPr>
      </w:pPr>
      <w:bookmarkStart w:id="4" w:name="_Toc228825801"/>
      <w:r w:rsidRPr="008E3E98">
        <w:rPr>
          <w:rFonts w:ascii="Times New Roman" w:hAnsi="Times New Roman" w:cs="Times New Roman"/>
          <w:sz w:val="24"/>
          <w:szCs w:val="24"/>
        </w:rPr>
        <w:lastRenderedPageBreak/>
        <w:t>Problem Statement</w:t>
      </w:r>
      <w:bookmarkEnd w:id="4"/>
    </w:p>
    <w:p w14:paraId="6B6B30C1" w14:textId="4BA2A7D0" w:rsidR="00FD0D74" w:rsidRPr="008E3E98" w:rsidRDefault="00FD0D74" w:rsidP="008E3E98">
      <w:pPr>
        <w:jc w:val="both"/>
        <w:rPr>
          <w:rFonts w:ascii="Times New Roman" w:hAnsi="Times New Roman" w:cs="Times New Roman"/>
        </w:rPr>
      </w:pPr>
      <w:r w:rsidRPr="008E3E98">
        <w:rPr>
          <w:rFonts w:ascii="Times New Roman" w:hAnsi="Times New Roman" w:cs="Times New Roman"/>
        </w:rPr>
        <w:t>Clinical Decision Support (CDS) systems aim to improve patient safety by issuing alerts tied to medication orders, lab results, and other clinical events. In ICUs, though, the high volume of alerts often leads to alert fatigue. Clinicians start to tune out warnings, which puts both patient safety and workflow at risk.</w:t>
      </w:r>
    </w:p>
    <w:p w14:paraId="2CF92675" w14:textId="77777777" w:rsidR="00FD0D74" w:rsidRPr="008E3E98" w:rsidRDefault="00FD0D74" w:rsidP="008E3E98">
      <w:pPr>
        <w:jc w:val="both"/>
        <w:rPr>
          <w:rFonts w:ascii="Times New Roman" w:hAnsi="Times New Roman" w:cs="Times New Roman"/>
        </w:rPr>
      </w:pPr>
    </w:p>
    <w:p w14:paraId="0A3A404C" w14:textId="3621A27B" w:rsidR="00FD0D74" w:rsidRPr="008E3E98" w:rsidRDefault="00FD0D74" w:rsidP="008E3E98">
      <w:pPr>
        <w:jc w:val="both"/>
        <w:rPr>
          <w:rFonts w:ascii="Times New Roman" w:hAnsi="Times New Roman" w:cs="Times New Roman"/>
        </w:rPr>
      </w:pPr>
      <w:r w:rsidRPr="008E3E98">
        <w:rPr>
          <w:rFonts w:ascii="Times New Roman" w:hAnsi="Times New Roman" w:cs="Times New Roman"/>
        </w:rPr>
        <w:t>A key barrier in alert fatigue research is that detailed CDS alert data are locked inside proprietary EHR systems. Without access to these logs, we have little insight into how clinical activity drives alert burden, especially in ICUs.</w:t>
      </w:r>
    </w:p>
    <w:p w14:paraId="49E6063E" w14:textId="77777777" w:rsidR="006D1A18" w:rsidRPr="008E3E98" w:rsidRDefault="006D1A18" w:rsidP="008E3E98">
      <w:pPr>
        <w:jc w:val="both"/>
        <w:rPr>
          <w:rFonts w:ascii="Times New Roman" w:hAnsi="Times New Roman" w:cs="Times New Roman"/>
        </w:rPr>
      </w:pPr>
    </w:p>
    <w:p w14:paraId="77C1518A" w14:textId="102FCCCF" w:rsidR="00FD0D74" w:rsidRPr="008E3E98" w:rsidRDefault="00FD0D74" w:rsidP="008E3E98">
      <w:pPr>
        <w:jc w:val="both"/>
        <w:rPr>
          <w:rFonts w:ascii="Times New Roman" w:hAnsi="Times New Roman" w:cs="Times New Roman"/>
        </w:rPr>
      </w:pPr>
      <w:r w:rsidRPr="008E3E98">
        <w:rPr>
          <w:rFonts w:ascii="Times New Roman" w:hAnsi="Times New Roman" w:cs="Times New Roman"/>
        </w:rPr>
        <w:t xml:space="preserve">This lack of data makes it hard to pinpoint which clinical processes create the most alerts or where to target improvements. We need a data-driven way to estimate alert exposure </w:t>
      </w:r>
      <w:r w:rsidR="006D1A18" w:rsidRPr="008E3E98">
        <w:rPr>
          <w:rFonts w:ascii="Times New Roman" w:hAnsi="Times New Roman" w:cs="Times New Roman"/>
        </w:rPr>
        <w:t>given the available information</w:t>
      </w:r>
      <w:r w:rsidRPr="008E3E98">
        <w:rPr>
          <w:rFonts w:ascii="Times New Roman" w:hAnsi="Times New Roman" w:cs="Times New Roman"/>
        </w:rPr>
        <w:t>.</w:t>
      </w:r>
    </w:p>
    <w:p w14:paraId="0F151768" w14:textId="77777777" w:rsidR="00FD0D74" w:rsidRPr="008E3E98" w:rsidRDefault="00FD0D74" w:rsidP="008E3E98">
      <w:pPr>
        <w:jc w:val="both"/>
        <w:rPr>
          <w:rFonts w:ascii="Times New Roman" w:hAnsi="Times New Roman" w:cs="Times New Roman"/>
        </w:rPr>
      </w:pPr>
    </w:p>
    <w:p w14:paraId="4E62023C" w14:textId="380DBE68" w:rsidR="00FD0D74" w:rsidRPr="008E3E98" w:rsidRDefault="008F71EF" w:rsidP="008E3E98">
      <w:pPr>
        <w:jc w:val="both"/>
        <w:rPr>
          <w:rFonts w:ascii="Times New Roman" w:hAnsi="Times New Roman" w:cs="Times New Roman"/>
        </w:rPr>
      </w:pPr>
      <w:r w:rsidRPr="008E3E98">
        <w:rPr>
          <w:rFonts w:ascii="Times New Roman" w:hAnsi="Times New Roman" w:cs="Times New Roman"/>
        </w:rPr>
        <w:t>To address this, I use timestamped medication orders and lab events from the MIMIC-IV database as stand-ins for CDS-triggering activity. This approach is supported by prior research that uses clinical event frequency as a practical substitute for alert exposure when proprietary alert logs are not available (Kouri et al., 2023). Across 94,444 ICU stays, I measure event burden, identify which patient and unit-level factors drive it, and test how much burden could be reduced under realistic alert suppression strategies. This gives CDS teams a practical, data-driven tool for tackling alert fatigue without requiring access to a hospital's internal EHR.</w:t>
      </w:r>
    </w:p>
    <w:p w14:paraId="5DBAA8EF" w14:textId="77777777" w:rsidR="003A37AE" w:rsidRPr="008E3E98" w:rsidRDefault="003A37AE" w:rsidP="008E3E98">
      <w:pPr>
        <w:jc w:val="both"/>
        <w:rPr>
          <w:rFonts w:ascii="Times New Roman" w:hAnsi="Times New Roman" w:cs="Times New Roman"/>
        </w:rPr>
      </w:pPr>
    </w:p>
    <w:p w14:paraId="168D7CF6" w14:textId="51543BEB" w:rsidR="00FD0D74" w:rsidRPr="008E3E98" w:rsidRDefault="00000000" w:rsidP="008E3E98">
      <w:pPr>
        <w:pStyle w:val="Heading2"/>
        <w:numPr>
          <w:ilvl w:val="1"/>
          <w:numId w:val="2"/>
        </w:numPr>
        <w:jc w:val="both"/>
        <w:rPr>
          <w:rFonts w:ascii="Times New Roman" w:hAnsi="Times New Roman" w:cs="Times New Roman"/>
          <w:sz w:val="24"/>
          <w:szCs w:val="24"/>
        </w:rPr>
      </w:pPr>
      <w:bookmarkStart w:id="5" w:name="_Toc228825802"/>
      <w:r w:rsidRPr="008E3E98">
        <w:rPr>
          <w:rFonts w:ascii="Times New Roman" w:hAnsi="Times New Roman" w:cs="Times New Roman"/>
          <w:sz w:val="24"/>
          <w:szCs w:val="24"/>
        </w:rPr>
        <w:t>Research Objectives</w:t>
      </w:r>
      <w:bookmarkEnd w:id="5"/>
    </w:p>
    <w:p w14:paraId="2B3C6F38" w14:textId="77777777" w:rsidR="00FD0D74" w:rsidRPr="008E3E98" w:rsidRDefault="00FD0D74" w:rsidP="008E3E98">
      <w:pPr>
        <w:jc w:val="both"/>
        <w:rPr>
          <w:rFonts w:ascii="Times New Roman" w:hAnsi="Times New Roman" w:cs="Times New Roman"/>
        </w:rPr>
      </w:pPr>
      <w:r w:rsidRPr="008E3E98">
        <w:rPr>
          <w:rFonts w:ascii="Times New Roman" w:hAnsi="Times New Roman" w:cs="Times New Roman"/>
        </w:rPr>
        <w:t>This practicum is structured around three research questions, reflecting a progression from description to modeling to intervention simulation:</w:t>
      </w:r>
    </w:p>
    <w:p w14:paraId="48839049" w14:textId="77777777" w:rsidR="00FD0D74" w:rsidRPr="008E3E98" w:rsidRDefault="00FD0D74" w:rsidP="008E3E98">
      <w:pPr>
        <w:jc w:val="both"/>
        <w:rPr>
          <w:rFonts w:ascii="Times New Roman" w:hAnsi="Times New Roman" w:cs="Times New Roman"/>
        </w:rPr>
      </w:pPr>
    </w:p>
    <w:p w14:paraId="7A430B4B" w14:textId="77777777" w:rsidR="00FD0D74" w:rsidRPr="008E3E98" w:rsidRDefault="00FD0D74" w:rsidP="008E3E98">
      <w:pPr>
        <w:ind w:left="720"/>
        <w:jc w:val="both"/>
        <w:rPr>
          <w:rFonts w:ascii="Times New Roman" w:hAnsi="Times New Roman" w:cs="Times New Roman"/>
        </w:rPr>
      </w:pPr>
      <w:r w:rsidRPr="008E3E98">
        <w:rPr>
          <w:rFonts w:ascii="Times New Roman" w:hAnsi="Times New Roman" w:cs="Times New Roman"/>
        </w:rPr>
        <w:t>RQ1 — Alert Burden Quantification — How does the volume and rate of clinical events (medications and labs) vary across ICU encounters, and which patient or encounter characteristics are associated with higher event burden?</w:t>
      </w:r>
    </w:p>
    <w:p w14:paraId="6CF41204" w14:textId="77777777" w:rsidR="00FD0D74" w:rsidRPr="008E3E98" w:rsidRDefault="00FD0D74" w:rsidP="008E3E98">
      <w:pPr>
        <w:ind w:left="720"/>
        <w:jc w:val="both"/>
        <w:rPr>
          <w:rFonts w:ascii="Times New Roman" w:hAnsi="Times New Roman" w:cs="Times New Roman"/>
        </w:rPr>
      </w:pPr>
    </w:p>
    <w:p w14:paraId="79154716" w14:textId="77777777" w:rsidR="00FD0D74" w:rsidRPr="008E3E98" w:rsidRDefault="00FD0D74" w:rsidP="008E3E98">
      <w:pPr>
        <w:ind w:left="720"/>
        <w:jc w:val="both"/>
        <w:rPr>
          <w:rFonts w:ascii="Times New Roman" w:hAnsi="Times New Roman" w:cs="Times New Roman"/>
        </w:rPr>
      </w:pPr>
      <w:r w:rsidRPr="008E3E98">
        <w:rPr>
          <w:rFonts w:ascii="Times New Roman" w:hAnsi="Times New Roman" w:cs="Times New Roman"/>
        </w:rPr>
        <w:t>RQ2 — Event Composition and Distribution — How do medication orders and laboratory events each contribute to overall event burden, and how does this differ across ICU unit types when accounting for length of stay?</w:t>
      </w:r>
    </w:p>
    <w:p w14:paraId="0AD77C65" w14:textId="77777777" w:rsidR="00FD0D74" w:rsidRPr="008E3E98" w:rsidRDefault="00FD0D74" w:rsidP="008E3E98">
      <w:pPr>
        <w:ind w:left="720"/>
        <w:jc w:val="both"/>
        <w:rPr>
          <w:rFonts w:ascii="Times New Roman" w:hAnsi="Times New Roman" w:cs="Times New Roman"/>
        </w:rPr>
      </w:pPr>
    </w:p>
    <w:p w14:paraId="40550729" w14:textId="77777777" w:rsidR="00FD0D74" w:rsidRPr="008E3E98" w:rsidRDefault="00FD0D74" w:rsidP="008E3E98">
      <w:pPr>
        <w:ind w:left="720"/>
        <w:jc w:val="both"/>
        <w:rPr>
          <w:rFonts w:ascii="Times New Roman" w:hAnsi="Times New Roman" w:cs="Times New Roman"/>
        </w:rPr>
      </w:pPr>
      <w:r w:rsidRPr="008E3E98">
        <w:rPr>
          <w:rFonts w:ascii="Times New Roman" w:hAnsi="Times New Roman" w:cs="Times New Roman"/>
        </w:rPr>
        <w:t>RQ3 — Suppression Scenario Analysis — Under hypothetical alert suppression strategies targeting duplicate medication orders and laboratory event thresholding, how much could total event burden decrease, and how would this affect the number of high-burden encounters?</w:t>
      </w:r>
    </w:p>
    <w:p w14:paraId="19008697" w14:textId="77777777" w:rsidR="00FD0D74" w:rsidRPr="008E3E98" w:rsidRDefault="00FD0D74" w:rsidP="008E3E98">
      <w:pPr>
        <w:jc w:val="both"/>
        <w:rPr>
          <w:rFonts w:ascii="Times New Roman" w:hAnsi="Times New Roman" w:cs="Times New Roman"/>
        </w:rPr>
      </w:pPr>
    </w:p>
    <w:p w14:paraId="44380867" w14:textId="2D8911AD" w:rsidR="00FD0D74" w:rsidRPr="008E3E98" w:rsidRDefault="00FD0D74" w:rsidP="008E3E98">
      <w:pPr>
        <w:jc w:val="both"/>
        <w:rPr>
          <w:rFonts w:ascii="Times New Roman" w:hAnsi="Times New Roman" w:cs="Times New Roman"/>
        </w:rPr>
      </w:pPr>
      <w:r w:rsidRPr="008E3E98">
        <w:rPr>
          <w:rFonts w:ascii="Times New Roman" w:hAnsi="Times New Roman" w:cs="Times New Roman"/>
        </w:rPr>
        <w:t>These questions move from characterizing the problem (RQ1), to understanding its structure (RQ2), to evaluating potential solutions (RQ3). The findings are intended to provide actionable, data-grounded recommendations for CDS optimization in ICU settings.</w:t>
      </w:r>
    </w:p>
    <w:p w14:paraId="6C9AE14F" w14:textId="77777777" w:rsidR="002D1AE8" w:rsidRPr="008E3E98" w:rsidRDefault="002D1AE8" w:rsidP="008E3E98">
      <w:pPr>
        <w:jc w:val="both"/>
        <w:rPr>
          <w:rFonts w:ascii="Times New Roman" w:hAnsi="Times New Roman" w:cs="Times New Roman"/>
        </w:rPr>
      </w:pPr>
    </w:p>
    <w:p w14:paraId="19494B1D" w14:textId="77777777" w:rsidR="00D14598" w:rsidRPr="008E3E98" w:rsidRDefault="00000000" w:rsidP="008E3E98">
      <w:pPr>
        <w:pStyle w:val="Heading2"/>
        <w:jc w:val="both"/>
        <w:rPr>
          <w:rFonts w:ascii="Times New Roman" w:hAnsi="Times New Roman" w:cs="Times New Roman"/>
          <w:sz w:val="24"/>
          <w:szCs w:val="24"/>
        </w:rPr>
      </w:pPr>
      <w:bookmarkStart w:id="6" w:name="_Toc228825803"/>
      <w:r w:rsidRPr="008E3E98">
        <w:rPr>
          <w:rFonts w:ascii="Times New Roman" w:hAnsi="Times New Roman" w:cs="Times New Roman"/>
          <w:sz w:val="24"/>
          <w:szCs w:val="24"/>
        </w:rPr>
        <w:lastRenderedPageBreak/>
        <w:t>1.3 Significance of the Study</w:t>
      </w:r>
      <w:bookmarkEnd w:id="6"/>
    </w:p>
    <w:p w14:paraId="40AED562" w14:textId="77777777" w:rsidR="00BB26C7" w:rsidRPr="00BB26C7" w:rsidRDefault="00BB26C7" w:rsidP="00BB26C7">
      <w:pPr>
        <w:jc w:val="both"/>
        <w:rPr>
          <w:rFonts w:ascii="Times New Roman" w:hAnsi="Times New Roman" w:cs="Times New Roman"/>
        </w:rPr>
      </w:pPr>
      <w:r w:rsidRPr="00BB26C7">
        <w:rPr>
          <w:rFonts w:ascii="Times New Roman" w:hAnsi="Times New Roman" w:cs="Times New Roman"/>
        </w:rPr>
        <w:t>Alert fatigue is a persistent and well-recognized challenge in clinical informatics. When clinicians are exposed to an excessive number of alerts, particularly those that are repetitive, low-value, or not clinically actionable, they may begin to disregard them as part of their routine workflow. Over time, this desensitization can reduce responsiveness to important warnings and increase the likelihood that clinically significant information is missed, creating a meaningful patient safety concern. The problem is especially pronounced in intensive care settings, where patients require continuous monitoring, rapid decision-making, and frequent intervention. In these environments, the large volume of clinical decision support events can quickly become overwhelming and contribute substantially to clinician cognitive burden.</w:t>
      </w:r>
    </w:p>
    <w:p w14:paraId="0E3CE7D2" w14:textId="77777777" w:rsidR="00BB26C7" w:rsidRDefault="00BB26C7" w:rsidP="00BB26C7">
      <w:pPr>
        <w:jc w:val="both"/>
        <w:rPr>
          <w:rFonts w:ascii="Times New Roman" w:hAnsi="Times New Roman" w:cs="Times New Roman"/>
        </w:rPr>
      </w:pPr>
      <w:r w:rsidRPr="00BB26C7">
        <w:rPr>
          <w:rFonts w:ascii="Times New Roman" w:hAnsi="Times New Roman" w:cs="Times New Roman"/>
        </w:rPr>
        <w:t xml:space="preserve">Despite increasing awareness of alert fatigue, much of the existing literature is still based on data from single institutions and proprietary electronic health record systems. This limits reproducibility and makes it difficult to determine whether findings generalize across different clinical environments, patient populations, and ICU unit types. In addition, relatively few studies have used open critical care datasets to examine alert burden in a broader and more transparent way. To date, the use of negative binomial regression with MIMIC-IV to evaluate how CDS event rates vary by ICU unit type remains limited, leaving an important methodological and substantive gap in </w:t>
      </w:r>
      <w:proofErr w:type="gramStart"/>
      <w:r w:rsidRPr="00BB26C7">
        <w:rPr>
          <w:rFonts w:ascii="Times New Roman" w:hAnsi="Times New Roman" w:cs="Times New Roman"/>
        </w:rPr>
        <w:t>the literature</w:t>
      </w:r>
      <w:proofErr w:type="gramEnd"/>
      <w:r w:rsidRPr="00BB26C7">
        <w:rPr>
          <w:rFonts w:ascii="Times New Roman" w:hAnsi="Times New Roman" w:cs="Times New Roman"/>
        </w:rPr>
        <w:t>.</w:t>
      </w:r>
    </w:p>
    <w:p w14:paraId="0CCBDB54" w14:textId="77777777" w:rsidR="00BB26C7" w:rsidRPr="00BB26C7" w:rsidRDefault="00BB26C7" w:rsidP="00BB26C7">
      <w:pPr>
        <w:jc w:val="both"/>
        <w:rPr>
          <w:rFonts w:ascii="Times New Roman" w:hAnsi="Times New Roman" w:cs="Times New Roman"/>
        </w:rPr>
      </w:pPr>
    </w:p>
    <w:p w14:paraId="51962740" w14:textId="77777777" w:rsidR="00BB26C7" w:rsidRPr="00BB26C7" w:rsidRDefault="00BB26C7" w:rsidP="00BB26C7">
      <w:pPr>
        <w:jc w:val="both"/>
        <w:rPr>
          <w:rFonts w:ascii="Times New Roman" w:hAnsi="Times New Roman" w:cs="Times New Roman"/>
        </w:rPr>
      </w:pPr>
      <w:r w:rsidRPr="00BB26C7">
        <w:rPr>
          <w:rFonts w:ascii="Times New Roman" w:hAnsi="Times New Roman" w:cs="Times New Roman"/>
        </w:rPr>
        <w:t>This study advances the field in three important ways. First, it provides a reproducible approach for analyzing CDS event burden using publicly available data, making the work accessible to researchers without access to proprietary EHR systems. Second, it demonstrates that ICU unit type is a meaningful predictor of event burden, suggesting that alert management strategies should account for differences in care setting rather than relying on uniform system-wide rules. Third, the scenario-based suppression analysis offers practical estimates of how much burden could be reduced under targeted optimization strategies, such as reducing duplicate medication orders or redundant laboratory events. Together, these findings provide CDS governance teams with evidence that can support more targeted, data-driven approaches to alert management in critical care.</w:t>
      </w:r>
    </w:p>
    <w:p w14:paraId="7852DF8D" w14:textId="172DAC42" w:rsidR="00173F2D" w:rsidRPr="008E3E98" w:rsidRDefault="00173F2D" w:rsidP="00BB26C7">
      <w:pPr>
        <w:jc w:val="both"/>
        <w:rPr>
          <w:rFonts w:ascii="Times New Roman" w:hAnsi="Times New Roman" w:cs="Times New Roman"/>
        </w:rPr>
      </w:pPr>
    </w:p>
    <w:p w14:paraId="62DD902D" w14:textId="77777777" w:rsidR="00D14598" w:rsidRPr="008E3E98" w:rsidRDefault="00000000" w:rsidP="008E3E98">
      <w:pPr>
        <w:jc w:val="both"/>
        <w:rPr>
          <w:rFonts w:ascii="Times New Roman" w:hAnsi="Times New Roman" w:cs="Times New Roman"/>
        </w:rPr>
      </w:pPr>
      <w:r w:rsidRPr="008E3E98">
        <w:rPr>
          <w:rFonts w:ascii="Times New Roman" w:hAnsi="Times New Roman" w:cs="Times New Roman"/>
        </w:rPr>
        <w:br w:type="page"/>
      </w:r>
    </w:p>
    <w:p w14:paraId="68F0F3B9" w14:textId="77777777" w:rsidR="00D14598" w:rsidRPr="008E3E98" w:rsidRDefault="00000000" w:rsidP="008E3E98">
      <w:pPr>
        <w:pStyle w:val="Heading1"/>
        <w:jc w:val="both"/>
        <w:rPr>
          <w:rFonts w:ascii="Times New Roman" w:hAnsi="Times New Roman" w:cs="Times New Roman"/>
          <w:sz w:val="24"/>
          <w:szCs w:val="24"/>
        </w:rPr>
      </w:pPr>
      <w:bookmarkStart w:id="7" w:name="_Toc228825804"/>
      <w:r w:rsidRPr="008E3E98">
        <w:rPr>
          <w:rFonts w:ascii="Times New Roman" w:hAnsi="Times New Roman" w:cs="Times New Roman"/>
          <w:sz w:val="24"/>
          <w:szCs w:val="24"/>
        </w:rPr>
        <w:lastRenderedPageBreak/>
        <w:t>2. Literature Review</w:t>
      </w:r>
      <w:bookmarkEnd w:id="7"/>
    </w:p>
    <w:p w14:paraId="1891FDBA" w14:textId="77777777" w:rsidR="00D14598" w:rsidRPr="008E3E98" w:rsidRDefault="00000000" w:rsidP="008E3E98">
      <w:pPr>
        <w:pStyle w:val="Heading2"/>
        <w:jc w:val="both"/>
        <w:rPr>
          <w:rFonts w:ascii="Times New Roman" w:hAnsi="Times New Roman" w:cs="Times New Roman"/>
          <w:sz w:val="24"/>
          <w:szCs w:val="24"/>
        </w:rPr>
      </w:pPr>
      <w:bookmarkStart w:id="8" w:name="_Toc228825805"/>
      <w:r w:rsidRPr="008E3E98">
        <w:rPr>
          <w:rFonts w:ascii="Times New Roman" w:hAnsi="Times New Roman" w:cs="Times New Roman"/>
          <w:sz w:val="24"/>
          <w:szCs w:val="24"/>
        </w:rPr>
        <w:t>2.1 Alert Fatigue in Clinical Settings</w:t>
      </w:r>
      <w:bookmarkEnd w:id="8"/>
    </w:p>
    <w:p w14:paraId="6D467B7F" w14:textId="77777777" w:rsidR="0098554D" w:rsidRPr="008E3E98" w:rsidRDefault="0098554D" w:rsidP="008E3E98">
      <w:pPr>
        <w:jc w:val="both"/>
        <w:rPr>
          <w:rFonts w:ascii="Times New Roman" w:hAnsi="Times New Roman" w:cs="Times New Roman"/>
        </w:rPr>
      </w:pPr>
      <w:r w:rsidRPr="008E3E98">
        <w:rPr>
          <w:rFonts w:ascii="Times New Roman" w:hAnsi="Times New Roman" w:cs="Times New Roman"/>
        </w:rPr>
        <w:t>Alert fatigue has become a powerful and often overlooked side effect of bringing computers into healthcare. Ironically, technologies designed to improve patient safety can sometimes create new risks when they overwhelm clinicians with excessive alerts. In modern clinical environments, providers may receive thousands of alerts daily, particularly in intensive care settings where monitoring systems generate frequent notifications (AHRQ, 2019). With the widespread adoption of electronic health records, alert fatigue is now recognized as a major unintended consequence of healthcare computerization and a significant patient safety concern.</w:t>
      </w:r>
    </w:p>
    <w:p w14:paraId="10D97437" w14:textId="77777777" w:rsidR="0098554D" w:rsidRPr="008E3E98" w:rsidRDefault="0098554D" w:rsidP="008E3E98">
      <w:pPr>
        <w:jc w:val="both"/>
        <w:rPr>
          <w:rFonts w:ascii="Times New Roman" w:hAnsi="Times New Roman" w:cs="Times New Roman"/>
        </w:rPr>
      </w:pPr>
    </w:p>
    <w:p w14:paraId="43FCBA43" w14:textId="76693B81" w:rsidR="0098554D" w:rsidRPr="008E3E98" w:rsidRDefault="0098554D" w:rsidP="008E3E98">
      <w:pPr>
        <w:jc w:val="both"/>
        <w:rPr>
          <w:rFonts w:ascii="Times New Roman" w:hAnsi="Times New Roman" w:cs="Times New Roman"/>
        </w:rPr>
      </w:pPr>
      <w:r w:rsidRPr="008E3E98">
        <w:rPr>
          <w:rFonts w:ascii="Times New Roman" w:hAnsi="Times New Roman" w:cs="Times New Roman"/>
        </w:rPr>
        <w:t>Alert fatigue occurs when clinicians receive so many alerts that they start to ignore or override them, even when some are critical. Many alerts from computerized provider order entry systems are not clinically meaningful, leading to desensitization (AHRQ, 2019). As a result, clinicians often dismiss alerts out of habit, even when important alerts appear. Override rates can reach 77-90 percent, and responsiveness declines as alert volume increases (Seto et al., 2020). In some cases, alert fatigue has contributed to serious patient harm, including over 200 deaths in five years due to missed monitoring alarms (AHRQ, 2019).</w:t>
      </w:r>
    </w:p>
    <w:p w14:paraId="5FCBB092" w14:textId="77777777" w:rsidR="0098554D" w:rsidRPr="008E3E98" w:rsidRDefault="0098554D" w:rsidP="008E3E98">
      <w:pPr>
        <w:jc w:val="both"/>
        <w:rPr>
          <w:rFonts w:ascii="Times New Roman" w:hAnsi="Times New Roman" w:cs="Times New Roman"/>
        </w:rPr>
      </w:pPr>
    </w:p>
    <w:p w14:paraId="51827162" w14:textId="5111BA71" w:rsidR="0098554D" w:rsidRPr="008E3E98" w:rsidRDefault="0098554D" w:rsidP="008E3E98">
      <w:pPr>
        <w:jc w:val="both"/>
        <w:rPr>
          <w:rFonts w:ascii="Times New Roman" w:hAnsi="Times New Roman" w:cs="Times New Roman"/>
        </w:rPr>
      </w:pPr>
      <w:r w:rsidRPr="008E3E98">
        <w:rPr>
          <w:rFonts w:ascii="Times New Roman" w:hAnsi="Times New Roman" w:cs="Times New Roman"/>
        </w:rPr>
        <w:t>Too many low-value alerts do not enhance safety and can increase the risk of patient harm. Research indicates that clinicians become less likely to accept alerts as their number and frequency increase, especially when alerts are repeated for the same patient (Ancker et al., 2017). One study showed that each additional reminder per encounter decreased alert acceptance by 30 percent, highlighting that both volume and repetition reduce responsiveness more than either alone (Ancker et al., 2017). This issue stems from system design flaws, not from individual clinicians' mistakes.</w:t>
      </w:r>
    </w:p>
    <w:p w14:paraId="074DCAFB" w14:textId="77777777" w:rsidR="0098554D" w:rsidRPr="008E3E98" w:rsidRDefault="0098554D" w:rsidP="008E3E98">
      <w:pPr>
        <w:jc w:val="both"/>
        <w:rPr>
          <w:rFonts w:ascii="Times New Roman" w:hAnsi="Times New Roman" w:cs="Times New Roman"/>
        </w:rPr>
      </w:pPr>
    </w:p>
    <w:p w14:paraId="14449CAA" w14:textId="77777777" w:rsidR="0098554D" w:rsidRPr="008E3E98" w:rsidRDefault="0098554D" w:rsidP="008E3E98">
      <w:pPr>
        <w:jc w:val="both"/>
        <w:rPr>
          <w:rFonts w:ascii="Times New Roman" w:hAnsi="Times New Roman" w:cs="Times New Roman"/>
        </w:rPr>
      </w:pPr>
      <w:r w:rsidRPr="008E3E98">
        <w:rPr>
          <w:rFonts w:ascii="Times New Roman" w:hAnsi="Times New Roman" w:cs="Times New Roman"/>
        </w:rPr>
        <w:t>Most attempts to reduce alert fatigue have focused on prioritizing alerts by severity, cutting low-priority interruptions, and customizing alerts to the clinician's role and patient context. Progress has been inconsistent. Developers are often hesitant to remove alerts because of legal concerns, and most optimization relies on data from single institutions with proprietary EHRs, which limits how broadly findings can be applied (AHRQ, 2019). This study aims to close that gap by analyzing CDS event burden using MIMIC-IV, an openly available critical care database, providing a reproducible framework that does not require proprietary alert logs.</w:t>
      </w:r>
    </w:p>
    <w:p w14:paraId="7B3C29CC" w14:textId="77777777" w:rsidR="008E3E98" w:rsidRPr="008E3E98" w:rsidRDefault="008E3E98" w:rsidP="008E3E98">
      <w:pPr>
        <w:jc w:val="both"/>
        <w:rPr>
          <w:rFonts w:ascii="Times New Roman" w:hAnsi="Times New Roman" w:cs="Times New Roman"/>
        </w:rPr>
      </w:pPr>
    </w:p>
    <w:p w14:paraId="53F58BCB" w14:textId="77777777" w:rsidR="00BB26C7" w:rsidRDefault="008E3E98" w:rsidP="008E3E98">
      <w:pPr>
        <w:jc w:val="both"/>
        <w:rPr>
          <w:rFonts w:ascii="Times New Roman" w:hAnsi="Times New Roman" w:cs="Times New Roman"/>
        </w:rPr>
      </w:pPr>
      <w:r w:rsidRPr="008E3E98">
        <w:rPr>
          <w:rFonts w:ascii="Times New Roman" w:hAnsi="Times New Roman" w:cs="Times New Roman"/>
        </w:rPr>
        <w:t xml:space="preserve">Alert fatigue is not only a patient safety issue; it also contributes to clinician burnout and moral distress by increasing the daily cognitive burden of care. When clinicians are repeatedly interrupted by low-value or non-actionable alerts, the cumulative effect can be frustration, reduced job satisfaction, emotional exhaustion, and a sense that time is being diverted away from meaningful patient care. This burden is often shared across the care team, with nurses and pharmacists experiencing frequent alert-driven interruptions alongside physicians, especially in high-acuity settings where fast decisions and constant monitoring are routine (Ancker et al., 2017). </w:t>
      </w:r>
    </w:p>
    <w:p w14:paraId="524574D7" w14:textId="77777777" w:rsidR="00BB26C7" w:rsidRDefault="00BB26C7" w:rsidP="008E3E98">
      <w:pPr>
        <w:jc w:val="both"/>
        <w:rPr>
          <w:rFonts w:ascii="Times New Roman" w:hAnsi="Times New Roman" w:cs="Times New Roman"/>
        </w:rPr>
      </w:pPr>
    </w:p>
    <w:p w14:paraId="1994B928" w14:textId="0E00DDB1" w:rsidR="008E3E98" w:rsidRPr="008E3E98" w:rsidRDefault="008E3E98" w:rsidP="008E3E98">
      <w:pPr>
        <w:jc w:val="both"/>
        <w:rPr>
          <w:rFonts w:ascii="Times New Roman" w:hAnsi="Times New Roman" w:cs="Times New Roman"/>
        </w:rPr>
      </w:pPr>
      <w:r w:rsidRPr="008E3E98">
        <w:rPr>
          <w:rFonts w:ascii="Times New Roman" w:hAnsi="Times New Roman" w:cs="Times New Roman"/>
        </w:rPr>
        <w:t xml:space="preserve">In this way, alert fatigue shows a broader workforce strain; it does not simply make technology harder to </w:t>
      </w:r>
      <w:proofErr w:type="gramStart"/>
      <w:r w:rsidRPr="008E3E98">
        <w:rPr>
          <w:rFonts w:ascii="Times New Roman" w:hAnsi="Times New Roman" w:cs="Times New Roman"/>
        </w:rPr>
        <w:t>use, but</w:t>
      </w:r>
      <w:proofErr w:type="gramEnd"/>
      <w:r w:rsidRPr="008E3E98">
        <w:rPr>
          <w:rFonts w:ascii="Times New Roman" w:hAnsi="Times New Roman" w:cs="Times New Roman"/>
        </w:rPr>
        <w:t xml:space="preserve"> can intensify the same stressors that already add to burnout across healthcare professions.</w:t>
      </w:r>
    </w:p>
    <w:p w14:paraId="69E6C7BB" w14:textId="77777777" w:rsidR="008E3E98" w:rsidRPr="008E3E98" w:rsidRDefault="008E3E98" w:rsidP="008E3E98">
      <w:pPr>
        <w:jc w:val="both"/>
        <w:rPr>
          <w:rFonts w:ascii="Times New Roman" w:hAnsi="Times New Roman" w:cs="Times New Roman"/>
          <w:b/>
          <w:bCs/>
        </w:rPr>
      </w:pPr>
    </w:p>
    <w:p w14:paraId="79900294" w14:textId="51B62E7D" w:rsidR="008E3E98" w:rsidRPr="008E3E98" w:rsidRDefault="008E3E98" w:rsidP="008E3E98">
      <w:pPr>
        <w:jc w:val="both"/>
        <w:rPr>
          <w:rFonts w:ascii="Times New Roman" w:hAnsi="Times New Roman" w:cs="Times New Roman"/>
        </w:rPr>
      </w:pPr>
      <w:r>
        <w:rPr>
          <w:rFonts w:ascii="Times New Roman" w:hAnsi="Times New Roman" w:cs="Times New Roman"/>
        </w:rPr>
        <w:lastRenderedPageBreak/>
        <w:t>Regulatory criteria and legal caution similarly shape efforts to reduce alert burden</w:t>
      </w:r>
      <w:r w:rsidRPr="008E3E98">
        <w:rPr>
          <w:rFonts w:ascii="Times New Roman" w:hAnsi="Times New Roman" w:cs="Times New Roman"/>
        </w:rPr>
        <w:t>. The Joint Commission has recognized alarm management as a national patient safety concern, noting that healthcare organizations should identify and manage the most important alarm signals while limiting unnecessary alarm noise and fatigue (The Joint Commission, 2019). At the same time, hospitals and EHR developers often hesitate to remove or suppress alerts due to liability concerns. There is a persistent fear that if an alert is disabled and harm occurs, the organization could be criticized for failing to warn. This creates a clear tension between reducing alert burden and maintaining legal protection, which helps explain why progress has been slow even though the problem has been recognized for years (AHRQ, 2019). As a result, many health systems continue to preserve broad alert rules rather than risk eliminating potentially defensible warnings, even when those alerts contribute little clinical value.</w:t>
      </w:r>
    </w:p>
    <w:p w14:paraId="32768821" w14:textId="77777777" w:rsidR="008E3E98" w:rsidRPr="008E3E98" w:rsidRDefault="008E3E98" w:rsidP="008E3E98">
      <w:pPr>
        <w:jc w:val="both"/>
        <w:rPr>
          <w:rFonts w:ascii="Times New Roman" w:hAnsi="Times New Roman" w:cs="Times New Roman"/>
        </w:rPr>
      </w:pPr>
    </w:p>
    <w:p w14:paraId="55319C95" w14:textId="77777777" w:rsidR="00D14598" w:rsidRPr="008E3E98" w:rsidRDefault="00000000" w:rsidP="008E3E98">
      <w:pPr>
        <w:pStyle w:val="Heading2"/>
        <w:jc w:val="both"/>
        <w:rPr>
          <w:rFonts w:ascii="Times New Roman" w:hAnsi="Times New Roman" w:cs="Times New Roman"/>
          <w:sz w:val="24"/>
          <w:szCs w:val="24"/>
        </w:rPr>
      </w:pPr>
      <w:bookmarkStart w:id="9" w:name="_Toc228825806"/>
      <w:r w:rsidRPr="008E3E98">
        <w:rPr>
          <w:rFonts w:ascii="Times New Roman" w:hAnsi="Times New Roman" w:cs="Times New Roman"/>
          <w:sz w:val="24"/>
          <w:szCs w:val="24"/>
        </w:rPr>
        <w:t>2.2 Clinical Decision Support Systems in the ICU</w:t>
      </w:r>
      <w:bookmarkEnd w:id="9"/>
    </w:p>
    <w:p w14:paraId="50A617F9"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Clinical decision support (CDS) systems are now a core component of intensive care units (ICUs), where clinicians must manage large volumes of patient data and make rapid, high-stakes decisions. These systems integrate patient information, laboratory results, medication records, and clinical guidelines to identify risks such as medication errors or abnormal lab values and prompt timely action (Sutton et al., 2020). Research has shown that CDS tools can reduce prescribing and dosing errors, flag dangerous drug interactions, and support evidence-based care across a range of clinical settings.</w:t>
      </w:r>
    </w:p>
    <w:p w14:paraId="2207C09C" w14:textId="77777777" w:rsidR="008D0C09" w:rsidRPr="008E3E98" w:rsidRDefault="008D0C09" w:rsidP="008E3E98">
      <w:pPr>
        <w:jc w:val="both"/>
        <w:rPr>
          <w:rFonts w:ascii="Times New Roman" w:hAnsi="Times New Roman" w:cs="Times New Roman"/>
        </w:rPr>
      </w:pPr>
    </w:p>
    <w:p w14:paraId="0EF278F0" w14:textId="6D762A7A"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In ICU environments, CDS systems are particularly important because of the complexity and urgency of patient care. Critically ill patients require continuous monitoring, frequent medication adjustments, and rapid responses to changing conditions. Misdiagnosis in the ICU is 50% more common than in other areas of the hospital, and medication errors account for 78% of serious adverse events in critical care settings (Sutton et al., 2020). CDS tools help clinicians manage this complexity by organizing information, highlighting key trends, and generating real-time alerts when a patient's condition may </w:t>
      </w:r>
      <w:r w:rsidR="004F167C" w:rsidRPr="008E3E98">
        <w:rPr>
          <w:rFonts w:ascii="Times New Roman" w:hAnsi="Times New Roman" w:cs="Times New Roman"/>
        </w:rPr>
        <w:t>worsen</w:t>
      </w:r>
      <w:r w:rsidRPr="008E3E98">
        <w:rPr>
          <w:rFonts w:ascii="Times New Roman" w:hAnsi="Times New Roman" w:cs="Times New Roman"/>
        </w:rPr>
        <w:t>. These functions support better decision-making and improve adherence to clinical guidelines (Sutton et al., 2020).</w:t>
      </w:r>
    </w:p>
    <w:p w14:paraId="02E1A8A5" w14:textId="77777777" w:rsidR="008D0C09" w:rsidRPr="008E3E98" w:rsidRDefault="008D0C09" w:rsidP="008E3E98">
      <w:pPr>
        <w:jc w:val="both"/>
        <w:rPr>
          <w:rFonts w:ascii="Times New Roman" w:hAnsi="Times New Roman" w:cs="Times New Roman"/>
        </w:rPr>
      </w:pPr>
    </w:p>
    <w:p w14:paraId="07163BA0"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One of the key strengths of CDS systems is their ability to standardize care. When integrated into electronic health records, CDS tools can guide medication dosing, flag potential drug interactions, and reinforce adherence to established protocols. For example, a CPOE rule implemented in a pediatric cardiovascular ICU limited the frequency of lab panel ordering, resulting in substantial reductions in unnecessary testing and projected cost savings exceeding $700,000 annually without negatively affecting patient outcomes (Sutton et al., 2020). This type of standardization is especially valuable in high-risk environments like the ICU, where reducing variability can improve both safety and efficiency.</w:t>
      </w:r>
    </w:p>
    <w:p w14:paraId="39D63E85" w14:textId="77777777" w:rsidR="008D0C09" w:rsidRDefault="008D0C09" w:rsidP="008E3E98">
      <w:pPr>
        <w:jc w:val="both"/>
        <w:rPr>
          <w:rFonts w:ascii="Times New Roman" w:hAnsi="Times New Roman" w:cs="Times New Roman"/>
        </w:rPr>
      </w:pPr>
    </w:p>
    <w:p w14:paraId="7238C287" w14:textId="4803E563" w:rsidR="00BB26C7" w:rsidRDefault="00BB26C7" w:rsidP="008E3E98">
      <w:pPr>
        <w:jc w:val="both"/>
        <w:rPr>
          <w:rFonts w:ascii="Times New Roman" w:hAnsi="Times New Roman" w:cs="Times New Roman"/>
        </w:rPr>
      </w:pPr>
      <w:r w:rsidRPr="00BB26C7">
        <w:rPr>
          <w:rFonts w:ascii="Times New Roman" w:hAnsi="Times New Roman" w:cs="Times New Roman"/>
        </w:rPr>
        <w:t xml:space="preserve">In the ICU, CDS systems extend beyond basic medication and laboratory alerts to support the detection of high-risk clinical conditions such as sepsis, acute kidney injury, and ventilator-related complications. Sepsis detection tools monitor trends in vital signs, laboratory values, and other clinical indicators to identify early signs of physiologic deterioration, often before such changes are readily apparent through routine clinical assessment (Sutton et al., 2020). Similarly, AKI alerts track creatinine and urine output to support earlier recognition of renal dysfunction, while </w:t>
      </w:r>
      <w:r w:rsidRPr="00BB26C7">
        <w:rPr>
          <w:rFonts w:ascii="Times New Roman" w:hAnsi="Times New Roman" w:cs="Times New Roman"/>
        </w:rPr>
        <w:lastRenderedPageBreak/>
        <w:t xml:space="preserve">ventilator management CDS helps promote more consistent use of lung-protective and sedation protocols (Sutton et al., 2020). Although these tools offer substantial clinical value in critical care, they also increase alert volume. </w:t>
      </w:r>
      <w:r>
        <w:rPr>
          <w:rFonts w:ascii="Times New Roman" w:hAnsi="Times New Roman" w:cs="Times New Roman"/>
        </w:rPr>
        <w:t>Highly</w:t>
      </w:r>
      <w:r w:rsidRPr="00BB26C7">
        <w:rPr>
          <w:rFonts w:ascii="Times New Roman" w:hAnsi="Times New Roman" w:cs="Times New Roman"/>
        </w:rPr>
        <w:t xml:space="preserve"> sensitive systems may generate frequent notifications, including many that are not clinically actionable, thereby contributing to alert fatigue.</w:t>
      </w:r>
    </w:p>
    <w:p w14:paraId="64FD9B90" w14:textId="77777777" w:rsidR="00BB26C7" w:rsidRPr="008E3E98" w:rsidRDefault="00BB26C7" w:rsidP="008E3E98">
      <w:pPr>
        <w:jc w:val="both"/>
        <w:rPr>
          <w:rFonts w:ascii="Times New Roman" w:hAnsi="Times New Roman" w:cs="Times New Roman"/>
        </w:rPr>
      </w:pPr>
    </w:p>
    <w:p w14:paraId="7AFA1195" w14:textId="6A04EFFD" w:rsidR="008D0C09" w:rsidRPr="008E3E98" w:rsidRDefault="008D0C09" w:rsidP="008E3E98">
      <w:pPr>
        <w:jc w:val="both"/>
        <w:rPr>
          <w:rFonts w:ascii="Times New Roman" w:hAnsi="Times New Roman" w:cs="Times New Roman"/>
        </w:rPr>
      </w:pPr>
      <w:r w:rsidRPr="008E3E98">
        <w:rPr>
          <w:rFonts w:ascii="Times New Roman" w:hAnsi="Times New Roman" w:cs="Times New Roman"/>
        </w:rPr>
        <w:t>However, the same features that make CDS systems effective, particularly real-time alerts, can also introduce challenges. In high-intensity ICU settings, the volume of alerts can become overwhelming. An estimated 7,000 passive alerts are delivered daily to an individual critical care practitioner, and more than half of ICU clinicians surveyed 56.5% reported experiencing alert fatigue (Wong et al., 2023). When alerts become too frequent or are perceived as irrelevant, clinicians may begin to ignore them, reducing their effectiveness and potentially increasing the risk of missed critical warnings.</w:t>
      </w:r>
    </w:p>
    <w:p w14:paraId="2AFE6253" w14:textId="77777777" w:rsidR="008D0C09" w:rsidRPr="008E3E98" w:rsidRDefault="008D0C09" w:rsidP="008E3E98">
      <w:pPr>
        <w:jc w:val="both"/>
        <w:rPr>
          <w:rFonts w:ascii="Times New Roman" w:hAnsi="Times New Roman" w:cs="Times New Roman"/>
        </w:rPr>
      </w:pPr>
    </w:p>
    <w:p w14:paraId="668184A0"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Emerging research suggests that the effectiveness of CDS systems depends not only on the number of alerts but also on their relevance and design. Tailoring drug-drug interaction alerts specifically to the ICU setting has been shown to reduce high-risk medication combinations by 12%, demonstrating that more targeted alert strategies can meaningfully improve patient outcomes (Bakker et al., 2024). Similarly, Wong et al. (2023) identified key factors that influence effective CDS use in the ICU, including alert specificity, prioritization, ease of response, and feedback mechanisms, while also highlighting barriers such as excessive alert volume and workflow disruption.</w:t>
      </w:r>
    </w:p>
    <w:p w14:paraId="46308224" w14:textId="77777777" w:rsidR="008D0C09" w:rsidRPr="008E3E98" w:rsidRDefault="008D0C09" w:rsidP="008E3E98">
      <w:pPr>
        <w:jc w:val="both"/>
        <w:rPr>
          <w:rFonts w:ascii="Times New Roman" w:hAnsi="Times New Roman" w:cs="Times New Roman"/>
        </w:rPr>
      </w:pPr>
    </w:p>
    <w:p w14:paraId="11C9E5F0" w14:textId="77777777" w:rsidR="008D0C09" w:rsidRDefault="008D0C09" w:rsidP="008E3E98">
      <w:pPr>
        <w:jc w:val="both"/>
        <w:rPr>
          <w:rFonts w:ascii="Times New Roman" w:hAnsi="Times New Roman" w:cs="Times New Roman"/>
        </w:rPr>
      </w:pPr>
      <w:r w:rsidRPr="008E3E98">
        <w:rPr>
          <w:rFonts w:ascii="Times New Roman" w:hAnsi="Times New Roman" w:cs="Times New Roman"/>
        </w:rPr>
        <w:t>Overall, CDS systems in the ICU provide essential support for clinical decision-making but also introduce important challenges related to workflow and alert burden. These findings suggest that improving CDS performance requires more than simply increasing alert volume. Instead, systems must be designed to align with the specific workflows, patient populations, and demands of ICU environments. Understanding both the benefits and limitations of CDS systems is critical for developing more effective, targeted strategies to reduce alert fatigue and improve patient safety.</w:t>
      </w:r>
    </w:p>
    <w:p w14:paraId="39A97B1A" w14:textId="77777777" w:rsidR="00E85C69" w:rsidRDefault="00E85C69" w:rsidP="008E3E98">
      <w:pPr>
        <w:jc w:val="both"/>
        <w:rPr>
          <w:rFonts w:ascii="Times New Roman" w:hAnsi="Times New Roman" w:cs="Times New Roman"/>
        </w:rPr>
      </w:pPr>
    </w:p>
    <w:p w14:paraId="184DADD9" w14:textId="34BFEF19" w:rsidR="00E85C69" w:rsidRDefault="00E60DF2" w:rsidP="008E3E98">
      <w:pPr>
        <w:jc w:val="both"/>
        <w:rPr>
          <w:rFonts w:ascii="Times New Roman" w:hAnsi="Times New Roman" w:cs="Times New Roman"/>
        </w:rPr>
      </w:pPr>
      <w:r w:rsidRPr="00E60DF2">
        <w:rPr>
          <w:rFonts w:ascii="Times New Roman" w:hAnsi="Times New Roman" w:cs="Times New Roman"/>
        </w:rPr>
        <w:t xml:space="preserve">A central challenge in CDS design is the tradeoff between sensitivity and specificity. CDS tools are often configured to be highly sensitive </w:t>
      </w:r>
      <w:r>
        <w:rPr>
          <w:rFonts w:ascii="Times New Roman" w:hAnsi="Times New Roman" w:cs="Times New Roman"/>
        </w:rPr>
        <w:t>to</w:t>
      </w:r>
      <w:r w:rsidRPr="00E60DF2">
        <w:rPr>
          <w:rFonts w:ascii="Times New Roman" w:hAnsi="Times New Roman" w:cs="Times New Roman"/>
        </w:rPr>
        <w:t xml:space="preserve"> capture as many true clinical risks as possible, but that approach inevitably increases false positives and generates alerts that do not require action (Wong et al., 2023). Improving specificity requires local customization, ongoing monitoring, and regular maintenance so that alerts reflect the needs of a particular patient population and clinical workflow. In practice, many hospitals </w:t>
      </w:r>
      <w:r>
        <w:rPr>
          <w:rFonts w:ascii="Times New Roman" w:hAnsi="Times New Roman" w:cs="Times New Roman"/>
        </w:rPr>
        <w:t>lack the time, staffing, or technical resources to continuously fine-tune their systems, making</w:t>
      </w:r>
      <w:r w:rsidRPr="00E60DF2">
        <w:rPr>
          <w:rFonts w:ascii="Times New Roman" w:hAnsi="Times New Roman" w:cs="Times New Roman"/>
        </w:rPr>
        <w:t xml:space="preserve"> this balance difficult to sustain. This tension lies at the heart of alert fatigue: the more a system tries to catch everything, the more likely it is to interrupt clinicians unnecessarily. In this study, examining event burden by ICU unit type helps identify where specificity improvements would likely have the greatest impact, because different units may benefit from different alert thresholds and suppression strategies (Bakker et al., 2024).</w:t>
      </w:r>
    </w:p>
    <w:p w14:paraId="3588A60D" w14:textId="77777777" w:rsidR="00E60DF2" w:rsidRDefault="00E60DF2" w:rsidP="008E3E98">
      <w:pPr>
        <w:jc w:val="both"/>
        <w:rPr>
          <w:rFonts w:ascii="Times New Roman" w:hAnsi="Times New Roman" w:cs="Times New Roman"/>
        </w:rPr>
      </w:pPr>
    </w:p>
    <w:p w14:paraId="6674DA0D" w14:textId="77777777" w:rsidR="00E60DF2" w:rsidRDefault="00E60DF2" w:rsidP="008E3E98">
      <w:pPr>
        <w:jc w:val="both"/>
        <w:rPr>
          <w:rFonts w:ascii="Times New Roman" w:hAnsi="Times New Roman" w:cs="Times New Roman"/>
        </w:rPr>
      </w:pPr>
    </w:p>
    <w:p w14:paraId="028C3D2C" w14:textId="77777777" w:rsidR="00E60DF2" w:rsidRDefault="00E60DF2" w:rsidP="008E3E98">
      <w:pPr>
        <w:jc w:val="both"/>
        <w:rPr>
          <w:rFonts w:ascii="Times New Roman" w:hAnsi="Times New Roman" w:cs="Times New Roman"/>
        </w:rPr>
      </w:pPr>
    </w:p>
    <w:p w14:paraId="5AFD1DD1" w14:textId="77777777" w:rsidR="00E60DF2" w:rsidRPr="008E3E98" w:rsidRDefault="00E60DF2" w:rsidP="008E3E98">
      <w:pPr>
        <w:jc w:val="both"/>
        <w:rPr>
          <w:rFonts w:ascii="Times New Roman" w:hAnsi="Times New Roman" w:cs="Times New Roman"/>
        </w:rPr>
      </w:pPr>
    </w:p>
    <w:p w14:paraId="2FFB51E5" w14:textId="77777777" w:rsidR="006D1A18" w:rsidRPr="008E3E98" w:rsidRDefault="006D1A18" w:rsidP="008E3E98">
      <w:pPr>
        <w:jc w:val="both"/>
        <w:rPr>
          <w:rFonts w:ascii="Times New Roman" w:hAnsi="Times New Roman" w:cs="Times New Roman"/>
        </w:rPr>
      </w:pPr>
    </w:p>
    <w:p w14:paraId="16B89CED" w14:textId="77777777" w:rsidR="00D14598" w:rsidRPr="008E3E98" w:rsidRDefault="00000000" w:rsidP="008E3E98">
      <w:pPr>
        <w:pStyle w:val="Heading2"/>
        <w:jc w:val="both"/>
        <w:rPr>
          <w:rFonts w:ascii="Times New Roman" w:hAnsi="Times New Roman" w:cs="Times New Roman"/>
          <w:sz w:val="24"/>
          <w:szCs w:val="24"/>
        </w:rPr>
      </w:pPr>
      <w:bookmarkStart w:id="10" w:name="_Toc228825807"/>
      <w:r w:rsidRPr="008E3E98">
        <w:rPr>
          <w:rFonts w:ascii="Times New Roman" w:hAnsi="Times New Roman" w:cs="Times New Roman"/>
          <w:sz w:val="24"/>
          <w:szCs w:val="24"/>
        </w:rPr>
        <w:lastRenderedPageBreak/>
        <w:t>2.3 Statistical Approaches to Clinical Event Modeling</w:t>
      </w:r>
      <w:bookmarkEnd w:id="10"/>
    </w:p>
    <w:p w14:paraId="680BD138" w14:textId="1A8563E1" w:rsidR="0032527B" w:rsidRPr="008E3E98" w:rsidRDefault="0032527B" w:rsidP="008E3E98">
      <w:pPr>
        <w:jc w:val="both"/>
        <w:rPr>
          <w:rFonts w:ascii="Times New Roman" w:hAnsi="Times New Roman" w:cs="Times New Roman"/>
        </w:rPr>
      </w:pPr>
      <w:r w:rsidRPr="008E3E98">
        <w:rPr>
          <w:rFonts w:ascii="Times New Roman" w:hAnsi="Times New Roman" w:cs="Times New Roman"/>
        </w:rPr>
        <w:t xml:space="preserve">Clinical event data, such as medication orders and lab tests, are usually recorded as counts. Standard linear regression does not fit this kind of data because it expects continuous, normally distributed outcomes and can even predict impossible negative values. In practice, count data are often skewed, </w:t>
      </w:r>
      <w:r w:rsidR="004F167C" w:rsidRPr="008E3E98">
        <w:rPr>
          <w:rFonts w:ascii="Times New Roman" w:hAnsi="Times New Roman" w:cs="Times New Roman"/>
        </w:rPr>
        <w:t>including</w:t>
      </w:r>
      <w:r w:rsidRPr="008E3E98">
        <w:rPr>
          <w:rFonts w:ascii="Times New Roman" w:hAnsi="Times New Roman" w:cs="Times New Roman"/>
        </w:rPr>
        <w:t xml:space="preserve"> many zeros, and vary widely across patients. These features make traditional regression a poor choice for analyzing clinical events (Perkins et al., 2021).</w:t>
      </w:r>
    </w:p>
    <w:p w14:paraId="6CDBBD6C" w14:textId="77777777" w:rsidR="0032527B" w:rsidRPr="008E3E98" w:rsidRDefault="0032527B" w:rsidP="008E3E98">
      <w:pPr>
        <w:jc w:val="both"/>
        <w:rPr>
          <w:rFonts w:ascii="Times New Roman" w:hAnsi="Times New Roman" w:cs="Times New Roman"/>
        </w:rPr>
      </w:pPr>
    </w:p>
    <w:p w14:paraId="286638E5" w14:textId="77777777" w:rsidR="0032527B" w:rsidRPr="008E3E98" w:rsidRDefault="0032527B" w:rsidP="008E3E98">
      <w:pPr>
        <w:jc w:val="both"/>
        <w:rPr>
          <w:rFonts w:ascii="Times New Roman" w:hAnsi="Times New Roman" w:cs="Times New Roman"/>
        </w:rPr>
      </w:pPr>
      <w:r w:rsidRPr="008E3E98">
        <w:rPr>
          <w:rFonts w:ascii="Times New Roman" w:hAnsi="Times New Roman" w:cs="Times New Roman"/>
        </w:rPr>
        <w:t xml:space="preserve">Poisson regression is one of the most widely used models for count data because it is specifically designed for outcomes that represent the number of times an event occurs. It performs well when the data </w:t>
      </w:r>
      <w:proofErr w:type="gramStart"/>
      <w:r w:rsidRPr="008E3E98">
        <w:rPr>
          <w:rFonts w:ascii="Times New Roman" w:hAnsi="Times New Roman" w:cs="Times New Roman"/>
        </w:rPr>
        <w:t>meet</w:t>
      </w:r>
      <w:proofErr w:type="gramEnd"/>
      <w:r w:rsidRPr="008E3E98">
        <w:rPr>
          <w:rFonts w:ascii="Times New Roman" w:hAnsi="Times New Roman" w:cs="Times New Roman"/>
        </w:rPr>
        <w:t xml:space="preserve"> its key assumption that the mean and variance are equal, a property known as </w:t>
      </w:r>
      <w:proofErr w:type="spellStart"/>
      <w:r w:rsidRPr="008E3E98">
        <w:rPr>
          <w:rFonts w:ascii="Times New Roman" w:hAnsi="Times New Roman" w:cs="Times New Roman"/>
        </w:rPr>
        <w:t>equidispersion</w:t>
      </w:r>
      <w:proofErr w:type="spellEnd"/>
      <w:r w:rsidRPr="008E3E98">
        <w:rPr>
          <w:rFonts w:ascii="Times New Roman" w:hAnsi="Times New Roman" w:cs="Times New Roman"/>
        </w:rPr>
        <w:t xml:space="preserve"> (Schober &amp; Vetter, 2021). Under these conditions, Poisson regression provides efficient and interpretable estimates and is often used as the starting point for analyzing count-based outcomes. However, this assumption is rarely met in real-world healthcare data. Clinical event data, such as medication orders and laboratory tests, typically exhibit much greater variability than the Poisson model allows. When overdispersion is present, Poisson regression tends to underestimate standard errors, which can inflate test statistics and produce confidence intervals that are too narrow, overstating the precision of the findings (</w:t>
      </w:r>
      <w:proofErr w:type="spellStart"/>
      <w:r w:rsidRPr="008E3E98">
        <w:rPr>
          <w:rFonts w:ascii="Times New Roman" w:hAnsi="Times New Roman" w:cs="Times New Roman"/>
        </w:rPr>
        <w:t>Hilbe</w:t>
      </w:r>
      <w:proofErr w:type="spellEnd"/>
      <w:r w:rsidRPr="008E3E98">
        <w:rPr>
          <w:rFonts w:ascii="Times New Roman" w:hAnsi="Times New Roman" w:cs="Times New Roman"/>
        </w:rPr>
        <w:t xml:space="preserve"> et al., 2022). This limitation is particularly evident in ICU data, where patient complexity and variation in care intensity create highly uneven distributions of clinical events. In this study, variance-to-mean ratios ranged from 119 to 1,178 across the primary outcome variables, far exceeding what a Poisson model can reasonably accommodate. For data as complex and variable as ICU clinical events, a more flexible modeling approach is needed to produce trustworthy results.</w:t>
      </w:r>
    </w:p>
    <w:p w14:paraId="4FC0F509" w14:textId="77777777" w:rsidR="0032527B" w:rsidRPr="008E3E98" w:rsidRDefault="0032527B" w:rsidP="008E3E98">
      <w:pPr>
        <w:jc w:val="both"/>
        <w:rPr>
          <w:rFonts w:ascii="Times New Roman" w:hAnsi="Times New Roman" w:cs="Times New Roman"/>
        </w:rPr>
      </w:pPr>
    </w:p>
    <w:p w14:paraId="74A18414" w14:textId="77777777" w:rsidR="0032527B" w:rsidRPr="008E3E98" w:rsidRDefault="0032527B" w:rsidP="008E3E98">
      <w:pPr>
        <w:jc w:val="both"/>
        <w:rPr>
          <w:rFonts w:ascii="Times New Roman" w:hAnsi="Times New Roman" w:cs="Times New Roman"/>
        </w:rPr>
      </w:pPr>
      <w:r w:rsidRPr="008E3E98">
        <w:rPr>
          <w:rFonts w:ascii="Times New Roman" w:hAnsi="Times New Roman" w:cs="Times New Roman"/>
        </w:rPr>
        <w:t xml:space="preserve">A key limitation of Poisson regression in healthcare data is overdispersion, which occurs when the variance of a count outcome exceeds its </w:t>
      </w:r>
      <w:proofErr w:type="gramStart"/>
      <w:r w:rsidRPr="008E3E98">
        <w:rPr>
          <w:rFonts w:ascii="Times New Roman" w:hAnsi="Times New Roman" w:cs="Times New Roman"/>
        </w:rPr>
        <w:t>mean</w:t>
      </w:r>
      <w:proofErr w:type="gramEnd"/>
      <w:r w:rsidRPr="008E3E98">
        <w:rPr>
          <w:rFonts w:ascii="Times New Roman" w:hAnsi="Times New Roman" w:cs="Times New Roman"/>
        </w:rPr>
        <w:t xml:space="preserve">. Payne et al. (2018) identify several causes of overdispersion, including population heterogeneity, omitted variables that influence outcomes, and the presence of extreme values or outliers. In the context of ICU care, these factors are especially relevant, as patients differ significantly in severity of illness, treatment intensity, and length of stay, all of which contribute to large differences in event counts such as medication orders and laboratory tests. Ignoring overdispersion has important consequences for statistical inference. When a Poisson model is applied to </w:t>
      </w:r>
      <w:proofErr w:type="spellStart"/>
      <w:r w:rsidRPr="008E3E98">
        <w:rPr>
          <w:rFonts w:ascii="Times New Roman" w:hAnsi="Times New Roman" w:cs="Times New Roman"/>
        </w:rPr>
        <w:t>overdispersed</w:t>
      </w:r>
      <w:proofErr w:type="spellEnd"/>
      <w:r w:rsidRPr="008E3E98">
        <w:rPr>
          <w:rFonts w:ascii="Times New Roman" w:hAnsi="Times New Roman" w:cs="Times New Roman"/>
        </w:rPr>
        <w:t xml:space="preserve"> data, standard errors are typically underestimated, which can inflate test statistics and increase the likelihood of Type I errors — incorrectly concluding that an effect is statistically significant when it is not (Payne et al., 2018). Schober and Vetter (2021) emphasize that this issue is particularly important in medical research, where misleading results can lead to incorrect clinical conclusions or poorly designed alert management strategies. To detect overdispersion, researchers often compare the variance to the mean or examine goodness-of-fit statistics such as deviance or Pearson chi-square values relative to degrees of freedom (Payne et al., 2018).</w:t>
      </w:r>
    </w:p>
    <w:p w14:paraId="6F5D5FFE" w14:textId="77777777" w:rsidR="0032527B" w:rsidRPr="008E3E98" w:rsidRDefault="0032527B" w:rsidP="008E3E98">
      <w:pPr>
        <w:jc w:val="both"/>
        <w:rPr>
          <w:rFonts w:ascii="Times New Roman" w:hAnsi="Times New Roman" w:cs="Times New Roman"/>
        </w:rPr>
      </w:pPr>
    </w:p>
    <w:p w14:paraId="7354D9C4" w14:textId="50167E4B" w:rsidR="0032527B" w:rsidRPr="008E3E98" w:rsidRDefault="002E259A" w:rsidP="008E3E98">
      <w:pPr>
        <w:jc w:val="both"/>
        <w:rPr>
          <w:rFonts w:ascii="Times New Roman" w:hAnsi="Times New Roman" w:cs="Times New Roman"/>
        </w:rPr>
      </w:pPr>
      <w:r w:rsidRPr="008E3E98">
        <w:rPr>
          <w:rFonts w:ascii="Times New Roman" w:hAnsi="Times New Roman" w:cs="Times New Roman"/>
        </w:rPr>
        <w:t>Negative binomial regression addresses the limitations of Poisson regression by introducing an additional dispersion parameter, often denoted theta, that accounts for excess variability in the data (Schober &amp; Vetter, 2021). By absorbing this extra variability, the negative binomial model produces more accurate standard errors and more reliable confidence intervals, reducing the risk of misleading statistical conclusions (</w:t>
      </w:r>
      <w:proofErr w:type="spellStart"/>
      <w:r w:rsidRPr="008E3E98">
        <w:rPr>
          <w:rFonts w:ascii="Times New Roman" w:hAnsi="Times New Roman" w:cs="Times New Roman"/>
        </w:rPr>
        <w:t>Hilbe</w:t>
      </w:r>
      <w:proofErr w:type="spellEnd"/>
      <w:r w:rsidRPr="008E3E98">
        <w:rPr>
          <w:rFonts w:ascii="Times New Roman" w:hAnsi="Times New Roman" w:cs="Times New Roman"/>
        </w:rPr>
        <w:t xml:space="preserve"> et al., 2022). Results are typically interpreted as incidence rate ratios (IRRs), which describe how much higher or lower an event rate is relative to a reference group, making the model especially useful for comparisons across patient groups, </w:t>
      </w:r>
      <w:r w:rsidRPr="008E3E98">
        <w:rPr>
          <w:rFonts w:ascii="Times New Roman" w:hAnsi="Times New Roman" w:cs="Times New Roman"/>
        </w:rPr>
        <w:lastRenderedPageBreak/>
        <w:t>treatments, or care settings (Schober &amp; Vetter, 2021). Evidence from applied healthcare studies supports this approach. Byers et al. (2003) demonstrated that in a clinical dataset where the variance was nearly six times greater than the mean, the negative binomial model provided a significantly better fit than Poisson. This type of variability is consistent with what is observed in ICU data, where differences in patient severity, treatment intensity, and length of stay create highly uneven distributions of clinical events.</w:t>
      </w:r>
    </w:p>
    <w:p w14:paraId="01EDA082" w14:textId="77777777" w:rsidR="0032527B" w:rsidRPr="008E3E98" w:rsidRDefault="0032527B" w:rsidP="008E3E98">
      <w:pPr>
        <w:jc w:val="both"/>
        <w:rPr>
          <w:rFonts w:ascii="Times New Roman" w:hAnsi="Times New Roman" w:cs="Times New Roman"/>
        </w:rPr>
      </w:pPr>
    </w:p>
    <w:p w14:paraId="7C1F7592" w14:textId="77777777" w:rsidR="00F65019" w:rsidRPr="008E3E98" w:rsidRDefault="00F65019" w:rsidP="008E3E98">
      <w:pPr>
        <w:jc w:val="both"/>
        <w:rPr>
          <w:rFonts w:ascii="Times New Roman" w:hAnsi="Times New Roman" w:cs="Times New Roman"/>
        </w:rPr>
      </w:pPr>
      <w:r w:rsidRPr="008E3E98">
        <w:rPr>
          <w:rFonts w:ascii="Times New Roman" w:hAnsi="Times New Roman" w:cs="Times New Roman"/>
        </w:rPr>
        <w:t>Count regression models have been applied across a wide range of healthcare research situations where outcomes share the same distributional properties as CDS event data. These include measures such as hospital length of stay, medication adherence, adverse event frequencies, and clinical trial outcomes, all of which are recorded as counts, tend to be right-skewed, and vary substantially across patient populations (Perkins et al., 2021). Because of these similarities, the same modeling challenges and solutions apply across these domains.</w:t>
      </w:r>
    </w:p>
    <w:p w14:paraId="70A2BCA9" w14:textId="77777777" w:rsidR="00F65019" w:rsidRPr="008E3E98" w:rsidRDefault="00F65019" w:rsidP="008E3E98">
      <w:pPr>
        <w:jc w:val="both"/>
        <w:rPr>
          <w:rFonts w:ascii="Times New Roman" w:hAnsi="Times New Roman" w:cs="Times New Roman"/>
        </w:rPr>
      </w:pPr>
    </w:p>
    <w:p w14:paraId="5DEE6696" w14:textId="77777777" w:rsidR="00F65019" w:rsidRPr="008E3E98" w:rsidRDefault="00F65019" w:rsidP="008E3E98">
      <w:pPr>
        <w:jc w:val="both"/>
        <w:rPr>
          <w:rFonts w:ascii="Times New Roman" w:hAnsi="Times New Roman" w:cs="Times New Roman"/>
        </w:rPr>
      </w:pPr>
      <w:r w:rsidRPr="008E3E98">
        <w:rPr>
          <w:rFonts w:ascii="Times New Roman" w:hAnsi="Times New Roman" w:cs="Times New Roman"/>
        </w:rPr>
        <w:t xml:space="preserve">One of the most common examples is hospital length of stay, which is often analyzed with count regression techniques because of its highly skewed, </w:t>
      </w:r>
      <w:proofErr w:type="spellStart"/>
      <w:r w:rsidRPr="008E3E98">
        <w:rPr>
          <w:rFonts w:ascii="Times New Roman" w:hAnsi="Times New Roman" w:cs="Times New Roman"/>
        </w:rPr>
        <w:t>overdispersed</w:t>
      </w:r>
      <w:proofErr w:type="spellEnd"/>
      <w:r w:rsidRPr="008E3E98">
        <w:rPr>
          <w:rFonts w:ascii="Times New Roman" w:hAnsi="Times New Roman" w:cs="Times New Roman"/>
        </w:rPr>
        <w:t xml:space="preserve"> distribution. Like medication orders and laboratory events, length-of-stay data often include </w:t>
      </w:r>
      <w:proofErr w:type="gramStart"/>
      <w:r w:rsidRPr="008E3E98">
        <w:rPr>
          <w:rFonts w:ascii="Times New Roman" w:hAnsi="Times New Roman" w:cs="Times New Roman"/>
        </w:rPr>
        <w:t>a large number of</w:t>
      </w:r>
      <w:proofErr w:type="gramEnd"/>
      <w:r w:rsidRPr="008E3E98">
        <w:rPr>
          <w:rFonts w:ascii="Times New Roman" w:hAnsi="Times New Roman" w:cs="Times New Roman"/>
        </w:rPr>
        <w:t xml:space="preserve"> short stays alongside a smaller number of very long stays, creating substantial variability that standard models cannot capture effectively (</w:t>
      </w:r>
      <w:proofErr w:type="spellStart"/>
      <w:r w:rsidRPr="008E3E98">
        <w:rPr>
          <w:rFonts w:ascii="Times New Roman" w:hAnsi="Times New Roman" w:cs="Times New Roman"/>
        </w:rPr>
        <w:t>Hilbe</w:t>
      </w:r>
      <w:proofErr w:type="spellEnd"/>
      <w:r w:rsidRPr="008E3E98">
        <w:rPr>
          <w:rFonts w:ascii="Times New Roman" w:hAnsi="Times New Roman" w:cs="Times New Roman"/>
        </w:rPr>
        <w:t xml:space="preserve"> et al., 2022). This makes it a well-</w:t>
      </w:r>
      <w:proofErr w:type="gramStart"/>
      <w:r w:rsidRPr="008E3E98">
        <w:rPr>
          <w:rFonts w:ascii="Times New Roman" w:hAnsi="Times New Roman" w:cs="Times New Roman"/>
        </w:rPr>
        <w:t>established use</w:t>
      </w:r>
      <w:proofErr w:type="gramEnd"/>
      <w:r w:rsidRPr="008E3E98">
        <w:rPr>
          <w:rFonts w:ascii="Times New Roman" w:hAnsi="Times New Roman" w:cs="Times New Roman"/>
        </w:rPr>
        <w:t xml:space="preserve"> case for negative binomial regression in healthcare research.</w:t>
      </w:r>
    </w:p>
    <w:p w14:paraId="184E86CC" w14:textId="77777777" w:rsidR="00F65019" w:rsidRPr="008E3E98" w:rsidRDefault="00F65019" w:rsidP="008E3E98">
      <w:pPr>
        <w:jc w:val="both"/>
        <w:rPr>
          <w:rFonts w:ascii="Times New Roman" w:hAnsi="Times New Roman" w:cs="Times New Roman"/>
        </w:rPr>
      </w:pPr>
    </w:p>
    <w:p w14:paraId="1DE26EC6" w14:textId="77777777" w:rsidR="00F65019" w:rsidRDefault="00F65019" w:rsidP="008E3E98">
      <w:pPr>
        <w:jc w:val="both"/>
        <w:rPr>
          <w:rFonts w:ascii="Times New Roman" w:hAnsi="Times New Roman" w:cs="Times New Roman"/>
        </w:rPr>
      </w:pPr>
      <w:r w:rsidRPr="008E3E98">
        <w:rPr>
          <w:rFonts w:ascii="Times New Roman" w:hAnsi="Times New Roman" w:cs="Times New Roman"/>
        </w:rPr>
        <w:t>Count models have also been used in clinical trials and observational research settings. For example, Byers et al. (2003) applied negative binomial regression to clinical data characterized by substantial variability, demonstrating its ability to produce more reliable estimates when event counts are unevenly distributed. These applications highlight the practical value of negative binomial models in actual healthcare data, where outcomes rarely follow ideal statistical assumptions.</w:t>
      </w:r>
    </w:p>
    <w:p w14:paraId="0AD4178C" w14:textId="77777777" w:rsidR="00D21F79" w:rsidRPr="008E3E98" w:rsidRDefault="00D21F79" w:rsidP="008E3E98">
      <w:pPr>
        <w:jc w:val="both"/>
        <w:rPr>
          <w:rFonts w:ascii="Times New Roman" w:hAnsi="Times New Roman" w:cs="Times New Roman"/>
        </w:rPr>
      </w:pPr>
    </w:p>
    <w:p w14:paraId="4AA347BB" w14:textId="63F3AACD" w:rsidR="00F65019" w:rsidRPr="008E3E98" w:rsidRDefault="00132AEC" w:rsidP="008E3E98">
      <w:pPr>
        <w:jc w:val="both"/>
        <w:rPr>
          <w:rFonts w:ascii="Times New Roman" w:hAnsi="Times New Roman" w:cs="Times New Roman"/>
        </w:rPr>
      </w:pPr>
      <w:r w:rsidRPr="008E3E98">
        <w:rPr>
          <w:rFonts w:ascii="Times New Roman" w:hAnsi="Times New Roman" w:cs="Times New Roman"/>
        </w:rPr>
        <w:t>Overall, this body of research demonstrates that negative binomial regression is not a novel or experimental approach, but rather a well-established and widely validated method for analyzing count-based healthcare outcomes. Given that CDS event rates share core characteristics with these well-studied outcomes, the use of negative binomial regression in this study is both appropriate and consistent with established practice in the field.</w:t>
      </w:r>
    </w:p>
    <w:p w14:paraId="4CC96051" w14:textId="77777777" w:rsidR="00132AEC" w:rsidRPr="008E3E98" w:rsidRDefault="00132AEC" w:rsidP="008E3E98">
      <w:pPr>
        <w:jc w:val="both"/>
        <w:rPr>
          <w:rFonts w:ascii="Times New Roman" w:hAnsi="Times New Roman" w:cs="Times New Roman"/>
        </w:rPr>
      </w:pPr>
    </w:p>
    <w:p w14:paraId="31066586" w14:textId="4905B8F5" w:rsidR="00132AEC" w:rsidRPr="008E3E98" w:rsidRDefault="00132AEC" w:rsidP="008E3E98">
      <w:pPr>
        <w:jc w:val="both"/>
        <w:rPr>
          <w:rFonts w:ascii="Times New Roman" w:hAnsi="Times New Roman" w:cs="Times New Roman"/>
        </w:rPr>
      </w:pPr>
      <w:r w:rsidRPr="008E3E98">
        <w:rPr>
          <w:rFonts w:ascii="Times New Roman" w:hAnsi="Times New Roman" w:cs="Times New Roman"/>
        </w:rPr>
        <w:t>Despite the suitability of count regression methods for modeling clinical event data, their application to CDS alert burden research in ICU settings remains limited. Most studies on alert fatigue and CDS systems rely on data from a single hospital's proprietary electronic health record (EHR), making it difficult to apply those findings to other settings (Wong et al., 2023). This reliance on proprietary systems limits reproducibility and makes it difficult to compare findings across institutions.</w:t>
      </w:r>
    </w:p>
    <w:p w14:paraId="7BC9FF09" w14:textId="77777777" w:rsidR="00132AEC" w:rsidRPr="008E3E98" w:rsidRDefault="00132AEC" w:rsidP="008E3E98">
      <w:pPr>
        <w:jc w:val="both"/>
        <w:rPr>
          <w:rFonts w:ascii="Times New Roman" w:hAnsi="Times New Roman" w:cs="Times New Roman"/>
        </w:rPr>
      </w:pPr>
    </w:p>
    <w:p w14:paraId="5D719E8B" w14:textId="77777777" w:rsidR="00132AEC" w:rsidRPr="008E3E98" w:rsidRDefault="00132AEC" w:rsidP="008E3E98">
      <w:pPr>
        <w:jc w:val="both"/>
        <w:rPr>
          <w:rFonts w:ascii="Times New Roman" w:hAnsi="Times New Roman" w:cs="Times New Roman"/>
        </w:rPr>
      </w:pPr>
      <w:r w:rsidRPr="008E3E98">
        <w:rPr>
          <w:rFonts w:ascii="Times New Roman" w:hAnsi="Times New Roman" w:cs="Times New Roman"/>
        </w:rPr>
        <w:t xml:space="preserve">At the same time, publicly available critical care databases like MIMIC-IV create an opportunity to study clinical activity in a more transparent and reproducible way. MIMIC-IV contains de-identified patient data, allowing researchers to analyze real-world clinical patterns while still protecting patient privacy (Johnson et al., 2023). However, very few studies have used open datasets like this to examine CDS-related event burden, and none have applied count-based models </w:t>
      </w:r>
      <w:r w:rsidRPr="008E3E98">
        <w:rPr>
          <w:rFonts w:ascii="Times New Roman" w:hAnsi="Times New Roman" w:cs="Times New Roman"/>
        </w:rPr>
        <w:lastRenderedPageBreak/>
        <w:t>such as negative binomial regression to evaluate how event rates differ across ICU unit types. Prior research has shown that clinical event counts can serve as a useful proxy for alert exposure when direct CDS alert data is not available, but this approach has not been widely applied at scale using open ICU data (Kouri et al., 2023).</w:t>
      </w:r>
    </w:p>
    <w:p w14:paraId="26198C41" w14:textId="77777777" w:rsidR="00132AEC" w:rsidRPr="008E3E98" w:rsidRDefault="00132AEC" w:rsidP="008E3E98">
      <w:pPr>
        <w:jc w:val="both"/>
        <w:rPr>
          <w:rFonts w:ascii="Times New Roman" w:hAnsi="Times New Roman" w:cs="Times New Roman"/>
        </w:rPr>
      </w:pPr>
    </w:p>
    <w:p w14:paraId="6ADC24AB" w14:textId="77777777" w:rsidR="00132AEC" w:rsidRPr="008E3E98" w:rsidRDefault="00132AEC" w:rsidP="008E3E98">
      <w:pPr>
        <w:jc w:val="both"/>
        <w:rPr>
          <w:rFonts w:ascii="Times New Roman" w:hAnsi="Times New Roman" w:cs="Times New Roman"/>
        </w:rPr>
      </w:pPr>
      <w:r w:rsidRPr="008E3E98">
        <w:rPr>
          <w:rFonts w:ascii="Times New Roman" w:hAnsi="Times New Roman" w:cs="Times New Roman"/>
        </w:rPr>
        <w:t>This study addresses that gap by combining an open, reproducible dataset with appropriate count-based modeling to examine variation in CDS-triggering events across ICU settings. By using de-identified MIMIC-IV data and applying negative binomial regression, this study provides a practical and scalable way to better understand alert burden in critical care. This combination of open data and established modeling techniques makes this approach more transparent and broadly applicable than prior single-institution studies.</w:t>
      </w:r>
    </w:p>
    <w:p w14:paraId="2A6DCA63" w14:textId="77777777" w:rsidR="00D14598" w:rsidRPr="008E3E98" w:rsidRDefault="00000000" w:rsidP="008E3E98">
      <w:pPr>
        <w:pStyle w:val="Heading2"/>
        <w:jc w:val="both"/>
        <w:rPr>
          <w:rFonts w:ascii="Times New Roman" w:hAnsi="Times New Roman" w:cs="Times New Roman"/>
          <w:sz w:val="24"/>
          <w:szCs w:val="24"/>
        </w:rPr>
      </w:pPr>
      <w:bookmarkStart w:id="11" w:name="_Toc228825808"/>
      <w:r w:rsidRPr="008E3E98">
        <w:rPr>
          <w:rFonts w:ascii="Times New Roman" w:hAnsi="Times New Roman" w:cs="Times New Roman"/>
          <w:sz w:val="24"/>
          <w:szCs w:val="24"/>
        </w:rPr>
        <w:t>2.4 Gaps in Existing Research</w:t>
      </w:r>
      <w:bookmarkEnd w:id="11"/>
    </w:p>
    <w:p w14:paraId="512FE218" w14:textId="77777777" w:rsidR="00E74AB2" w:rsidRPr="008E3E98" w:rsidRDefault="00E74AB2" w:rsidP="008E3E98">
      <w:pPr>
        <w:jc w:val="both"/>
        <w:rPr>
          <w:rFonts w:ascii="Times New Roman" w:hAnsi="Times New Roman" w:cs="Times New Roman"/>
        </w:rPr>
      </w:pPr>
      <w:r w:rsidRPr="008E3E98">
        <w:rPr>
          <w:rFonts w:ascii="Times New Roman" w:hAnsi="Times New Roman" w:cs="Times New Roman"/>
        </w:rPr>
        <w:t>A major limitation in existing CDS and alert fatigue research is the heavy reliance on proprietary data from single healthcare institutions. Most studies are conducted within one hospital system using internal electronic health record (EHR) data, which is not publicly accessible and can be difficult for outside researchers to obtain (Wong et al., 2023). This makes it difficult to replicate findings or apply them broadly across different healthcare settings. In addition, direct CDS alert data is rarely available, as alert logs are typically embedded within private EHR systems and are not shared publicly, making it difficult to study alert burden directly.</w:t>
      </w:r>
    </w:p>
    <w:p w14:paraId="1423BA67" w14:textId="77777777" w:rsidR="00E74AB2" w:rsidRPr="008E3E98" w:rsidRDefault="00E74AB2" w:rsidP="008E3E98">
      <w:pPr>
        <w:jc w:val="both"/>
        <w:rPr>
          <w:rFonts w:ascii="Times New Roman" w:hAnsi="Times New Roman" w:cs="Times New Roman"/>
        </w:rPr>
      </w:pPr>
    </w:p>
    <w:p w14:paraId="3501A30A" w14:textId="77777777" w:rsidR="00E74AB2" w:rsidRPr="008E3E98" w:rsidRDefault="00E74AB2" w:rsidP="008E3E98">
      <w:pPr>
        <w:jc w:val="both"/>
        <w:rPr>
          <w:rFonts w:ascii="Times New Roman" w:hAnsi="Times New Roman" w:cs="Times New Roman"/>
        </w:rPr>
      </w:pPr>
      <w:r w:rsidRPr="008E3E98">
        <w:rPr>
          <w:rFonts w:ascii="Times New Roman" w:hAnsi="Times New Roman" w:cs="Times New Roman"/>
        </w:rPr>
        <w:t>At the same time, there has been limited use of publicly available critical care databases to study CDS-related activity. Resources like MIMIC-IV provide large, de-identified datasets that allow researchers to examine real-world clinical patterns in a transparent and reproducible way (Johnson et al., 2023). Despite this, few studies have used open ICU datasets to explore alert burden or clinical event patterns, leaving a gap between the availability of data and its application in CDS research.</w:t>
      </w:r>
    </w:p>
    <w:p w14:paraId="197ED399" w14:textId="77777777" w:rsidR="00E74AB2" w:rsidRPr="008E3E98" w:rsidRDefault="00E74AB2" w:rsidP="008E3E98">
      <w:pPr>
        <w:jc w:val="both"/>
        <w:rPr>
          <w:rFonts w:ascii="Times New Roman" w:hAnsi="Times New Roman" w:cs="Times New Roman"/>
        </w:rPr>
      </w:pPr>
    </w:p>
    <w:p w14:paraId="1AD874D3" w14:textId="77777777" w:rsidR="00E74AB2" w:rsidRPr="008E3E98" w:rsidRDefault="00E74AB2" w:rsidP="008E3E98">
      <w:pPr>
        <w:jc w:val="both"/>
        <w:rPr>
          <w:rFonts w:ascii="Times New Roman" w:hAnsi="Times New Roman" w:cs="Times New Roman"/>
        </w:rPr>
      </w:pPr>
      <w:r w:rsidRPr="008E3E98">
        <w:rPr>
          <w:rFonts w:ascii="Times New Roman" w:hAnsi="Times New Roman" w:cs="Times New Roman"/>
        </w:rPr>
        <w:t>Another gap is the lack of unit-level analysis in studies of alert burden. Many studies evaluate CDS performance at a system-wide level, without accounting for differences between ICU unit types. However, ICU environments can vary considerably in terms of patient acuity, workflow, and clinical activity. Without examining these differences, it is difficult to understand where alert burden is highest or where targeted improvements would be most effective.</w:t>
      </w:r>
    </w:p>
    <w:p w14:paraId="51896A3A" w14:textId="77777777" w:rsidR="00E74AB2" w:rsidRPr="008E3E98" w:rsidRDefault="00E74AB2" w:rsidP="008E3E98">
      <w:pPr>
        <w:jc w:val="both"/>
        <w:rPr>
          <w:rFonts w:ascii="Times New Roman" w:hAnsi="Times New Roman" w:cs="Times New Roman"/>
        </w:rPr>
      </w:pPr>
    </w:p>
    <w:p w14:paraId="7D069359" w14:textId="77777777" w:rsidR="00E74AB2" w:rsidRPr="008E3E98" w:rsidRDefault="00E74AB2" w:rsidP="008E3E98">
      <w:pPr>
        <w:jc w:val="both"/>
        <w:rPr>
          <w:rFonts w:ascii="Times New Roman" w:hAnsi="Times New Roman" w:cs="Times New Roman"/>
        </w:rPr>
      </w:pPr>
      <w:r w:rsidRPr="008E3E98">
        <w:rPr>
          <w:rFonts w:ascii="Times New Roman" w:hAnsi="Times New Roman" w:cs="Times New Roman"/>
        </w:rPr>
        <w:t xml:space="preserve">In addition, there has been limited use of appropriate count-based statistical models in CDS research. While clinical event data share the same properties as other healthcare count outcomes, many studies do not fully account for skewness or overdispersion in their analyses. As a result, methods such as negative binomial regression remain underutilized in CDS research, despite being well-established in other areas of healthcare modeling (Schober &amp; Vetter, 2021; </w:t>
      </w:r>
      <w:proofErr w:type="spellStart"/>
      <w:r w:rsidRPr="008E3E98">
        <w:rPr>
          <w:rFonts w:ascii="Times New Roman" w:hAnsi="Times New Roman" w:cs="Times New Roman"/>
        </w:rPr>
        <w:t>Hilbe</w:t>
      </w:r>
      <w:proofErr w:type="spellEnd"/>
      <w:r w:rsidRPr="008E3E98">
        <w:rPr>
          <w:rFonts w:ascii="Times New Roman" w:hAnsi="Times New Roman" w:cs="Times New Roman"/>
        </w:rPr>
        <w:t xml:space="preserve"> et al., 2022).</w:t>
      </w:r>
    </w:p>
    <w:p w14:paraId="313808BE" w14:textId="77777777" w:rsidR="00E74AB2" w:rsidRPr="008E3E98" w:rsidRDefault="00E74AB2" w:rsidP="008E3E98">
      <w:pPr>
        <w:jc w:val="both"/>
        <w:rPr>
          <w:rFonts w:ascii="Times New Roman" w:hAnsi="Times New Roman" w:cs="Times New Roman"/>
        </w:rPr>
      </w:pPr>
    </w:p>
    <w:p w14:paraId="004FAF3A" w14:textId="77777777" w:rsidR="00E74AB2" w:rsidRPr="008E3E98" w:rsidRDefault="00E74AB2" w:rsidP="008E3E98">
      <w:pPr>
        <w:jc w:val="both"/>
        <w:rPr>
          <w:rFonts w:ascii="Times New Roman" w:hAnsi="Times New Roman" w:cs="Times New Roman"/>
        </w:rPr>
      </w:pPr>
      <w:r w:rsidRPr="008E3E98">
        <w:rPr>
          <w:rFonts w:ascii="Times New Roman" w:hAnsi="Times New Roman" w:cs="Times New Roman"/>
        </w:rPr>
        <w:t xml:space="preserve">This study addresses these gaps by combining an open, de-identified critical care dataset with appropriate count-based modeling to examine variation in CDS-triggering events across ICU unit types. Because direct alert data is not publicly available, this study uses clinical </w:t>
      </w:r>
      <w:proofErr w:type="gramStart"/>
      <w:r w:rsidRPr="008E3E98">
        <w:rPr>
          <w:rFonts w:ascii="Times New Roman" w:hAnsi="Times New Roman" w:cs="Times New Roman"/>
        </w:rPr>
        <w:t>event</w:t>
      </w:r>
      <w:proofErr w:type="gramEnd"/>
      <w:r w:rsidRPr="008E3E98">
        <w:rPr>
          <w:rFonts w:ascii="Times New Roman" w:hAnsi="Times New Roman" w:cs="Times New Roman"/>
        </w:rPr>
        <w:t xml:space="preserve"> counts as a proxy for alert exposure, offering a practical alternative for studying alert burden at scale. By using MIMIC-IV and applying negative binomial regression, this approach provides a reproducible and scalable framework for understanding alert burden in critical care. The combination of open data </w:t>
      </w:r>
      <w:r w:rsidRPr="008E3E98">
        <w:rPr>
          <w:rFonts w:ascii="Times New Roman" w:hAnsi="Times New Roman" w:cs="Times New Roman"/>
        </w:rPr>
        <w:lastRenderedPageBreak/>
        <w:t>and established statistical methods distinguishes this study, offering a more transparent and generalizable approach to evaluating and improving CDS systems.</w:t>
      </w:r>
    </w:p>
    <w:p w14:paraId="55699737" w14:textId="77777777" w:rsidR="00BC127F" w:rsidRPr="008E3E98" w:rsidRDefault="00BC127F" w:rsidP="008E3E98">
      <w:pPr>
        <w:jc w:val="both"/>
        <w:rPr>
          <w:rFonts w:ascii="Times New Roman" w:hAnsi="Times New Roman" w:cs="Times New Roman"/>
        </w:rPr>
      </w:pPr>
    </w:p>
    <w:p w14:paraId="040B42F3" w14:textId="77777777" w:rsidR="00D14598" w:rsidRPr="008E3E98" w:rsidRDefault="00000000" w:rsidP="008E3E98">
      <w:pPr>
        <w:pStyle w:val="Heading1"/>
        <w:jc w:val="both"/>
        <w:rPr>
          <w:rFonts w:ascii="Times New Roman" w:hAnsi="Times New Roman" w:cs="Times New Roman"/>
          <w:sz w:val="24"/>
          <w:szCs w:val="24"/>
        </w:rPr>
      </w:pPr>
      <w:bookmarkStart w:id="12" w:name="_Toc228825809"/>
      <w:r w:rsidRPr="008E3E98">
        <w:rPr>
          <w:rFonts w:ascii="Times New Roman" w:hAnsi="Times New Roman" w:cs="Times New Roman"/>
          <w:sz w:val="24"/>
          <w:szCs w:val="24"/>
        </w:rPr>
        <w:t>3. Methodology and Analytical Process</w:t>
      </w:r>
      <w:bookmarkEnd w:id="12"/>
    </w:p>
    <w:p w14:paraId="3F1417FA" w14:textId="77777777" w:rsidR="00D14598" w:rsidRPr="008E3E98" w:rsidRDefault="00000000" w:rsidP="008E3E98">
      <w:pPr>
        <w:pStyle w:val="Heading2"/>
        <w:jc w:val="both"/>
        <w:rPr>
          <w:rFonts w:ascii="Times New Roman" w:hAnsi="Times New Roman" w:cs="Times New Roman"/>
          <w:sz w:val="24"/>
          <w:szCs w:val="24"/>
        </w:rPr>
      </w:pPr>
      <w:bookmarkStart w:id="13" w:name="_Toc228825810"/>
      <w:r w:rsidRPr="008E3E98">
        <w:rPr>
          <w:rFonts w:ascii="Times New Roman" w:hAnsi="Times New Roman" w:cs="Times New Roman"/>
          <w:sz w:val="24"/>
          <w:szCs w:val="24"/>
        </w:rPr>
        <w:t>3.1 Data Source</w:t>
      </w:r>
      <w:bookmarkEnd w:id="13"/>
    </w:p>
    <w:p w14:paraId="00E8B867" w14:textId="6E1F5517" w:rsidR="00D14598" w:rsidRPr="008E3E98" w:rsidRDefault="00000000" w:rsidP="008E3E98">
      <w:pPr>
        <w:spacing w:before="120" w:after="120"/>
        <w:jc w:val="both"/>
        <w:rPr>
          <w:rFonts w:ascii="Times New Roman" w:hAnsi="Times New Roman" w:cs="Times New Roman"/>
        </w:rPr>
      </w:pPr>
      <w:r w:rsidRPr="008E3E98">
        <w:rPr>
          <w:rFonts w:ascii="Times New Roman" w:hAnsi="Times New Roman" w:cs="Times New Roman"/>
          <w:color w:val="000000"/>
        </w:rPr>
        <w:t xml:space="preserve">This study utilized MIMIC-IV (Medical Information Mart for Intensive Care), a publicly available critical care database developed by the MIT Laboratory for Computational Physiology. MIMIC-IV contains de-identified health data from patients admitted to the ICUs of Beth Israel Deaconess Medical Center between 2008 and 2019. Data was accessed and queried using </w:t>
      </w:r>
      <w:proofErr w:type="spellStart"/>
      <w:r w:rsidRPr="008E3E98">
        <w:rPr>
          <w:rFonts w:ascii="Times New Roman" w:hAnsi="Times New Roman" w:cs="Times New Roman"/>
          <w:color w:val="000000"/>
        </w:rPr>
        <w:t>DuckDB</w:t>
      </w:r>
      <w:proofErr w:type="spellEnd"/>
      <w:r w:rsidRPr="008E3E98">
        <w:rPr>
          <w:rFonts w:ascii="Times New Roman" w:hAnsi="Times New Roman" w:cs="Times New Roman"/>
          <w:color w:val="000000"/>
        </w:rPr>
        <w:t>, enabling efficient processing without loading the full dataset into memory.</w:t>
      </w:r>
      <w:r w:rsidR="008F71EF" w:rsidRPr="008E3E98">
        <w:rPr>
          <w:rFonts w:ascii="Times New Roman" w:hAnsi="Times New Roman" w:cs="Times New Roman"/>
          <w:color w:val="212529"/>
          <w:shd w:val="clear" w:color="auto" w:fill="FFFFFF"/>
        </w:rPr>
        <w:t xml:space="preserve"> </w:t>
      </w:r>
      <w:r w:rsidR="008F71EF" w:rsidRPr="008E3E98">
        <w:rPr>
          <w:rFonts w:ascii="Times New Roman" w:hAnsi="Times New Roman" w:cs="Times New Roman"/>
          <w:color w:val="000000"/>
        </w:rPr>
        <w:t>MIMIC-IV is grouped into two modules: </w:t>
      </w:r>
      <w:proofErr w:type="spellStart"/>
      <w:r w:rsidR="008F71EF" w:rsidRPr="008E3E98">
        <w:rPr>
          <w:rFonts w:ascii="Times New Roman" w:hAnsi="Times New Roman" w:cs="Times New Roman"/>
          <w:i/>
          <w:iCs/>
          <w:color w:val="000000"/>
        </w:rPr>
        <w:t>hosp</w:t>
      </w:r>
      <w:proofErr w:type="spellEnd"/>
      <w:r w:rsidR="008F71EF" w:rsidRPr="008E3E98">
        <w:rPr>
          <w:rFonts w:ascii="Times New Roman" w:hAnsi="Times New Roman" w:cs="Times New Roman"/>
          <w:color w:val="000000"/>
        </w:rPr>
        <w:t>, and </w:t>
      </w:r>
      <w:proofErr w:type="spellStart"/>
      <w:r w:rsidR="008F71EF" w:rsidRPr="008E3E98">
        <w:rPr>
          <w:rFonts w:ascii="Times New Roman" w:hAnsi="Times New Roman" w:cs="Times New Roman"/>
          <w:i/>
          <w:iCs/>
          <w:color w:val="000000"/>
        </w:rPr>
        <w:t>icu</w:t>
      </w:r>
      <w:proofErr w:type="spellEnd"/>
      <w:r w:rsidR="008F71EF" w:rsidRPr="008E3E98">
        <w:rPr>
          <w:rFonts w:ascii="Times New Roman" w:hAnsi="Times New Roman" w:cs="Times New Roman"/>
          <w:color w:val="000000"/>
        </w:rPr>
        <w:t>. Organization of the data into these modules reflects their provenance: data in the </w:t>
      </w:r>
      <w:proofErr w:type="spellStart"/>
      <w:r w:rsidR="008F71EF" w:rsidRPr="008E3E98">
        <w:rPr>
          <w:rFonts w:ascii="Times New Roman" w:hAnsi="Times New Roman" w:cs="Times New Roman"/>
          <w:i/>
          <w:iCs/>
          <w:color w:val="000000"/>
        </w:rPr>
        <w:t>hosp</w:t>
      </w:r>
      <w:proofErr w:type="spellEnd"/>
      <w:r w:rsidR="008F71EF" w:rsidRPr="008E3E98">
        <w:rPr>
          <w:rFonts w:ascii="Times New Roman" w:hAnsi="Times New Roman" w:cs="Times New Roman"/>
          <w:color w:val="000000"/>
        </w:rPr>
        <w:t> module is sourced from the hospital wide EHR, while data in the</w:t>
      </w:r>
      <w:r w:rsidR="008F71EF" w:rsidRPr="008E3E98">
        <w:rPr>
          <w:rFonts w:ascii="Times New Roman" w:hAnsi="Times New Roman" w:cs="Times New Roman"/>
          <w:i/>
          <w:iCs/>
          <w:color w:val="000000"/>
        </w:rPr>
        <w:t> </w:t>
      </w:r>
      <w:proofErr w:type="spellStart"/>
      <w:r w:rsidR="008F71EF" w:rsidRPr="008E3E98">
        <w:rPr>
          <w:rFonts w:ascii="Times New Roman" w:hAnsi="Times New Roman" w:cs="Times New Roman"/>
          <w:i/>
          <w:iCs/>
          <w:color w:val="000000"/>
        </w:rPr>
        <w:t>icu</w:t>
      </w:r>
      <w:proofErr w:type="spellEnd"/>
      <w:r w:rsidR="008F71EF" w:rsidRPr="008E3E98">
        <w:rPr>
          <w:rFonts w:ascii="Times New Roman" w:hAnsi="Times New Roman" w:cs="Times New Roman"/>
          <w:color w:val="000000"/>
        </w:rPr>
        <w:t> module is sourced from the in-ICU clinical information system (</w:t>
      </w:r>
      <w:proofErr w:type="spellStart"/>
      <w:r w:rsidR="008F71EF" w:rsidRPr="008E3E98">
        <w:rPr>
          <w:rFonts w:ascii="Times New Roman" w:hAnsi="Times New Roman" w:cs="Times New Roman"/>
          <w:color w:val="000000"/>
        </w:rPr>
        <w:t>MetaVision</w:t>
      </w:r>
      <w:proofErr w:type="spellEnd"/>
      <w:r w:rsidR="008F71EF" w:rsidRPr="008E3E98">
        <w:rPr>
          <w:rFonts w:ascii="Times New Roman" w:hAnsi="Times New Roman" w:cs="Times New Roman"/>
          <w:color w:val="000000"/>
        </w:rPr>
        <w:t xml:space="preserve">). A total of 364,627 unique individuals </w:t>
      </w:r>
      <w:proofErr w:type="gramStart"/>
      <w:r w:rsidR="008F71EF" w:rsidRPr="008E3E98">
        <w:rPr>
          <w:rFonts w:ascii="Times New Roman" w:hAnsi="Times New Roman" w:cs="Times New Roman"/>
          <w:color w:val="000000"/>
        </w:rPr>
        <w:t>are</w:t>
      </w:r>
      <w:proofErr w:type="gramEnd"/>
      <w:r w:rsidR="008F71EF" w:rsidRPr="008E3E98">
        <w:rPr>
          <w:rFonts w:ascii="Times New Roman" w:hAnsi="Times New Roman" w:cs="Times New Roman"/>
          <w:color w:val="000000"/>
        </w:rPr>
        <w:t xml:space="preserve"> in MIMIC-IV v3.0, each represented by a unique </w:t>
      </w:r>
      <w:proofErr w:type="spellStart"/>
      <w:r w:rsidR="008F71EF" w:rsidRPr="008E3E98">
        <w:rPr>
          <w:rFonts w:ascii="Times New Roman" w:hAnsi="Times New Roman" w:cs="Times New Roman"/>
          <w:color w:val="000000"/>
        </w:rPr>
        <w:t>subject_id</w:t>
      </w:r>
      <w:proofErr w:type="spellEnd"/>
      <w:r w:rsidR="008F71EF" w:rsidRPr="008E3E98">
        <w:rPr>
          <w:rFonts w:ascii="Times New Roman" w:hAnsi="Times New Roman" w:cs="Times New Roman"/>
          <w:color w:val="000000"/>
        </w:rPr>
        <w:t>. These individuals had 546,028 hospitalizations and 94,458 unique ICU stays.</w:t>
      </w:r>
    </w:p>
    <w:p w14:paraId="7AF6EE14" w14:textId="77777777" w:rsidR="00D14598" w:rsidRPr="008E3E98" w:rsidRDefault="00000000" w:rsidP="008E3E98">
      <w:pPr>
        <w:pStyle w:val="Heading2"/>
        <w:jc w:val="both"/>
        <w:rPr>
          <w:rFonts w:ascii="Times New Roman" w:hAnsi="Times New Roman" w:cs="Times New Roman"/>
          <w:sz w:val="24"/>
          <w:szCs w:val="24"/>
        </w:rPr>
      </w:pPr>
      <w:bookmarkStart w:id="14" w:name="_Toc228825811"/>
      <w:r w:rsidRPr="008E3E98">
        <w:rPr>
          <w:rFonts w:ascii="Times New Roman" w:hAnsi="Times New Roman" w:cs="Times New Roman"/>
          <w:sz w:val="24"/>
          <w:szCs w:val="24"/>
        </w:rPr>
        <w:t>3.2 Data Processing Pipeline</w:t>
      </w:r>
      <w:bookmarkEnd w:id="14"/>
    </w:p>
    <w:p w14:paraId="6E186AFA" w14:textId="2B09469B" w:rsidR="00D14598" w:rsidRPr="008E3E98" w:rsidRDefault="00000000" w:rsidP="008E3E98">
      <w:pPr>
        <w:spacing w:before="120" w:after="120"/>
        <w:jc w:val="both"/>
        <w:rPr>
          <w:rFonts w:ascii="Times New Roman" w:hAnsi="Times New Roman" w:cs="Times New Roman"/>
          <w:color w:val="000000"/>
        </w:rPr>
      </w:pPr>
      <w:r w:rsidRPr="008E3E98">
        <w:rPr>
          <w:rFonts w:ascii="Times New Roman" w:hAnsi="Times New Roman" w:cs="Times New Roman"/>
          <w:color w:val="000000"/>
        </w:rPr>
        <w:t xml:space="preserve">Raw MIMIC-IV data underwent a structured multi-step preprocessing pipeline prior to analysis. Structural cleaning involved joining the patients, admissions, and </w:t>
      </w:r>
      <w:proofErr w:type="spellStart"/>
      <w:r w:rsidRPr="008E3E98">
        <w:rPr>
          <w:rFonts w:ascii="Times New Roman" w:hAnsi="Times New Roman" w:cs="Times New Roman"/>
          <w:color w:val="000000"/>
        </w:rPr>
        <w:t>icustays</w:t>
      </w:r>
      <w:proofErr w:type="spellEnd"/>
      <w:r w:rsidRPr="008E3E98">
        <w:rPr>
          <w:rFonts w:ascii="Times New Roman" w:hAnsi="Times New Roman" w:cs="Times New Roman"/>
          <w:color w:val="000000"/>
        </w:rPr>
        <w:t xml:space="preserve"> tables on </w:t>
      </w:r>
      <w:proofErr w:type="spellStart"/>
      <w:r w:rsidRPr="008E3E98">
        <w:rPr>
          <w:rFonts w:ascii="Times New Roman" w:hAnsi="Times New Roman" w:cs="Times New Roman"/>
          <w:color w:val="000000"/>
        </w:rPr>
        <w:t>subject_id</w:t>
      </w:r>
      <w:proofErr w:type="spellEnd"/>
      <w:r w:rsidRPr="008E3E98">
        <w:rPr>
          <w:rFonts w:ascii="Times New Roman" w:hAnsi="Times New Roman" w:cs="Times New Roman"/>
          <w:color w:val="000000"/>
        </w:rPr>
        <w:t xml:space="preserve"> and </w:t>
      </w:r>
      <w:proofErr w:type="spellStart"/>
      <w:r w:rsidRPr="008E3E98">
        <w:rPr>
          <w:rFonts w:ascii="Times New Roman" w:hAnsi="Times New Roman" w:cs="Times New Roman"/>
          <w:color w:val="000000"/>
        </w:rPr>
        <w:t>hadm_id</w:t>
      </w:r>
      <w:proofErr w:type="spellEnd"/>
      <w:r w:rsidRPr="008E3E98">
        <w:rPr>
          <w:rFonts w:ascii="Times New Roman" w:hAnsi="Times New Roman" w:cs="Times New Roman"/>
          <w:color w:val="000000"/>
        </w:rPr>
        <w:t xml:space="preserve"> to construct a unified ICU stay record. Stays with missing or invalid ICU timestamps were excluded to ensure accurate length-of-stay calculations. Prescription data was aggregated at the admission level before joining to the ICU stay table, preventing duplicate record inflation arising from many-to-one </w:t>
      </w:r>
      <w:proofErr w:type="gramStart"/>
      <w:r w:rsidRPr="008E3E98">
        <w:rPr>
          <w:rFonts w:ascii="Times New Roman" w:hAnsi="Times New Roman" w:cs="Times New Roman"/>
          <w:color w:val="000000"/>
        </w:rPr>
        <w:t>joins</w:t>
      </w:r>
      <w:proofErr w:type="gramEnd"/>
      <w:r w:rsidRPr="008E3E98">
        <w:rPr>
          <w:rFonts w:ascii="Times New Roman" w:hAnsi="Times New Roman" w:cs="Times New Roman"/>
          <w:color w:val="000000"/>
        </w:rPr>
        <w:t xml:space="preserve">. Laboratory event counts were </w:t>
      </w:r>
      <w:proofErr w:type="spellStart"/>
      <w:r w:rsidRPr="008E3E98">
        <w:rPr>
          <w:rFonts w:ascii="Times New Roman" w:hAnsi="Times New Roman" w:cs="Times New Roman"/>
          <w:color w:val="000000"/>
        </w:rPr>
        <w:t>winsorized</w:t>
      </w:r>
      <w:proofErr w:type="spellEnd"/>
      <w:r w:rsidRPr="008E3E98">
        <w:rPr>
          <w:rFonts w:ascii="Times New Roman" w:hAnsi="Times New Roman" w:cs="Times New Roman"/>
          <w:color w:val="000000"/>
        </w:rPr>
        <w:t xml:space="preserve"> at the 99th percentile to reduce the influence of extreme outliers and preserve model stability. ICU unit categories with sparse observations </w:t>
      </w:r>
      <w:proofErr w:type="gramStart"/>
      <w:r w:rsidRPr="008E3E98">
        <w:rPr>
          <w:rFonts w:ascii="Times New Roman" w:hAnsi="Times New Roman" w:cs="Times New Roman"/>
          <w:color w:val="000000"/>
        </w:rPr>
        <w:t>were collapsed</w:t>
      </w:r>
      <w:proofErr w:type="gramEnd"/>
      <w:r w:rsidRPr="008E3E98">
        <w:rPr>
          <w:rFonts w:ascii="Times New Roman" w:hAnsi="Times New Roman" w:cs="Times New Roman"/>
          <w:color w:val="000000"/>
        </w:rPr>
        <w:t xml:space="preserve"> into an 'Other' category to avoid unreliable coefficient estimates from low-frequency groups. Finally, three rate-based outcome variables were derived</w:t>
      </w:r>
      <w:r w:rsidR="004041B8"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rx_per_day</w:t>
      </w:r>
      <w:proofErr w:type="spell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labs_per_day</w:t>
      </w:r>
      <w:proofErr w:type="spellEnd"/>
      <w:r w:rsidRPr="008E3E98">
        <w:rPr>
          <w:rFonts w:ascii="Times New Roman" w:hAnsi="Times New Roman" w:cs="Times New Roman"/>
          <w:color w:val="000000"/>
        </w:rPr>
        <w:t xml:space="preserve">, and </w:t>
      </w:r>
      <w:proofErr w:type="spellStart"/>
      <w:r w:rsidRPr="008E3E98">
        <w:rPr>
          <w:rFonts w:ascii="Times New Roman" w:hAnsi="Times New Roman" w:cs="Times New Roman"/>
          <w:color w:val="000000"/>
        </w:rPr>
        <w:t>total_events_per_day</w:t>
      </w:r>
      <w:proofErr w:type="spellEnd"/>
      <w:r w:rsidRPr="008E3E98">
        <w:rPr>
          <w:rFonts w:ascii="Times New Roman" w:hAnsi="Times New Roman" w:cs="Times New Roman"/>
          <w:color w:val="000000"/>
        </w:rPr>
        <w:t xml:space="preserve"> by normalizing raw event counts against length of stay.</w:t>
      </w:r>
    </w:p>
    <w:p w14:paraId="2ADF01AD" w14:textId="77777777" w:rsidR="006C7014" w:rsidRPr="008E3E98" w:rsidRDefault="006C7014" w:rsidP="008E3E98">
      <w:pPr>
        <w:spacing w:before="120" w:after="120"/>
        <w:jc w:val="both"/>
        <w:rPr>
          <w:rFonts w:ascii="Times New Roman" w:hAnsi="Times New Roman" w:cs="Times New Roman"/>
          <w:color w:val="000000"/>
        </w:rPr>
      </w:pPr>
    </w:p>
    <w:p w14:paraId="44B27167" w14:textId="77777777" w:rsidR="006C7014" w:rsidRPr="008E3E98" w:rsidRDefault="006C7014" w:rsidP="008E3E98">
      <w:pPr>
        <w:spacing w:before="120" w:after="120"/>
        <w:jc w:val="both"/>
        <w:rPr>
          <w:rFonts w:ascii="Times New Roman" w:hAnsi="Times New Roman" w:cs="Times New Roman"/>
          <w:color w:val="000000"/>
        </w:rPr>
      </w:pPr>
    </w:p>
    <w:p w14:paraId="256A2040" w14:textId="77777777" w:rsidR="006C7014" w:rsidRPr="008E3E98" w:rsidRDefault="006C7014" w:rsidP="008E3E98">
      <w:pPr>
        <w:spacing w:before="120" w:after="120"/>
        <w:jc w:val="both"/>
        <w:rPr>
          <w:rFonts w:ascii="Times New Roman" w:hAnsi="Times New Roman" w:cs="Times New Roman"/>
          <w:color w:val="000000"/>
        </w:rPr>
      </w:pPr>
    </w:p>
    <w:p w14:paraId="6038794D" w14:textId="77777777" w:rsidR="006C7014" w:rsidRPr="008E3E98" w:rsidRDefault="006C7014" w:rsidP="008E3E98">
      <w:pPr>
        <w:spacing w:before="120" w:after="120"/>
        <w:jc w:val="both"/>
        <w:rPr>
          <w:rFonts w:ascii="Times New Roman" w:hAnsi="Times New Roman" w:cs="Times New Roman"/>
          <w:color w:val="000000"/>
        </w:rPr>
      </w:pPr>
    </w:p>
    <w:p w14:paraId="1B623BD1" w14:textId="77777777" w:rsidR="006C7014" w:rsidRPr="008E3E98" w:rsidRDefault="006C7014" w:rsidP="008E3E98">
      <w:pPr>
        <w:spacing w:before="120" w:after="120"/>
        <w:jc w:val="both"/>
        <w:rPr>
          <w:rFonts w:ascii="Times New Roman" w:hAnsi="Times New Roman" w:cs="Times New Roman"/>
          <w:color w:val="000000"/>
        </w:rPr>
      </w:pPr>
    </w:p>
    <w:p w14:paraId="0F3C5170" w14:textId="77777777" w:rsidR="006C7014" w:rsidRPr="008E3E98" w:rsidRDefault="006C7014" w:rsidP="008E3E98">
      <w:pPr>
        <w:spacing w:before="120" w:after="120"/>
        <w:jc w:val="both"/>
        <w:rPr>
          <w:rFonts w:ascii="Times New Roman" w:hAnsi="Times New Roman" w:cs="Times New Roman"/>
          <w:color w:val="000000"/>
        </w:rPr>
      </w:pPr>
    </w:p>
    <w:p w14:paraId="4065986F" w14:textId="77777777" w:rsidR="006C7014" w:rsidRPr="008E3E98" w:rsidRDefault="006C7014" w:rsidP="008E3E98">
      <w:pPr>
        <w:spacing w:before="120" w:after="120"/>
        <w:jc w:val="both"/>
        <w:rPr>
          <w:rFonts w:ascii="Times New Roman" w:hAnsi="Times New Roman" w:cs="Times New Roman"/>
          <w:color w:val="000000"/>
        </w:rPr>
      </w:pPr>
    </w:p>
    <w:p w14:paraId="4C561623" w14:textId="77777777" w:rsidR="006C7014" w:rsidRPr="008E3E98" w:rsidRDefault="006C7014" w:rsidP="008E3E98">
      <w:pPr>
        <w:spacing w:before="120" w:after="120"/>
        <w:jc w:val="both"/>
        <w:rPr>
          <w:rFonts w:ascii="Times New Roman" w:hAnsi="Times New Roman" w:cs="Times New Roman"/>
          <w:color w:val="000000"/>
        </w:rPr>
      </w:pPr>
    </w:p>
    <w:p w14:paraId="0B952F2C" w14:textId="77777777" w:rsidR="006C7014" w:rsidRPr="008E3E98" w:rsidRDefault="006C7014" w:rsidP="008E3E98">
      <w:pPr>
        <w:spacing w:before="120" w:after="120"/>
        <w:jc w:val="both"/>
        <w:rPr>
          <w:rFonts w:ascii="Times New Roman" w:hAnsi="Times New Roman" w:cs="Times New Roman"/>
          <w:color w:val="000000"/>
        </w:rPr>
      </w:pPr>
    </w:p>
    <w:p w14:paraId="194BBB3C" w14:textId="77777777" w:rsidR="006C7014" w:rsidRPr="008E3E98" w:rsidRDefault="006C7014" w:rsidP="008E3E98">
      <w:pPr>
        <w:spacing w:before="120" w:after="120"/>
        <w:jc w:val="both"/>
        <w:rPr>
          <w:rFonts w:ascii="Times New Roman" w:hAnsi="Times New Roman" w:cs="Times New Roman"/>
          <w:color w:val="000000"/>
        </w:rPr>
      </w:pPr>
    </w:p>
    <w:p w14:paraId="00B58857" w14:textId="33D3EDE0" w:rsidR="00A91DFD" w:rsidRPr="008E3E98" w:rsidRDefault="00A91DFD" w:rsidP="008E3E98">
      <w:pPr>
        <w:pStyle w:val="Heading2"/>
        <w:jc w:val="both"/>
        <w:rPr>
          <w:rFonts w:ascii="Times New Roman" w:hAnsi="Times New Roman" w:cs="Times New Roman"/>
          <w:sz w:val="24"/>
          <w:szCs w:val="24"/>
        </w:rPr>
      </w:pPr>
      <w:bookmarkStart w:id="15" w:name="_Toc228825812"/>
      <w:r w:rsidRPr="008E3E98">
        <w:rPr>
          <w:rFonts w:ascii="Times New Roman" w:hAnsi="Times New Roman" w:cs="Times New Roman"/>
          <w:sz w:val="24"/>
          <w:szCs w:val="24"/>
        </w:rPr>
        <w:lastRenderedPageBreak/>
        <w:t>3.2 Data Processing Flowchart</w:t>
      </w:r>
      <w:bookmarkEnd w:id="15"/>
    </w:p>
    <w:p w14:paraId="378B8C0E" w14:textId="06A0E501" w:rsidR="00D5454F" w:rsidRPr="008E3E98" w:rsidRDefault="004A51BE" w:rsidP="008E3E98">
      <w:pPr>
        <w:pStyle w:val="Heading4"/>
        <w:jc w:val="both"/>
        <w:rPr>
          <w:rFonts w:ascii="Times New Roman" w:hAnsi="Times New Roman" w:cs="Times New Roman"/>
        </w:rPr>
      </w:pPr>
      <w:r w:rsidRPr="008E3E98">
        <w:rPr>
          <w:rFonts w:ascii="Times New Roman" w:hAnsi="Times New Roman" w:cs="Times New Roman"/>
        </w:rPr>
        <w:t>Figure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85616" w:rsidRPr="008E3E98" w14:paraId="40ED91B6" w14:textId="77777777" w:rsidTr="006C7014">
        <w:tc>
          <w:tcPr>
            <w:tcW w:w="9350" w:type="dxa"/>
          </w:tcPr>
          <w:p w14:paraId="4FA67BF0" w14:textId="58FE8E66" w:rsidR="00085616" w:rsidRPr="008E3E98" w:rsidRDefault="00085616" w:rsidP="008E3E98">
            <w:pPr>
              <w:jc w:val="both"/>
              <w:rPr>
                <w:rFonts w:ascii="Times New Roman" w:hAnsi="Times New Roman" w:cs="Times New Roman"/>
              </w:rPr>
            </w:pPr>
            <w:r w:rsidRPr="008E3E98">
              <w:rPr>
                <w:rFonts w:ascii="Times New Roman" w:hAnsi="Times New Roman" w:cs="Times New Roman"/>
                <w:noProof/>
              </w:rPr>
              <w:drawing>
                <wp:inline distT="0" distB="0" distL="0" distR="0" wp14:anchorId="38A9B6DF" wp14:editId="23E41331">
                  <wp:extent cx="5375081" cy="6220740"/>
                  <wp:effectExtent l="0" t="0" r="0" b="0"/>
                  <wp:docPr id="198960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4368" name=""/>
                          <pic:cNvPicPr/>
                        </pic:nvPicPr>
                        <pic:blipFill>
                          <a:blip r:embed="rId11"/>
                          <a:stretch>
                            <a:fillRect/>
                          </a:stretch>
                        </pic:blipFill>
                        <pic:spPr>
                          <a:xfrm>
                            <a:off x="0" y="0"/>
                            <a:ext cx="5527098" cy="6396674"/>
                          </a:xfrm>
                          <a:prstGeom prst="rect">
                            <a:avLst/>
                          </a:prstGeom>
                        </pic:spPr>
                      </pic:pic>
                    </a:graphicData>
                  </a:graphic>
                </wp:inline>
              </w:drawing>
            </w:r>
          </w:p>
        </w:tc>
      </w:tr>
    </w:tbl>
    <w:p w14:paraId="217A5FC6" w14:textId="77777777" w:rsidR="004A51BE" w:rsidRPr="008E3E98" w:rsidRDefault="004A51BE" w:rsidP="008E3E98">
      <w:pPr>
        <w:pBdr>
          <w:bottom w:val="dashed" w:sz="4" w:space="0" w:color="CCCCCC"/>
        </w:pBdr>
        <w:spacing w:before="120" w:after="120"/>
        <w:jc w:val="both"/>
        <w:rPr>
          <w:rFonts w:ascii="Times New Roman" w:hAnsi="Times New Roman" w:cs="Times New Roman"/>
          <w:color w:val="000000"/>
        </w:rPr>
      </w:pPr>
    </w:p>
    <w:p w14:paraId="39CCEBFC" w14:textId="10CEA5C1" w:rsidR="00D14598" w:rsidRPr="008E3E98" w:rsidRDefault="004A51BE"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color w:val="000000"/>
        </w:rPr>
        <w:t xml:space="preserve">Note: </w:t>
      </w:r>
      <w:r w:rsidR="002D1AE8" w:rsidRPr="008E3E98">
        <w:rPr>
          <w:rFonts w:ascii="Times New Roman" w:hAnsi="Times New Roman" w:cs="Times New Roman"/>
          <w:color w:val="000000"/>
        </w:rPr>
        <w:t xml:space="preserve">Data processing pipeline for MIMIC-IV ICU stay data. Raw data was accessed efficiently through </w:t>
      </w:r>
      <w:proofErr w:type="spellStart"/>
      <w:r w:rsidR="002D1AE8" w:rsidRPr="008E3E98">
        <w:rPr>
          <w:rFonts w:ascii="Times New Roman" w:hAnsi="Times New Roman" w:cs="Times New Roman"/>
          <w:color w:val="000000"/>
        </w:rPr>
        <w:t>DuckDB</w:t>
      </w:r>
      <w:proofErr w:type="spellEnd"/>
      <w:r w:rsidR="002D1AE8" w:rsidRPr="008E3E98">
        <w:rPr>
          <w:rFonts w:ascii="Times New Roman" w:hAnsi="Times New Roman" w:cs="Times New Roman"/>
          <w:color w:val="000000"/>
        </w:rPr>
        <w:t xml:space="preserve"> to avoid loading the entire dataset into memory. Steps include structural cleaning with table joins, removing stays with invalid timestamps, aggregating prescription data prior to joining to prevent count inflation, </w:t>
      </w:r>
      <w:proofErr w:type="spellStart"/>
      <w:r w:rsidR="002D1AE8" w:rsidRPr="008E3E98">
        <w:rPr>
          <w:rFonts w:ascii="Times New Roman" w:hAnsi="Times New Roman" w:cs="Times New Roman"/>
          <w:color w:val="000000"/>
        </w:rPr>
        <w:t>winsorizing</w:t>
      </w:r>
      <w:proofErr w:type="spellEnd"/>
      <w:r w:rsidR="002D1AE8" w:rsidRPr="008E3E98">
        <w:rPr>
          <w:rFonts w:ascii="Times New Roman" w:hAnsi="Times New Roman" w:cs="Times New Roman"/>
          <w:color w:val="000000"/>
        </w:rPr>
        <w:t xml:space="preserve"> lab event counts at the 99th percentile to minimize outlier effects, collapsing sparse ICU unit categories to enable stable model estimation, and deriving per-day event rate features normalized by length of stay. The resulting dataset was used as input for negative binomial regression analysis.</w:t>
      </w:r>
    </w:p>
    <w:p w14:paraId="0586036F" w14:textId="03EAE242" w:rsidR="00D14598" w:rsidRPr="008E3E98" w:rsidRDefault="00000000" w:rsidP="008E3E98">
      <w:pPr>
        <w:pBdr>
          <w:bottom w:val="dashed" w:sz="4" w:space="0" w:color="CCCCCC"/>
        </w:pBdr>
        <w:tabs>
          <w:tab w:val="left" w:pos="7187"/>
        </w:tabs>
        <w:spacing w:before="120" w:after="120"/>
        <w:jc w:val="both"/>
        <w:rPr>
          <w:rFonts w:ascii="Times New Roman" w:hAnsi="Times New Roman" w:cs="Times New Roman"/>
          <w:b/>
          <w:bCs/>
          <w:color w:val="2E75B6"/>
        </w:rPr>
      </w:pPr>
      <w:r w:rsidRPr="008E3E98">
        <w:rPr>
          <w:rFonts w:ascii="Times New Roman" w:hAnsi="Times New Roman" w:cs="Times New Roman"/>
          <w:b/>
          <w:bCs/>
          <w:color w:val="2E75B6"/>
        </w:rPr>
        <w:lastRenderedPageBreak/>
        <w:t>3.3 Variables</w:t>
      </w:r>
    </w:p>
    <w:p w14:paraId="3A015076" w14:textId="3EA59E7D" w:rsidR="00E634CD" w:rsidRPr="008E3E98" w:rsidRDefault="002D1AE8" w:rsidP="008E3E98">
      <w:pPr>
        <w:pBdr>
          <w:bottom w:val="dashed" w:sz="4" w:space="0" w:color="CCCCCC"/>
        </w:pBdr>
        <w:tabs>
          <w:tab w:val="left" w:pos="7187"/>
        </w:tabs>
        <w:spacing w:before="120" w:after="120"/>
        <w:jc w:val="both"/>
        <w:rPr>
          <w:rFonts w:ascii="Times New Roman" w:hAnsi="Times New Roman" w:cs="Times New Roman"/>
        </w:rPr>
      </w:pPr>
      <w:r w:rsidRPr="008E3E98">
        <w:rPr>
          <w:rFonts w:ascii="Times New Roman" w:hAnsi="Times New Roman" w:cs="Times New Roman"/>
        </w:rPr>
        <w:t>This study uses 25 variables from the MIMIC-IV database, including patient demographics, ICU unit assignment, timestamps, event counts, and rate-based outcomes. I have grouped these variables into four categories to clarify their roles in the analysis: outcome variables, predictor variables, the model offset, and scenario variables for sensitivity checks. Table 1 lists all variables, while Tables 2 and 3 focus on outcomes and predictors.</w:t>
      </w:r>
    </w:p>
    <w:p w14:paraId="4D1E1F2C" w14:textId="77777777" w:rsidR="00E634CD" w:rsidRPr="008E3E98" w:rsidRDefault="00E634CD" w:rsidP="008E3E98">
      <w:pPr>
        <w:pBdr>
          <w:bottom w:val="dashed" w:sz="4" w:space="0" w:color="CCCCCC"/>
        </w:pBdr>
        <w:tabs>
          <w:tab w:val="left" w:pos="7187"/>
        </w:tabs>
        <w:spacing w:before="120" w:after="120"/>
        <w:jc w:val="both"/>
        <w:rPr>
          <w:rFonts w:ascii="Times New Roman" w:hAnsi="Times New Roman" w:cs="Times New Roman"/>
        </w:rPr>
      </w:pPr>
    </w:p>
    <w:p w14:paraId="5C102BCF" w14:textId="25DA126B" w:rsidR="00B07184" w:rsidRPr="008E3E98" w:rsidRDefault="00B07184" w:rsidP="008E3E98">
      <w:pPr>
        <w:pBdr>
          <w:bottom w:val="dashed" w:sz="4" w:space="0" w:color="CCCCCC"/>
        </w:pBdr>
        <w:tabs>
          <w:tab w:val="left" w:pos="7187"/>
        </w:tabs>
        <w:spacing w:before="120" w:after="120"/>
        <w:jc w:val="both"/>
        <w:rPr>
          <w:rFonts w:ascii="Times New Roman" w:hAnsi="Times New Roman" w:cs="Times New Roman"/>
        </w:rPr>
      </w:pPr>
      <w:r w:rsidRPr="008E3E98">
        <w:rPr>
          <w:rFonts w:ascii="Times New Roman" w:hAnsi="Times New Roman" w:cs="Times New Roman"/>
          <w:b/>
          <w:bCs/>
          <w:color w:val="2E75B6"/>
        </w:rPr>
        <w:t>3.3.1 Outcome Variables</w:t>
      </w:r>
    </w:p>
    <w:p w14:paraId="46CCC2E1" w14:textId="1CB31EE1" w:rsidR="00E634CD" w:rsidRPr="008E3E98" w:rsidRDefault="002D1AE8" w:rsidP="008E3E98">
      <w:pPr>
        <w:pBdr>
          <w:bottom w:val="dashed" w:sz="4" w:space="0" w:color="CCCCCC"/>
        </w:pBdr>
        <w:tabs>
          <w:tab w:val="left" w:pos="7187"/>
        </w:tabs>
        <w:spacing w:before="120" w:after="120"/>
        <w:jc w:val="both"/>
        <w:rPr>
          <w:rFonts w:ascii="Times New Roman" w:hAnsi="Times New Roman" w:cs="Times New Roman"/>
        </w:rPr>
      </w:pPr>
      <w:r w:rsidRPr="008E3E98">
        <w:rPr>
          <w:rFonts w:ascii="Times New Roman" w:hAnsi="Times New Roman" w:cs="Times New Roman"/>
        </w:rPr>
        <w:t xml:space="preserve">For all negative binomial regression models, I used three rate-based outcome variables as the dependent measures. Expressing outcomes as events per </w:t>
      </w:r>
      <w:proofErr w:type="gramStart"/>
      <w:r w:rsidRPr="008E3E98">
        <w:rPr>
          <w:rFonts w:ascii="Times New Roman" w:hAnsi="Times New Roman" w:cs="Times New Roman"/>
        </w:rPr>
        <w:t>ICU day</w:t>
      </w:r>
      <w:proofErr w:type="gramEnd"/>
      <w:r w:rsidRPr="008E3E98">
        <w:rPr>
          <w:rFonts w:ascii="Times New Roman" w:hAnsi="Times New Roman" w:cs="Times New Roman"/>
        </w:rPr>
        <w:t xml:space="preserve">, rather than raw counts, allows for fair comparison across stays of different lengths. I calculated these rates by dividing event counts by </w:t>
      </w:r>
      <w:proofErr w:type="spellStart"/>
      <w:r w:rsidRPr="008E3E98">
        <w:rPr>
          <w:rFonts w:ascii="Times New Roman" w:hAnsi="Times New Roman" w:cs="Times New Roman"/>
        </w:rPr>
        <w:t>icu_los_days</w:t>
      </w:r>
      <w:proofErr w:type="spellEnd"/>
      <w:r w:rsidRPr="008E3E98">
        <w:rPr>
          <w:rFonts w:ascii="Times New Roman" w:hAnsi="Times New Roman" w:cs="Times New Roman"/>
        </w:rPr>
        <w:t>. To further normalize for length of stay, I included a log-transformed offset in every model (see Section 3.3.3).</w:t>
      </w:r>
    </w:p>
    <w:p w14:paraId="63AEE8A7" w14:textId="77777777" w:rsidR="00E634CD" w:rsidRPr="008E3E98" w:rsidRDefault="00E634CD" w:rsidP="008E3E98">
      <w:pPr>
        <w:pBdr>
          <w:bottom w:val="dashed" w:sz="4" w:space="0" w:color="CCCCCC"/>
        </w:pBdr>
        <w:tabs>
          <w:tab w:val="left" w:pos="7187"/>
        </w:tabs>
        <w:spacing w:before="120" w:after="120"/>
        <w:jc w:val="both"/>
        <w:rPr>
          <w:rFonts w:ascii="Times New Roman" w:hAnsi="Times New Roman" w:cs="Times New Roman"/>
          <w:b/>
          <w:bCs/>
        </w:rPr>
      </w:pPr>
    </w:p>
    <w:p w14:paraId="270D89ED" w14:textId="48203AB7" w:rsidR="00EB50E8" w:rsidRPr="008E3E98" w:rsidRDefault="00EB50E8" w:rsidP="008E3E98">
      <w:pPr>
        <w:pBdr>
          <w:bottom w:val="dashed" w:sz="4" w:space="0" w:color="CCCCCC"/>
        </w:pBdr>
        <w:tabs>
          <w:tab w:val="left" w:pos="7187"/>
          <w:tab w:val="right" w:pos="9360"/>
        </w:tabs>
        <w:spacing w:before="120" w:after="120"/>
        <w:jc w:val="both"/>
        <w:rPr>
          <w:rFonts w:ascii="Times New Roman" w:hAnsi="Times New Roman" w:cs="Times New Roman"/>
        </w:rPr>
      </w:pPr>
      <w:r w:rsidRPr="008E3E98">
        <w:rPr>
          <w:rFonts w:ascii="Times New Roman" w:hAnsi="Times New Roman" w:cs="Times New Roman"/>
          <w:b/>
          <w:bCs/>
          <w:color w:val="000000"/>
        </w:rPr>
        <w:t>Table 2. Outcome variables used in negative binomial regression models.</w:t>
      </w:r>
      <w:r w:rsidR="00E634CD" w:rsidRPr="008E3E98">
        <w:rPr>
          <w:rFonts w:ascii="Times New Roman" w:hAnsi="Times New Roman" w:cs="Times New Roman"/>
          <w:b/>
          <w:bCs/>
          <w:color w:val="000000"/>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2289"/>
        <w:gridCol w:w="2404"/>
        <w:gridCol w:w="2374"/>
      </w:tblGrid>
      <w:tr w:rsidR="00EB50E8" w:rsidRPr="008E3E98" w14:paraId="365F9D39" w14:textId="77777777" w:rsidTr="0053192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711D2B"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78CCD2"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Type</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5651BB"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Calculation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8A4AAD"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Description</w:t>
            </w:r>
          </w:p>
        </w:tc>
      </w:tr>
      <w:tr w:rsidR="00EB50E8" w:rsidRPr="008E3E98" w14:paraId="064E6369"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F6D66"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rx_per_day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4A5CB"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91803"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n_prescriptions</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B1EED"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 xml:space="preserve">Medication orders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captures prescribing intensity normalized for stay duration</w:t>
            </w:r>
          </w:p>
        </w:tc>
      </w:tr>
      <w:tr w:rsidR="00EB50E8" w:rsidRPr="008E3E98" w14:paraId="193BB645"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48699F"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labs_per_day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08AE42"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120E57"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n_lab_events</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BCFCD2"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 xml:space="preserve">Laboratory events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winsorized</w:t>
            </w:r>
            <w:proofErr w:type="spellEnd"/>
            <w:r w:rsidRPr="008E3E98">
              <w:rPr>
                <w:rFonts w:ascii="Times New Roman" w:hAnsi="Times New Roman" w:cs="Times New Roman"/>
                <w:color w:val="000000"/>
              </w:rPr>
              <w:t xml:space="preserve"> at 99th percentile (cap = 3,086 events)</w:t>
            </w:r>
          </w:p>
        </w:tc>
      </w:tr>
      <w:tr w:rsidR="00EB50E8" w:rsidRPr="008E3E98" w14:paraId="17D3CB55"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C2E77"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total_events_per_day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F43F4"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Numeric / continuous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EAE5F"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total_events</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icu_los_days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45E55"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 xml:space="preserve">Primary outcome; sum of Rx orders and lab events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median = 126.9</w:t>
            </w:r>
          </w:p>
        </w:tc>
      </w:tr>
    </w:tbl>
    <w:p w14:paraId="332C3773" w14:textId="77777777" w:rsidR="00EB50E8" w:rsidRPr="008E3E98" w:rsidRDefault="00EB50E8" w:rsidP="008E3E98">
      <w:pPr>
        <w:spacing w:before="80" w:after="80"/>
        <w:jc w:val="both"/>
        <w:rPr>
          <w:rFonts w:ascii="Times New Roman" w:hAnsi="Times New Roman" w:cs="Times New Roman"/>
        </w:rPr>
      </w:pPr>
    </w:p>
    <w:p w14:paraId="64542170" w14:textId="002CC916" w:rsidR="00EB50E8" w:rsidRPr="008E3E98" w:rsidRDefault="002D1AE8" w:rsidP="008E3E98">
      <w:pPr>
        <w:spacing w:before="100" w:after="100"/>
        <w:jc w:val="both"/>
        <w:rPr>
          <w:rFonts w:ascii="Times New Roman" w:hAnsi="Times New Roman" w:cs="Times New Roman"/>
          <w:color w:val="000000"/>
        </w:rPr>
      </w:pPr>
      <w:r w:rsidRPr="008E3E98">
        <w:rPr>
          <w:rFonts w:ascii="Times New Roman" w:hAnsi="Times New Roman" w:cs="Times New Roman"/>
          <w:color w:val="000000"/>
        </w:rPr>
        <w:t xml:space="preserve">The main outcome is </w:t>
      </w:r>
      <w:proofErr w:type="spellStart"/>
      <w:r w:rsidRPr="008E3E98">
        <w:rPr>
          <w:rFonts w:ascii="Times New Roman" w:hAnsi="Times New Roman" w:cs="Times New Roman"/>
          <w:color w:val="000000"/>
        </w:rPr>
        <w:t>total_events_per_day</w:t>
      </w:r>
      <w:proofErr w:type="spellEnd"/>
      <w:r w:rsidRPr="008E3E98">
        <w:rPr>
          <w:rFonts w:ascii="Times New Roman" w:hAnsi="Times New Roman" w:cs="Times New Roman"/>
          <w:color w:val="000000"/>
        </w:rPr>
        <w:t xml:space="preserve">, which measures the overall CDS-triggering burden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xml:space="preserve">, combining medication orders and laboratory measurements. I also modeled </w:t>
      </w:r>
      <w:proofErr w:type="spellStart"/>
      <w:r w:rsidRPr="008E3E98">
        <w:rPr>
          <w:rFonts w:ascii="Times New Roman" w:hAnsi="Times New Roman" w:cs="Times New Roman"/>
          <w:color w:val="000000"/>
        </w:rPr>
        <w:t>rx_per_day</w:t>
      </w:r>
      <w:proofErr w:type="spellEnd"/>
      <w:r w:rsidRPr="008E3E98">
        <w:rPr>
          <w:rFonts w:ascii="Times New Roman" w:hAnsi="Times New Roman" w:cs="Times New Roman"/>
          <w:color w:val="000000"/>
        </w:rPr>
        <w:t xml:space="preserve"> and </w:t>
      </w:r>
      <w:proofErr w:type="spellStart"/>
      <w:r w:rsidRPr="008E3E98">
        <w:rPr>
          <w:rFonts w:ascii="Times New Roman" w:hAnsi="Times New Roman" w:cs="Times New Roman"/>
          <w:color w:val="000000"/>
        </w:rPr>
        <w:t>labs_per_day</w:t>
      </w:r>
      <w:proofErr w:type="spellEnd"/>
      <w:r w:rsidRPr="008E3E98">
        <w:rPr>
          <w:rFonts w:ascii="Times New Roman" w:hAnsi="Times New Roman" w:cs="Times New Roman"/>
          <w:color w:val="000000"/>
        </w:rPr>
        <w:t xml:space="preserve"> separately to see if predictors influence prescribing and laboratory activity differently. All three outcomes exhibited significant overdispersion, with variance exceeding the mean, confirming that negative binomial regression is more appropriate than Poisson models.</w:t>
      </w:r>
    </w:p>
    <w:p w14:paraId="5AAF1BA0" w14:textId="77777777" w:rsidR="00582E0B" w:rsidRPr="008E3E98" w:rsidRDefault="00582E0B" w:rsidP="008E3E98">
      <w:pPr>
        <w:spacing w:before="100" w:after="100"/>
        <w:jc w:val="both"/>
        <w:rPr>
          <w:rFonts w:ascii="Times New Roman" w:hAnsi="Times New Roman" w:cs="Times New Roman"/>
          <w:color w:val="000000"/>
        </w:rPr>
      </w:pPr>
    </w:p>
    <w:p w14:paraId="1060979C" w14:textId="77777777" w:rsidR="00582E0B" w:rsidRPr="008E3E98" w:rsidRDefault="00582E0B" w:rsidP="008E3E98">
      <w:pPr>
        <w:spacing w:before="100" w:after="100"/>
        <w:jc w:val="both"/>
        <w:rPr>
          <w:rFonts w:ascii="Times New Roman" w:hAnsi="Times New Roman" w:cs="Times New Roman"/>
          <w:color w:val="000000"/>
        </w:rPr>
      </w:pPr>
    </w:p>
    <w:p w14:paraId="173F86C2" w14:textId="77777777" w:rsidR="00582E0B" w:rsidRPr="008E3E98" w:rsidRDefault="00582E0B" w:rsidP="008E3E98">
      <w:pPr>
        <w:spacing w:before="100" w:after="100"/>
        <w:jc w:val="both"/>
        <w:rPr>
          <w:rFonts w:ascii="Times New Roman" w:hAnsi="Times New Roman" w:cs="Times New Roman"/>
        </w:rPr>
      </w:pPr>
    </w:p>
    <w:p w14:paraId="1B36AF1E" w14:textId="77777777" w:rsidR="00EB50E8" w:rsidRPr="008E3E98" w:rsidRDefault="00EB50E8" w:rsidP="008E3E98">
      <w:pPr>
        <w:pStyle w:val="Heading2"/>
        <w:jc w:val="both"/>
        <w:rPr>
          <w:rFonts w:ascii="Times New Roman" w:hAnsi="Times New Roman" w:cs="Times New Roman"/>
          <w:sz w:val="24"/>
          <w:szCs w:val="24"/>
        </w:rPr>
      </w:pPr>
      <w:bookmarkStart w:id="16" w:name="_Toc228825813"/>
      <w:r w:rsidRPr="008E3E98">
        <w:rPr>
          <w:rFonts w:ascii="Times New Roman" w:hAnsi="Times New Roman" w:cs="Times New Roman"/>
          <w:sz w:val="24"/>
          <w:szCs w:val="24"/>
        </w:rPr>
        <w:lastRenderedPageBreak/>
        <w:t>3.3.2 Predictor Variables</w:t>
      </w:r>
      <w:bookmarkEnd w:id="16"/>
    </w:p>
    <w:p w14:paraId="023BB242" w14:textId="60EE314A" w:rsidR="00E634CD" w:rsidRPr="008E3E98" w:rsidRDefault="00E634CD" w:rsidP="008E3E98">
      <w:pPr>
        <w:spacing w:before="80" w:after="80"/>
        <w:jc w:val="both"/>
        <w:rPr>
          <w:rFonts w:ascii="Times New Roman" w:hAnsi="Times New Roman" w:cs="Times New Roman"/>
        </w:rPr>
      </w:pPr>
      <w:r w:rsidRPr="008E3E98">
        <w:rPr>
          <w:rFonts w:ascii="Times New Roman" w:hAnsi="Times New Roman" w:cs="Times New Roman"/>
        </w:rPr>
        <w:t>All regression models use three predictors: ICU unit type (</w:t>
      </w:r>
      <w:proofErr w:type="spellStart"/>
      <w:r w:rsidRPr="008E3E98">
        <w:rPr>
          <w:rFonts w:ascii="Times New Roman" w:hAnsi="Times New Roman" w:cs="Times New Roman"/>
        </w:rPr>
        <w:t>first_careunit</w:t>
      </w:r>
      <w:proofErr w:type="spellEnd"/>
      <w:r w:rsidRPr="008E3E98">
        <w:rPr>
          <w:rFonts w:ascii="Times New Roman" w:hAnsi="Times New Roman" w:cs="Times New Roman"/>
        </w:rPr>
        <w:t>), patient age (</w:t>
      </w:r>
      <w:proofErr w:type="spellStart"/>
      <w:r w:rsidRPr="008E3E98">
        <w:rPr>
          <w:rFonts w:ascii="Times New Roman" w:hAnsi="Times New Roman" w:cs="Times New Roman"/>
        </w:rPr>
        <w:t>anchor_age</w:t>
      </w:r>
      <w:proofErr w:type="spellEnd"/>
      <w:r w:rsidRPr="008E3E98">
        <w:rPr>
          <w:rFonts w:ascii="Times New Roman" w:hAnsi="Times New Roman" w:cs="Times New Roman"/>
        </w:rPr>
        <w:t>), and sex (gender). ICU unit type is the focus, since the expectation is that clinical activity burden differs across care settings. Age and sex are included to account for basic demographic differences that could affect clinical intensity. Table 3 lists these variables and the reference categories for each categorical predictor.</w:t>
      </w:r>
    </w:p>
    <w:p w14:paraId="4C2AE292" w14:textId="77777777" w:rsidR="00EB50E8" w:rsidRPr="008E3E98" w:rsidRDefault="00EB50E8" w:rsidP="008E3E98">
      <w:pPr>
        <w:spacing w:before="80" w:after="80"/>
        <w:jc w:val="both"/>
        <w:rPr>
          <w:rFonts w:ascii="Times New Roman" w:hAnsi="Times New Roman" w:cs="Times New Roman"/>
        </w:rPr>
      </w:pPr>
    </w:p>
    <w:p w14:paraId="2442E8BC" w14:textId="77777777" w:rsidR="00EB50E8" w:rsidRPr="008E3E98" w:rsidRDefault="00EB50E8" w:rsidP="008E3E98">
      <w:pPr>
        <w:spacing w:before="200" w:after="80"/>
        <w:jc w:val="both"/>
        <w:rPr>
          <w:rFonts w:ascii="Times New Roman" w:hAnsi="Times New Roman" w:cs="Times New Roman"/>
        </w:rPr>
      </w:pPr>
      <w:r w:rsidRPr="008E3E98">
        <w:rPr>
          <w:rFonts w:ascii="Times New Roman" w:hAnsi="Times New Roman" w:cs="Times New Roman"/>
          <w:b/>
          <w:bCs/>
          <w:color w:val="000000"/>
        </w:rPr>
        <w:t>Table 3. Predictor variables and model offset included in regression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560"/>
        <w:gridCol w:w="3400"/>
      </w:tblGrid>
      <w:tr w:rsidR="00EB50E8" w:rsidRPr="008E3E98" w14:paraId="47598783" w14:textId="77777777" w:rsidTr="0053192F">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E74B24"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3A6B90"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Type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3D31BB"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Reference 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FA9922D"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b/>
                <w:bCs/>
                <w:color w:val="FFFFFF"/>
              </w:rPr>
              <w:t>Rationale for inclusion</w:t>
            </w:r>
          </w:p>
        </w:tc>
      </w:tr>
      <w:tr w:rsidR="00EB50E8" w:rsidRPr="008E3E98" w14:paraId="7CDD50BF"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08B26"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anchor_age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7137D"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Continuous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35E5B"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78887"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 xml:space="preserve">Patient age in years; </w:t>
            </w:r>
            <w:proofErr w:type="gramStart"/>
            <w:r w:rsidRPr="008E3E98">
              <w:rPr>
                <w:rFonts w:ascii="Times New Roman" w:hAnsi="Times New Roman" w:cs="Times New Roman"/>
                <w:color w:val="000000"/>
              </w:rPr>
              <w:t>included to</w:t>
            </w:r>
            <w:proofErr w:type="gramEnd"/>
            <w:r w:rsidRPr="008E3E98">
              <w:rPr>
                <w:rFonts w:ascii="Times New Roman" w:hAnsi="Times New Roman" w:cs="Times New Roman"/>
                <w:color w:val="000000"/>
              </w:rPr>
              <w:t xml:space="preserve"> control for age-related differences in clinical intensity</w:t>
            </w:r>
          </w:p>
        </w:tc>
      </w:tr>
      <w:tr w:rsidR="00EB50E8" w:rsidRPr="008E3E98" w14:paraId="51BEEA8A"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6FA7F2"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gender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8AD2CB"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Categorical</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C59475" w14:textId="213B3D8A"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Male</w:t>
            </w:r>
            <w:r w:rsidR="00DC3FB8" w:rsidRPr="008E3E98">
              <w:rPr>
                <w:rFonts w:ascii="Times New Roman" w:hAnsi="Times New Roman" w:cs="Times New Roman"/>
                <w:color w:val="000000"/>
              </w:rPr>
              <w:t xml:space="preserve">/ Female </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DD16C3"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Patient sex; included to examine gender differences in clinical activity burden</w:t>
            </w:r>
          </w:p>
        </w:tc>
      </w:tr>
      <w:tr w:rsidR="00EB50E8" w:rsidRPr="008E3E98" w14:paraId="6C6F26B6"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896B6"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first_careunit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A9125"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Categorical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F07CB"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CVICU</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AB7EF"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ICU unit type; primary predictor of interest; sparse units collapsed into 'Other' (n &lt; 200)</w:t>
            </w:r>
          </w:p>
        </w:tc>
      </w:tr>
      <w:tr w:rsidR="00EB50E8" w:rsidRPr="008E3E98" w14:paraId="07579DEB" w14:textId="77777777" w:rsidTr="0053192F">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2CFA9E" w14:textId="77777777" w:rsidR="00EB50E8" w:rsidRPr="008E3E98" w:rsidRDefault="00EB50E8" w:rsidP="008E3E98">
            <w:pPr>
              <w:jc w:val="both"/>
              <w:rPr>
                <w:rFonts w:ascii="Times New Roman" w:hAnsi="Times New Roman" w:cs="Times New Roman"/>
              </w:rPr>
            </w:pPr>
            <w:proofErr w:type="spellStart"/>
            <w:r w:rsidRPr="008E3E98">
              <w:rPr>
                <w:rFonts w:ascii="Times New Roman" w:hAnsi="Times New Roman" w:cs="Times New Roman"/>
                <w:color w:val="000000"/>
              </w:rPr>
              <w:t>icu_los_days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976BD1"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Offset (log)</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102AD5"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481B99" w14:textId="77777777" w:rsidR="00EB50E8" w:rsidRPr="008E3E98" w:rsidRDefault="00EB50E8" w:rsidP="008E3E98">
            <w:pPr>
              <w:jc w:val="both"/>
              <w:rPr>
                <w:rFonts w:ascii="Times New Roman" w:hAnsi="Times New Roman" w:cs="Times New Roman"/>
              </w:rPr>
            </w:pPr>
            <w:r w:rsidRPr="008E3E98">
              <w:rPr>
                <w:rFonts w:ascii="Times New Roman" w:hAnsi="Times New Roman" w:cs="Times New Roman"/>
                <w:color w:val="000000"/>
              </w:rPr>
              <w:t>Log-transformed LOS included as offset in all models; converts counts to per-day rates</w:t>
            </w:r>
          </w:p>
        </w:tc>
      </w:tr>
    </w:tbl>
    <w:p w14:paraId="4751F1F9" w14:textId="77777777" w:rsidR="00EB50E8" w:rsidRPr="008E3E98" w:rsidRDefault="00EB50E8" w:rsidP="008E3E98">
      <w:pPr>
        <w:spacing w:before="80" w:after="80"/>
        <w:jc w:val="both"/>
        <w:rPr>
          <w:rFonts w:ascii="Times New Roman" w:hAnsi="Times New Roman" w:cs="Times New Roman"/>
        </w:rPr>
      </w:pPr>
    </w:p>
    <w:p w14:paraId="2DBCC0BD" w14:textId="5CB2AB14" w:rsidR="00EB50E8" w:rsidRDefault="008E3E98" w:rsidP="008E3E98">
      <w:pPr>
        <w:spacing w:before="100" w:after="100"/>
        <w:jc w:val="both"/>
        <w:rPr>
          <w:rFonts w:ascii="Times New Roman" w:hAnsi="Times New Roman" w:cs="Times New Roman"/>
          <w:color w:val="000000"/>
        </w:rPr>
      </w:pPr>
      <w:r>
        <w:rPr>
          <w:rFonts w:ascii="Times New Roman" w:hAnsi="Times New Roman" w:cs="Times New Roman"/>
          <w:color w:val="000000"/>
        </w:rPr>
        <w:t xml:space="preserve">Note: </w:t>
      </w:r>
      <w:r w:rsidR="00EB50E8" w:rsidRPr="008E3E98">
        <w:rPr>
          <w:rFonts w:ascii="Times New Roman" w:hAnsi="Times New Roman" w:cs="Times New Roman"/>
          <w:color w:val="000000"/>
        </w:rPr>
        <w:t xml:space="preserve">ICU unit categories with fewer than 200 observations </w:t>
      </w:r>
      <w:r w:rsidR="008F71EF" w:rsidRPr="008E3E98">
        <w:rPr>
          <w:rFonts w:ascii="Times New Roman" w:hAnsi="Times New Roman" w:cs="Times New Roman"/>
          <w:color w:val="000000"/>
        </w:rPr>
        <w:t>collapsed</w:t>
      </w:r>
      <w:r w:rsidR="00EB50E8" w:rsidRPr="008E3E98">
        <w:rPr>
          <w:rFonts w:ascii="Times New Roman" w:hAnsi="Times New Roman" w:cs="Times New Roman"/>
          <w:color w:val="000000"/>
        </w:rPr>
        <w:t xml:space="preserve"> into an 'Other' category prior to modeling to prevent convergence failure in maximum likelihood estimation. The Cardiac Vascular Intensive Care Unit (CVICU) was designated as the reference category for </w:t>
      </w:r>
      <w:proofErr w:type="spellStart"/>
      <w:r w:rsidR="00EB50E8" w:rsidRPr="008E3E98">
        <w:rPr>
          <w:rFonts w:ascii="Times New Roman" w:hAnsi="Times New Roman" w:cs="Times New Roman"/>
          <w:color w:val="000000"/>
        </w:rPr>
        <w:t>first_careunit</w:t>
      </w:r>
      <w:proofErr w:type="spellEnd"/>
      <w:r w:rsidR="00EB50E8" w:rsidRPr="008E3E98">
        <w:rPr>
          <w:rFonts w:ascii="Times New Roman" w:hAnsi="Times New Roman" w:cs="Times New Roman"/>
          <w:color w:val="000000"/>
        </w:rPr>
        <w:t>, as it represented the largest and most clinically homogeneous group in the dataset. All results for ICU unit are therefore interpreted relative to CVICU.</w:t>
      </w:r>
    </w:p>
    <w:p w14:paraId="0FD21282" w14:textId="77777777" w:rsidR="008E3E98" w:rsidRDefault="008E3E98" w:rsidP="008E3E98">
      <w:pPr>
        <w:spacing w:before="100" w:after="100"/>
        <w:jc w:val="both"/>
        <w:rPr>
          <w:rFonts w:ascii="Times New Roman" w:hAnsi="Times New Roman" w:cs="Times New Roman"/>
          <w:color w:val="000000"/>
        </w:rPr>
      </w:pPr>
    </w:p>
    <w:p w14:paraId="30E060CB" w14:textId="77777777" w:rsidR="008E3E98" w:rsidRDefault="008E3E98" w:rsidP="008E3E98">
      <w:pPr>
        <w:spacing w:before="100" w:after="100"/>
        <w:jc w:val="both"/>
        <w:rPr>
          <w:rFonts w:ascii="Times New Roman" w:hAnsi="Times New Roman" w:cs="Times New Roman"/>
          <w:color w:val="000000"/>
        </w:rPr>
      </w:pPr>
    </w:p>
    <w:p w14:paraId="0A647CDA" w14:textId="77777777" w:rsidR="008E3E98" w:rsidRDefault="008E3E98" w:rsidP="008E3E98">
      <w:pPr>
        <w:spacing w:before="100" w:after="100"/>
        <w:jc w:val="both"/>
        <w:rPr>
          <w:rFonts w:ascii="Times New Roman" w:hAnsi="Times New Roman" w:cs="Times New Roman"/>
          <w:color w:val="000000"/>
        </w:rPr>
      </w:pPr>
    </w:p>
    <w:p w14:paraId="14CA65DB" w14:textId="77777777" w:rsidR="008E3E98" w:rsidRDefault="008E3E98" w:rsidP="008E3E98">
      <w:pPr>
        <w:spacing w:before="100" w:after="100"/>
        <w:jc w:val="both"/>
        <w:rPr>
          <w:rFonts w:ascii="Times New Roman" w:hAnsi="Times New Roman" w:cs="Times New Roman"/>
          <w:color w:val="000000"/>
        </w:rPr>
      </w:pPr>
    </w:p>
    <w:p w14:paraId="2B1ADCF0" w14:textId="77777777" w:rsidR="00BB26C7" w:rsidRDefault="00BB26C7" w:rsidP="008E3E98">
      <w:pPr>
        <w:spacing w:before="100" w:after="100"/>
        <w:jc w:val="both"/>
        <w:rPr>
          <w:rFonts w:ascii="Times New Roman" w:hAnsi="Times New Roman" w:cs="Times New Roman"/>
          <w:color w:val="000000"/>
        </w:rPr>
      </w:pPr>
    </w:p>
    <w:p w14:paraId="0758F500" w14:textId="77777777" w:rsidR="00BB26C7" w:rsidRDefault="00BB26C7" w:rsidP="008E3E98">
      <w:pPr>
        <w:spacing w:before="100" w:after="100"/>
        <w:jc w:val="both"/>
        <w:rPr>
          <w:rFonts w:ascii="Times New Roman" w:hAnsi="Times New Roman" w:cs="Times New Roman"/>
          <w:color w:val="000000"/>
        </w:rPr>
      </w:pPr>
    </w:p>
    <w:p w14:paraId="0E1E7CF6" w14:textId="77777777" w:rsidR="00BB26C7" w:rsidRDefault="00BB26C7" w:rsidP="008E3E98">
      <w:pPr>
        <w:spacing w:before="100" w:after="100"/>
        <w:jc w:val="both"/>
        <w:rPr>
          <w:rFonts w:ascii="Times New Roman" w:hAnsi="Times New Roman" w:cs="Times New Roman"/>
          <w:color w:val="000000"/>
        </w:rPr>
      </w:pPr>
    </w:p>
    <w:p w14:paraId="5784E0CB" w14:textId="77777777" w:rsidR="008E3E98" w:rsidRDefault="008E3E98" w:rsidP="008E3E98">
      <w:pPr>
        <w:spacing w:before="100" w:after="100"/>
        <w:jc w:val="both"/>
        <w:rPr>
          <w:rFonts w:ascii="Times New Roman" w:hAnsi="Times New Roman" w:cs="Times New Roman"/>
          <w:color w:val="000000"/>
        </w:rPr>
      </w:pPr>
    </w:p>
    <w:p w14:paraId="58120E8D" w14:textId="77777777" w:rsidR="008E3E98" w:rsidRDefault="008E3E98" w:rsidP="008E3E98">
      <w:pPr>
        <w:spacing w:before="100" w:after="100"/>
        <w:jc w:val="both"/>
        <w:rPr>
          <w:rFonts w:ascii="Times New Roman" w:hAnsi="Times New Roman" w:cs="Times New Roman"/>
          <w:color w:val="000000"/>
        </w:rPr>
      </w:pPr>
    </w:p>
    <w:p w14:paraId="6D4F0E71" w14:textId="77777777" w:rsidR="008E3E98" w:rsidRPr="008E3E98" w:rsidRDefault="008E3E98" w:rsidP="008E3E98">
      <w:pPr>
        <w:spacing w:before="100" w:after="100"/>
        <w:jc w:val="both"/>
        <w:rPr>
          <w:rFonts w:ascii="Times New Roman" w:hAnsi="Times New Roman" w:cs="Times New Roman"/>
          <w:color w:val="000000"/>
        </w:rPr>
      </w:pPr>
    </w:p>
    <w:p w14:paraId="32182FBE" w14:textId="77777777" w:rsidR="002003CB" w:rsidRPr="008E3E98" w:rsidRDefault="002003CB" w:rsidP="008E3E98">
      <w:pPr>
        <w:pStyle w:val="Heading2"/>
        <w:jc w:val="both"/>
        <w:rPr>
          <w:rFonts w:ascii="Times New Roman" w:hAnsi="Times New Roman" w:cs="Times New Roman"/>
          <w:sz w:val="24"/>
          <w:szCs w:val="24"/>
        </w:rPr>
      </w:pPr>
      <w:bookmarkStart w:id="17" w:name="_Toc228825814"/>
      <w:r w:rsidRPr="008E3E98">
        <w:rPr>
          <w:rFonts w:ascii="Times New Roman" w:hAnsi="Times New Roman" w:cs="Times New Roman"/>
          <w:sz w:val="24"/>
          <w:szCs w:val="24"/>
        </w:rPr>
        <w:lastRenderedPageBreak/>
        <w:t>3.3.3 Model Offset</w:t>
      </w:r>
      <w:bookmarkEnd w:id="17"/>
    </w:p>
    <w:p w14:paraId="2FB87D20" w14:textId="36C1EB90" w:rsidR="002003CB" w:rsidRDefault="002003CB" w:rsidP="008E3E98">
      <w:pPr>
        <w:spacing w:before="100" w:after="100"/>
        <w:jc w:val="both"/>
        <w:rPr>
          <w:rFonts w:ascii="Times New Roman" w:hAnsi="Times New Roman" w:cs="Times New Roman"/>
          <w:color w:val="000000"/>
        </w:rPr>
      </w:pPr>
      <w:r w:rsidRPr="008E3E98">
        <w:rPr>
          <w:rFonts w:ascii="Times New Roman" w:hAnsi="Times New Roman" w:cs="Times New Roman"/>
          <w:color w:val="000000"/>
        </w:rPr>
        <w:t>All negative binomial models included a log-transformed ICU length-of-stay offset (log(</w:t>
      </w:r>
      <w:proofErr w:type="spellStart"/>
      <w:r w:rsidRPr="008E3E98">
        <w:rPr>
          <w:rFonts w:ascii="Times New Roman" w:hAnsi="Times New Roman" w:cs="Times New Roman"/>
          <w:color w:val="000000"/>
        </w:rPr>
        <w:t>icu_los_days</w:t>
      </w:r>
      <w:proofErr w:type="spellEnd"/>
      <w:r w:rsidRPr="008E3E98">
        <w:rPr>
          <w:rFonts w:ascii="Times New Roman" w:hAnsi="Times New Roman" w:cs="Times New Roman"/>
          <w:color w:val="000000"/>
        </w:rPr>
        <w:t xml:space="preserve">)). Using an offset </w:t>
      </w:r>
      <w:proofErr w:type="gramStart"/>
      <w:r w:rsidRPr="008E3E98">
        <w:rPr>
          <w:rFonts w:ascii="Times New Roman" w:hAnsi="Times New Roman" w:cs="Times New Roman"/>
          <w:color w:val="000000"/>
        </w:rPr>
        <w:t>converts</w:t>
      </w:r>
      <w:proofErr w:type="gramEnd"/>
      <w:r w:rsidRPr="008E3E98">
        <w:rPr>
          <w:rFonts w:ascii="Times New Roman" w:hAnsi="Times New Roman" w:cs="Times New Roman"/>
          <w:color w:val="000000"/>
        </w:rPr>
        <w:t xml:space="preserve"> event counts into per-day rates, so patients with longer stays are not automatically assigned higher predicted counts just because they spent more time in the ICU. This makes it possible to compare clinical activity intensity fairly across different encounters.</w:t>
      </w:r>
    </w:p>
    <w:p w14:paraId="0496F14E" w14:textId="77777777" w:rsidR="008E3E98" w:rsidRPr="008E3E98" w:rsidRDefault="008E3E98" w:rsidP="008E3E98">
      <w:pPr>
        <w:spacing w:before="100" w:after="100"/>
        <w:jc w:val="both"/>
        <w:rPr>
          <w:rFonts w:ascii="Times New Roman" w:hAnsi="Times New Roman" w:cs="Times New Roman"/>
          <w:color w:val="000000"/>
        </w:rPr>
      </w:pPr>
    </w:p>
    <w:p w14:paraId="3A47D34D" w14:textId="77777777" w:rsidR="002003CB" w:rsidRPr="008E3E98" w:rsidRDefault="002003CB" w:rsidP="008E3E98">
      <w:pPr>
        <w:pStyle w:val="Heading2"/>
        <w:jc w:val="both"/>
        <w:rPr>
          <w:rFonts w:ascii="Times New Roman" w:hAnsi="Times New Roman" w:cs="Times New Roman"/>
          <w:sz w:val="24"/>
          <w:szCs w:val="24"/>
        </w:rPr>
      </w:pPr>
      <w:bookmarkStart w:id="18" w:name="_Toc228825815"/>
      <w:r w:rsidRPr="008E3E98">
        <w:rPr>
          <w:rFonts w:ascii="Times New Roman" w:hAnsi="Times New Roman" w:cs="Times New Roman"/>
          <w:sz w:val="24"/>
          <w:szCs w:val="24"/>
        </w:rPr>
        <w:t>3.3.4 Scenario Analysis Variables</w:t>
      </w:r>
      <w:bookmarkEnd w:id="18"/>
    </w:p>
    <w:p w14:paraId="55E86FAB" w14:textId="7B5ABA04" w:rsidR="002003CB" w:rsidRPr="008E3E98" w:rsidRDefault="002003CB" w:rsidP="008E3E98">
      <w:pPr>
        <w:spacing w:before="100" w:after="100"/>
        <w:jc w:val="both"/>
        <w:rPr>
          <w:rFonts w:ascii="Times New Roman" w:hAnsi="Times New Roman" w:cs="Times New Roman"/>
          <w:color w:val="000000"/>
        </w:rPr>
      </w:pPr>
      <w:r w:rsidRPr="008E3E98">
        <w:rPr>
          <w:rFonts w:ascii="Times New Roman" w:hAnsi="Times New Roman" w:cs="Times New Roman"/>
          <w:color w:val="000000"/>
        </w:rPr>
        <w:t xml:space="preserve">Three simulated scenario variables were constructed to estimate how alert reduction strategies might affect the overall CDS alert burden. These scenarios are not part of the main regression models. Instead, they support </w:t>
      </w:r>
      <w:proofErr w:type="gramStart"/>
      <w:r w:rsidRPr="008E3E98">
        <w:rPr>
          <w:rFonts w:ascii="Times New Roman" w:hAnsi="Times New Roman" w:cs="Times New Roman"/>
          <w:color w:val="000000"/>
        </w:rPr>
        <w:t>the sensitivity</w:t>
      </w:r>
      <w:proofErr w:type="gramEnd"/>
      <w:r w:rsidRPr="008E3E98">
        <w:rPr>
          <w:rFonts w:ascii="Times New Roman" w:hAnsi="Times New Roman" w:cs="Times New Roman"/>
          <w:color w:val="000000"/>
        </w:rPr>
        <w:t xml:space="preserve"> and policy analysis in Section 4.5. Scenario 1 tests a 15% reduction in prescription orders, such as through deduplication or optimizing order sets. Scenario 2 tests a 20% reduction in lab events, for example</w:t>
      </w:r>
      <w:r w:rsidR="00D86550" w:rsidRPr="008E3E98">
        <w:rPr>
          <w:rFonts w:ascii="Times New Roman" w:hAnsi="Times New Roman" w:cs="Times New Roman"/>
          <w:color w:val="000000"/>
        </w:rPr>
        <w:t>,</w:t>
      </w:r>
      <w:r w:rsidRPr="008E3E98">
        <w:rPr>
          <w:rFonts w:ascii="Times New Roman" w:hAnsi="Times New Roman" w:cs="Times New Roman"/>
          <w:color w:val="000000"/>
        </w:rPr>
        <w:t xml:space="preserve"> by suppressing redundant labs. Scenario 3 applies both reductions at once.</w:t>
      </w:r>
    </w:p>
    <w:p w14:paraId="4CE9B141" w14:textId="77777777" w:rsidR="00EE3D61" w:rsidRPr="008E3E98" w:rsidRDefault="00EE3D61" w:rsidP="008E3E98">
      <w:pPr>
        <w:spacing w:before="100" w:after="100"/>
        <w:jc w:val="both"/>
        <w:rPr>
          <w:rFonts w:ascii="Times New Roman" w:hAnsi="Times New Roman" w:cs="Times New Roman"/>
          <w:b/>
          <w:bCs/>
          <w:color w:val="2E75B6"/>
        </w:rPr>
      </w:pPr>
    </w:p>
    <w:p w14:paraId="14392BBF" w14:textId="6376500B" w:rsidR="002003CB" w:rsidRPr="008E3E98" w:rsidRDefault="002003CB" w:rsidP="008E3E98">
      <w:pPr>
        <w:spacing w:before="100" w:after="100"/>
        <w:jc w:val="both"/>
        <w:rPr>
          <w:rFonts w:ascii="Times New Roman" w:hAnsi="Times New Roman" w:cs="Times New Roman"/>
        </w:rPr>
      </w:pPr>
      <w:r w:rsidRPr="008E3E98">
        <w:rPr>
          <w:rFonts w:ascii="Times New Roman" w:hAnsi="Times New Roman" w:cs="Times New Roman"/>
          <w:b/>
          <w:bCs/>
          <w:color w:val="2E75B6"/>
        </w:rPr>
        <w:t>3.3.5 Complete Variable Inventory</w:t>
      </w:r>
    </w:p>
    <w:p w14:paraId="704FEC3D" w14:textId="77777777" w:rsidR="002003CB" w:rsidRPr="008E3E98" w:rsidRDefault="002003CB" w:rsidP="008E3E98">
      <w:pPr>
        <w:spacing w:before="100" w:after="100"/>
        <w:jc w:val="both"/>
        <w:rPr>
          <w:rFonts w:ascii="Times New Roman" w:hAnsi="Times New Roman" w:cs="Times New Roman"/>
        </w:rPr>
      </w:pPr>
      <w:r w:rsidRPr="008E3E98">
        <w:rPr>
          <w:rFonts w:ascii="Times New Roman" w:hAnsi="Times New Roman" w:cs="Times New Roman"/>
          <w:color w:val="000000"/>
        </w:rPr>
        <w:t>Table 1 below provides a complete listing of all 25 variables in the analytic dataset, including identifiers, timestamps, raw counts, derived outcomes, and scenario variables. This table corresponds to the full codebook documented in Appendix A.</w:t>
      </w:r>
    </w:p>
    <w:p w14:paraId="77933239" w14:textId="77777777" w:rsidR="002003CB" w:rsidRPr="008E3E98" w:rsidRDefault="002003CB" w:rsidP="008E3E98">
      <w:pPr>
        <w:spacing w:before="200" w:after="80"/>
        <w:jc w:val="both"/>
        <w:rPr>
          <w:rFonts w:ascii="Times New Roman" w:hAnsi="Times New Roman" w:cs="Times New Roman"/>
        </w:rPr>
      </w:pPr>
      <w:r w:rsidRPr="008E3E98">
        <w:rPr>
          <w:rFonts w:ascii="Times New Roman" w:hAnsi="Times New Roman" w:cs="Times New Roman"/>
          <w:b/>
          <w:bCs/>
          <w:color w:val="000000"/>
        </w:rPr>
        <w:t>Table 1. Complete variable inventory for the MIMIC-IV alert fatigue analytic dataset (n = 94,444 ICU stays).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1107"/>
        <w:gridCol w:w="1740"/>
        <w:gridCol w:w="1320"/>
        <w:gridCol w:w="2900"/>
      </w:tblGrid>
      <w:tr w:rsidR="002003CB" w:rsidRPr="008E3E98" w14:paraId="6D3218DC" w14:textId="77777777" w:rsidTr="0053192F">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FAA91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b/>
                <w:bCs/>
                <w:color w:val="FFFFFF"/>
              </w:rPr>
              <w:t>Variable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34F4D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b/>
                <w:bCs/>
                <w:color w:val="FFFFFF"/>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A121F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b/>
                <w:bCs/>
                <w:color w:val="FFFFFF"/>
              </w:rPr>
              <w:t>Source</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A0B60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b/>
                <w:bCs/>
                <w:color w:val="FFFFFF"/>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7323D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b/>
                <w:bCs/>
                <w:color w:val="FFFFFF"/>
              </w:rPr>
              <w:t>Description</w:t>
            </w:r>
          </w:p>
        </w:tc>
      </w:tr>
      <w:tr w:rsidR="002003CB" w:rsidRPr="008E3E98" w14:paraId="5AD830AF"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0AD81"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subject_id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CF1D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5FBD3"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icustays</w:t>
            </w:r>
            <w:proofErr w:type="spellEnd"/>
            <w:r w:rsidRPr="008E3E98">
              <w:rPr>
                <w:rFonts w:ascii="Times New Roman" w:hAnsi="Times New Roman" w:cs="Times New Roman"/>
                <w:color w:val="00000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AB548"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Identifier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946A7"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Unique patient identifier</w:t>
            </w:r>
          </w:p>
        </w:tc>
      </w:tr>
      <w:tr w:rsidR="002003CB" w:rsidRPr="008E3E98" w14:paraId="52039577"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D0965F"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hadm_id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258A77"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3DA370"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icustays</w:t>
            </w:r>
            <w:proofErr w:type="spellEnd"/>
            <w:r w:rsidRPr="008E3E98">
              <w:rPr>
                <w:rFonts w:ascii="Times New Roman" w:hAnsi="Times New Roman" w:cs="Times New Roman"/>
                <w:color w:val="00000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B3DFF8"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Join key</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A41698"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Hospital admission ID; primary join key across tables</w:t>
            </w:r>
          </w:p>
        </w:tc>
      </w:tr>
      <w:tr w:rsidR="002003CB" w:rsidRPr="008E3E98" w14:paraId="2F20FD2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9E4AC"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stay_id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690A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7F503"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icustays</w:t>
            </w:r>
            <w:proofErr w:type="spellEnd"/>
            <w:r w:rsidRPr="008E3E98">
              <w:rPr>
                <w:rFonts w:ascii="Times New Roman" w:hAnsi="Times New Roman" w:cs="Times New Roman"/>
                <w:color w:val="000000"/>
              </w:rPr>
              <w:t xml:space="preserve"> / patients / 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F639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Join key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C2FC3"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ICU stay identifier</w:t>
            </w:r>
          </w:p>
        </w:tc>
      </w:tr>
      <w:tr w:rsidR="002003CB" w:rsidRPr="008E3E98" w14:paraId="553902A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9C3BDA"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anchor_age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B0D1A4"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676A4D"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patients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65F12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E03AB5"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Patient age at MIMIC-IV anchor year (range: 18–91, mean: 63.0)</w:t>
            </w:r>
          </w:p>
        </w:tc>
      </w:tr>
      <w:tr w:rsidR="002003CB" w:rsidRPr="008E3E98" w14:paraId="472357B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88749"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gender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AA63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7ED71"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patients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CD0E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636D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Patient sex (M = Male, F = Female)</w:t>
            </w:r>
          </w:p>
        </w:tc>
      </w:tr>
      <w:tr w:rsidR="002003CB" w:rsidRPr="008E3E98" w14:paraId="192DF68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E8A72D"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lastRenderedPageBreak/>
              <w:t>first_careunit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23CD1"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Factor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C4051A"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0494D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Predictor</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CF6A4D"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 xml:space="preserve">ICU unit type at time of admission; sparse units collapsed </w:t>
            </w:r>
            <w:proofErr w:type="gramStart"/>
            <w:r w:rsidRPr="008E3E98">
              <w:rPr>
                <w:rFonts w:ascii="Times New Roman" w:hAnsi="Times New Roman" w:cs="Times New Roman"/>
                <w:color w:val="000000"/>
              </w:rPr>
              <w:t>to</w:t>
            </w:r>
            <w:proofErr w:type="gramEnd"/>
            <w:r w:rsidRPr="008E3E98">
              <w:rPr>
                <w:rFonts w:ascii="Times New Roman" w:hAnsi="Times New Roman" w:cs="Times New Roman"/>
                <w:color w:val="000000"/>
              </w:rPr>
              <w:t xml:space="preserve"> 'Other'</w:t>
            </w:r>
          </w:p>
        </w:tc>
      </w:tr>
      <w:tr w:rsidR="002003CB" w:rsidRPr="008E3E98" w14:paraId="58F761D0"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7318C"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admittime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48A8C"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3E9AA"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7D934"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46D7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Hospital admission timestamp</w:t>
            </w:r>
          </w:p>
        </w:tc>
      </w:tr>
      <w:tr w:rsidR="002003CB" w:rsidRPr="008E3E98" w14:paraId="5EC65DA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7059A2"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dischtime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2B6A00"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68E6D2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admissions</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FE1AE8"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5AF06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Hospital discharge timestamp</w:t>
            </w:r>
          </w:p>
        </w:tc>
      </w:tr>
      <w:tr w:rsidR="002003CB" w:rsidRPr="008E3E98" w14:paraId="34FA39CA"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32089"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41E4E"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B7DF6"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C2839"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FF517"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ICU admission timestamp</w:t>
            </w:r>
          </w:p>
        </w:tc>
      </w:tr>
      <w:tr w:rsidR="002003CB" w:rsidRPr="008E3E98" w14:paraId="2A916A88"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87CA54"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outtime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A69F173"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POSIXct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60A937"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icustays</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484DB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D9475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ICU discharge timestamp</w:t>
            </w:r>
          </w:p>
        </w:tc>
      </w:tr>
      <w:tr w:rsidR="002003CB" w:rsidRPr="008E3E98" w14:paraId="3C482DBF"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0AC2A"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hospital_los_days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9948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4936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835D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Covariate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6DF1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Hospital length of stay in days (</w:t>
            </w:r>
            <w:proofErr w:type="spellStart"/>
            <w:r w:rsidRPr="008E3E98">
              <w:rPr>
                <w:rFonts w:ascii="Times New Roman" w:hAnsi="Times New Roman" w:cs="Times New Roman"/>
                <w:color w:val="000000"/>
              </w:rPr>
              <w:t>dischtime</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admittime</w:t>
            </w:r>
            <w:proofErr w:type="spellEnd"/>
            <w:r w:rsidRPr="008E3E98">
              <w:rPr>
                <w:rFonts w:ascii="Times New Roman" w:hAnsi="Times New Roman" w:cs="Times New Roman"/>
                <w:color w:val="000000"/>
              </w:rPr>
              <w:t>)</w:t>
            </w:r>
          </w:p>
        </w:tc>
      </w:tr>
      <w:tr w:rsidR="002003CB" w:rsidRPr="008E3E98" w14:paraId="562ECF7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0FD66C"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icu_los_hours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A1C58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22984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393218"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Covariate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4362B7"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ICU length of stay in hours (</w:t>
            </w:r>
            <w:proofErr w:type="spellStart"/>
            <w:r w:rsidRPr="008E3E98">
              <w:rPr>
                <w:rFonts w:ascii="Times New Roman" w:hAnsi="Times New Roman" w:cs="Times New Roman"/>
                <w:color w:val="000000"/>
              </w:rPr>
              <w:t>outtime</w:t>
            </w:r>
            <w:proofErr w:type="spellEnd"/>
            <w:r w:rsidRPr="008E3E98">
              <w:rPr>
                <w:rFonts w:ascii="Times New Roman" w:hAnsi="Times New Roman" w:cs="Times New Roman"/>
                <w:color w:val="000000"/>
              </w:rPr>
              <w:t xml:space="preserve"> − intime)</w:t>
            </w:r>
          </w:p>
        </w:tc>
      </w:tr>
      <w:tr w:rsidR="002003CB" w:rsidRPr="008E3E98" w14:paraId="4EA8375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9C40F"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icu_los_days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3620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51DB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271B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Offset basis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05635"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ICU length of stay in days (</w:t>
            </w:r>
            <w:proofErr w:type="spellStart"/>
            <w:r w:rsidRPr="008E3E98">
              <w:rPr>
                <w:rFonts w:ascii="Times New Roman" w:hAnsi="Times New Roman" w:cs="Times New Roman"/>
                <w:color w:val="000000"/>
              </w:rPr>
              <w:t>icu_los_hours</w:t>
            </w:r>
            <w:proofErr w:type="spellEnd"/>
            <w:r w:rsidRPr="008E3E98">
              <w:rPr>
                <w:rFonts w:ascii="Times New Roman" w:hAnsi="Times New Roman" w:cs="Times New Roman"/>
                <w:color w:val="000000"/>
              </w:rPr>
              <w:t xml:space="preserve"> / 24); used to compute rate offset</w:t>
            </w:r>
          </w:p>
        </w:tc>
      </w:tr>
      <w:tr w:rsidR="002003CB" w:rsidRPr="008E3E98" w14:paraId="601A8AE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5F3F99"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n_prescriptions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179F4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845762D"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prescriptions (</w:t>
            </w:r>
            <w:proofErr w:type="spellStart"/>
            <w:r w:rsidRPr="008E3E98">
              <w:rPr>
                <w:rFonts w:ascii="Times New Roman" w:hAnsi="Times New Roman" w:cs="Times New Roman"/>
                <w:color w:val="000000"/>
              </w:rPr>
              <w:t>agg</w:t>
            </w:r>
            <w:proofErr w:type="spellEnd"/>
            <w:r w:rsidRPr="008E3E98">
              <w:rPr>
                <w:rFonts w:ascii="Times New Roman" w:hAnsi="Times New Roman" w:cs="Times New Roman"/>
                <w:color w:val="00000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D375F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61417F"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Total medication prescription orders per hospital admission (mean: 113.8, max: 2,812)</w:t>
            </w:r>
          </w:p>
        </w:tc>
      </w:tr>
      <w:tr w:rsidR="002003CB" w:rsidRPr="008E3E98" w14:paraId="25A0511C"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F19ED"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n_unique_drugs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295C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8D6B9"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prescriptions (</w:t>
            </w:r>
            <w:proofErr w:type="spellStart"/>
            <w:r w:rsidRPr="008E3E98">
              <w:rPr>
                <w:rFonts w:ascii="Times New Roman" w:hAnsi="Times New Roman" w:cs="Times New Roman"/>
                <w:color w:val="000000"/>
              </w:rPr>
              <w:t>agg</w:t>
            </w:r>
            <w:proofErr w:type="spellEnd"/>
            <w:r w:rsidRPr="008E3E98">
              <w:rPr>
                <w:rFonts w:ascii="Times New Roman" w:hAnsi="Times New Roman" w:cs="Times New Roman"/>
                <w:color w:val="00000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2528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58873"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Count of distinct drug names ordered per hospital admission (mean: 43.0)</w:t>
            </w:r>
          </w:p>
        </w:tc>
      </w:tr>
      <w:tr w:rsidR="002003CB" w:rsidRPr="008E3E98" w14:paraId="537FD0E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474E5"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rx_per_day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D1520E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9B073E"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71B581"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4D09D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 xml:space="preserve">Medication orders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n_prescriptions</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icu_los_days</w:t>
            </w:r>
            <w:proofErr w:type="spellEnd"/>
            <w:r w:rsidRPr="008E3E98">
              <w:rPr>
                <w:rFonts w:ascii="Times New Roman" w:hAnsi="Times New Roman" w:cs="Times New Roman"/>
                <w:color w:val="000000"/>
              </w:rPr>
              <w:t>); median: 35.8</w:t>
            </w:r>
          </w:p>
        </w:tc>
      </w:tr>
      <w:tr w:rsidR="002003CB" w:rsidRPr="008E3E98" w14:paraId="059A013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F010B"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n_lab_events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7E0E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B086E"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labevents</w:t>
            </w:r>
            <w:proofErr w:type="spell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agg</w:t>
            </w:r>
            <w:proofErr w:type="spellEnd"/>
            <w:r w:rsidRPr="008E3E98">
              <w:rPr>
                <w:rFonts w:ascii="Times New Roman" w:hAnsi="Times New Roman" w:cs="Times New Roman"/>
                <w:color w:val="00000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F44FE"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6A6CE"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Total laboratory measurements per hospital admission (mean: 380.6, max: 19,824)</w:t>
            </w:r>
          </w:p>
        </w:tc>
      </w:tr>
      <w:tr w:rsidR="002003CB" w:rsidRPr="008E3E98" w14:paraId="4D159E9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2D15F7"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n_unique_labitems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B051B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3AA62D"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labevents</w:t>
            </w:r>
            <w:proofErr w:type="spell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agg</w:t>
            </w:r>
            <w:proofErr w:type="spellEnd"/>
            <w:r w:rsidRPr="008E3E98">
              <w:rPr>
                <w:rFonts w:ascii="Times New Roman" w:hAnsi="Times New Roman" w:cs="Times New Roman"/>
                <w:color w:val="00000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C060163"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D70024F"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Count of distinct laboratory item types per admission (mean: 53.8)</w:t>
            </w:r>
          </w:p>
        </w:tc>
      </w:tr>
      <w:tr w:rsidR="002003CB" w:rsidRPr="008E3E98" w14:paraId="214EC0E3"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2C813"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lastRenderedPageBreak/>
              <w:t>n_abnormal_labs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24EFA"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CB100"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labevents</w:t>
            </w:r>
            <w:proofErr w:type="spell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agg</w:t>
            </w:r>
            <w:proofErr w:type="spellEnd"/>
            <w:r w:rsidRPr="008E3E98">
              <w:rPr>
                <w:rFonts w:ascii="Times New Roman" w:hAnsi="Times New Roman" w:cs="Times New Roman"/>
                <w:color w:val="000000"/>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F2138"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A417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Laboratory measurements flagged as abnormal (mean: 150.6)</w:t>
            </w:r>
          </w:p>
        </w:tc>
      </w:tr>
      <w:tr w:rsidR="002003CB" w:rsidRPr="008E3E98" w14:paraId="426E60DD"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4A7698"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labs_per_day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B4838D"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27AC5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0C343E"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3CFACD"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 xml:space="preserve">Lab events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n_lab_events</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icu_los_days</w:t>
            </w:r>
            <w:proofErr w:type="spell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winsorized</w:t>
            </w:r>
            <w:proofErr w:type="spellEnd"/>
            <w:r w:rsidRPr="008E3E98">
              <w:rPr>
                <w:rFonts w:ascii="Times New Roman" w:hAnsi="Times New Roman" w:cs="Times New Roman"/>
                <w:color w:val="000000"/>
              </w:rPr>
              <w:t xml:space="preserve"> at 99th percentile</w:t>
            </w:r>
          </w:p>
        </w:tc>
      </w:tr>
      <w:tr w:rsidR="002003CB" w:rsidRPr="008E3E98" w14:paraId="19F14CF5"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6E8B0"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total_events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958B8"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D47D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9B109"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Raw count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98D5E"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Total CDS-triggering events (</w:t>
            </w:r>
            <w:proofErr w:type="spellStart"/>
            <w:r w:rsidRPr="008E3E98">
              <w:rPr>
                <w:rFonts w:ascii="Times New Roman" w:hAnsi="Times New Roman" w:cs="Times New Roman"/>
                <w:color w:val="000000"/>
              </w:rPr>
              <w:t>n_prescriptions</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n_lab_events</w:t>
            </w:r>
            <w:proofErr w:type="spellEnd"/>
            <w:r w:rsidRPr="008E3E98">
              <w:rPr>
                <w:rFonts w:ascii="Times New Roman" w:hAnsi="Times New Roman" w:cs="Times New Roman"/>
                <w:color w:val="000000"/>
              </w:rPr>
              <w:t>); mean: 494.4</w:t>
            </w:r>
          </w:p>
        </w:tc>
      </w:tr>
      <w:tr w:rsidR="002003CB" w:rsidRPr="008E3E98" w14:paraId="1C6D3D01"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220594" w14:textId="77777777" w:rsidR="002003CB" w:rsidRPr="008E3E98" w:rsidRDefault="002003CB" w:rsidP="008E3E98">
            <w:pPr>
              <w:jc w:val="both"/>
              <w:rPr>
                <w:rFonts w:ascii="Times New Roman" w:hAnsi="Times New Roman" w:cs="Times New Roman"/>
              </w:rPr>
            </w:pPr>
            <w:proofErr w:type="spellStart"/>
            <w:r w:rsidRPr="008E3E98">
              <w:rPr>
                <w:rFonts w:ascii="Times New Roman" w:hAnsi="Times New Roman" w:cs="Times New Roman"/>
                <w:color w:val="000000"/>
              </w:rPr>
              <w:t>total_events_per_day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3CEFE9"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Numeric</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CC7BC4"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Derived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B4B192"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Outcome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0CFDB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 xml:space="preserve">Total events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xml:space="preserve"> (</w:t>
            </w:r>
            <w:proofErr w:type="spellStart"/>
            <w:r w:rsidRPr="008E3E98">
              <w:rPr>
                <w:rFonts w:ascii="Times New Roman" w:hAnsi="Times New Roman" w:cs="Times New Roman"/>
                <w:color w:val="000000"/>
              </w:rPr>
              <w:t>total_events</w:t>
            </w:r>
            <w:proofErr w:type="spellEnd"/>
            <w:r w:rsidRPr="008E3E98">
              <w:rPr>
                <w:rFonts w:ascii="Times New Roman" w:hAnsi="Times New Roman" w:cs="Times New Roman"/>
                <w:color w:val="000000"/>
              </w:rPr>
              <w:t xml:space="preserve"> / </w:t>
            </w:r>
            <w:proofErr w:type="spellStart"/>
            <w:r w:rsidRPr="008E3E98">
              <w:rPr>
                <w:rFonts w:ascii="Times New Roman" w:hAnsi="Times New Roman" w:cs="Times New Roman"/>
                <w:color w:val="000000"/>
              </w:rPr>
              <w:t>icu_los_days</w:t>
            </w:r>
            <w:proofErr w:type="spellEnd"/>
            <w:r w:rsidRPr="008E3E98">
              <w:rPr>
                <w:rFonts w:ascii="Times New Roman" w:hAnsi="Times New Roman" w:cs="Times New Roman"/>
                <w:color w:val="000000"/>
              </w:rPr>
              <w:t>); primary outcome; median: 126.9</w:t>
            </w:r>
          </w:p>
        </w:tc>
      </w:tr>
      <w:tr w:rsidR="002003CB" w:rsidRPr="008E3E98" w14:paraId="0A7ED3BE"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A10B4"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scenario1_events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F8BDA"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50875"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2375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0C47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Simulated burden: Rx orders reduced 15% (deduplication scenario)</w:t>
            </w:r>
          </w:p>
        </w:tc>
      </w:tr>
      <w:tr w:rsidR="002003CB" w:rsidRPr="008E3E98" w14:paraId="5BB80806"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E8DDBE4"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scenario2_events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3998AF"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A37021"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1173D0"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94B38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Simulated burden: Lab events reduced 20% (suppression scenario)</w:t>
            </w:r>
          </w:p>
        </w:tc>
      </w:tr>
      <w:tr w:rsidR="002003CB" w:rsidRPr="008E3E98" w14:paraId="63647862" w14:textId="77777777" w:rsidTr="0053192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8C10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scenario3_events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2AE4B"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55149"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Simulated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C0F6C"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Scenario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87B06" w14:textId="77777777" w:rsidR="002003CB" w:rsidRPr="008E3E98" w:rsidRDefault="002003CB" w:rsidP="008E3E98">
            <w:pPr>
              <w:jc w:val="both"/>
              <w:rPr>
                <w:rFonts w:ascii="Times New Roman" w:hAnsi="Times New Roman" w:cs="Times New Roman"/>
              </w:rPr>
            </w:pPr>
            <w:r w:rsidRPr="008E3E98">
              <w:rPr>
                <w:rFonts w:ascii="Times New Roman" w:hAnsi="Times New Roman" w:cs="Times New Roman"/>
                <w:color w:val="000000"/>
              </w:rPr>
              <w:t>Simulated burden: Combined Rx −15% and Lab −20%</w:t>
            </w:r>
          </w:p>
        </w:tc>
      </w:tr>
    </w:tbl>
    <w:p w14:paraId="206B3453" w14:textId="77777777" w:rsidR="002003CB" w:rsidRPr="008E3E98" w:rsidRDefault="002003CB" w:rsidP="008E3E98">
      <w:pPr>
        <w:spacing w:before="80" w:after="80"/>
        <w:jc w:val="both"/>
        <w:rPr>
          <w:rFonts w:ascii="Times New Roman" w:hAnsi="Times New Roman" w:cs="Times New Roman"/>
        </w:rPr>
      </w:pPr>
    </w:p>
    <w:p w14:paraId="4BC31D22" w14:textId="77777777" w:rsidR="002003CB" w:rsidRDefault="002003CB" w:rsidP="008E3E98">
      <w:pPr>
        <w:spacing w:before="100" w:after="100"/>
        <w:jc w:val="both"/>
        <w:rPr>
          <w:rFonts w:ascii="Times New Roman" w:hAnsi="Times New Roman" w:cs="Times New Roman"/>
          <w:color w:val="000000"/>
        </w:rPr>
      </w:pPr>
      <w:r w:rsidRPr="008E3E98">
        <w:rPr>
          <w:rFonts w:ascii="Times New Roman" w:hAnsi="Times New Roman" w:cs="Times New Roman"/>
          <w:color w:val="000000"/>
        </w:rPr>
        <w:t xml:space="preserve">Note: All derived variables were constructed in R 4.x using </w:t>
      </w:r>
      <w:proofErr w:type="spellStart"/>
      <w:proofErr w:type="gramStart"/>
      <w:r w:rsidRPr="008E3E98">
        <w:rPr>
          <w:rFonts w:ascii="Times New Roman" w:hAnsi="Times New Roman" w:cs="Times New Roman"/>
          <w:color w:val="000000"/>
        </w:rPr>
        <w:t>data.table</w:t>
      </w:r>
      <w:proofErr w:type="spellEnd"/>
      <w:proofErr w:type="gramEnd"/>
      <w:r w:rsidRPr="008E3E98">
        <w:rPr>
          <w:rFonts w:ascii="Times New Roman" w:hAnsi="Times New Roman" w:cs="Times New Roman"/>
          <w:color w:val="000000"/>
        </w:rPr>
        <w:t xml:space="preserve"> and </w:t>
      </w:r>
      <w:proofErr w:type="spellStart"/>
      <w:r w:rsidRPr="008E3E98">
        <w:rPr>
          <w:rFonts w:ascii="Times New Roman" w:hAnsi="Times New Roman" w:cs="Times New Roman"/>
          <w:color w:val="000000"/>
        </w:rPr>
        <w:t>dplyr</w:t>
      </w:r>
      <w:proofErr w:type="spellEnd"/>
      <w:r w:rsidRPr="008E3E98">
        <w:rPr>
          <w:rFonts w:ascii="Times New Roman" w:hAnsi="Times New Roman" w:cs="Times New Roman"/>
          <w:color w:val="000000"/>
        </w:rPr>
        <w:t xml:space="preserve">. Raw data was accessed via </w:t>
      </w:r>
      <w:proofErr w:type="spellStart"/>
      <w:r w:rsidRPr="008E3E98">
        <w:rPr>
          <w:rFonts w:ascii="Times New Roman" w:hAnsi="Times New Roman" w:cs="Times New Roman"/>
          <w:color w:val="000000"/>
        </w:rPr>
        <w:t>DuckDB</w:t>
      </w:r>
      <w:proofErr w:type="spellEnd"/>
      <w:r w:rsidRPr="008E3E98">
        <w:rPr>
          <w:rFonts w:ascii="Times New Roman" w:hAnsi="Times New Roman" w:cs="Times New Roman"/>
          <w:color w:val="000000"/>
        </w:rPr>
        <w:t xml:space="preserve"> to avoid loading the full </w:t>
      </w:r>
      <w:proofErr w:type="spellStart"/>
      <w:r w:rsidRPr="008E3E98">
        <w:rPr>
          <w:rFonts w:ascii="Times New Roman" w:hAnsi="Times New Roman" w:cs="Times New Roman"/>
          <w:color w:val="000000"/>
        </w:rPr>
        <w:t>labevents</w:t>
      </w:r>
      <w:proofErr w:type="spellEnd"/>
      <w:r w:rsidRPr="008E3E98">
        <w:rPr>
          <w:rFonts w:ascii="Times New Roman" w:hAnsi="Times New Roman" w:cs="Times New Roman"/>
          <w:color w:val="000000"/>
        </w:rPr>
        <w:t xml:space="preserve"> table into memory. Full preprocessing decisions and rationale are documented in the codebook (Appendix A) and summarized in Section 3.2.</w:t>
      </w:r>
    </w:p>
    <w:p w14:paraId="7EC7DF5A" w14:textId="77777777" w:rsidR="00BB26C7" w:rsidRDefault="00BB26C7" w:rsidP="008E3E98">
      <w:pPr>
        <w:spacing w:before="100" w:after="100"/>
        <w:jc w:val="both"/>
        <w:rPr>
          <w:rFonts w:ascii="Times New Roman" w:hAnsi="Times New Roman" w:cs="Times New Roman"/>
          <w:color w:val="000000"/>
        </w:rPr>
      </w:pPr>
    </w:p>
    <w:p w14:paraId="319FDB75" w14:textId="77777777" w:rsidR="00BB26C7" w:rsidRDefault="00BB26C7" w:rsidP="008E3E98">
      <w:pPr>
        <w:spacing w:before="100" w:after="100"/>
        <w:jc w:val="both"/>
        <w:rPr>
          <w:rFonts w:ascii="Times New Roman" w:hAnsi="Times New Roman" w:cs="Times New Roman"/>
          <w:color w:val="000000"/>
        </w:rPr>
      </w:pPr>
    </w:p>
    <w:p w14:paraId="4E7C42C2" w14:textId="77777777" w:rsidR="00BB26C7" w:rsidRDefault="00BB26C7" w:rsidP="008E3E98">
      <w:pPr>
        <w:spacing w:before="100" w:after="100"/>
        <w:jc w:val="both"/>
        <w:rPr>
          <w:rFonts w:ascii="Times New Roman" w:hAnsi="Times New Roman" w:cs="Times New Roman"/>
          <w:color w:val="000000"/>
        </w:rPr>
      </w:pPr>
    </w:p>
    <w:p w14:paraId="3C81E401" w14:textId="77777777" w:rsidR="00BB26C7" w:rsidRDefault="00BB26C7" w:rsidP="008E3E98">
      <w:pPr>
        <w:spacing w:before="100" w:after="100"/>
        <w:jc w:val="both"/>
        <w:rPr>
          <w:rFonts w:ascii="Times New Roman" w:hAnsi="Times New Roman" w:cs="Times New Roman"/>
          <w:color w:val="000000"/>
        </w:rPr>
      </w:pPr>
    </w:p>
    <w:p w14:paraId="703BFCC0" w14:textId="77777777" w:rsidR="00BB26C7" w:rsidRDefault="00BB26C7" w:rsidP="008E3E98">
      <w:pPr>
        <w:spacing w:before="100" w:after="100"/>
        <w:jc w:val="both"/>
        <w:rPr>
          <w:rFonts w:ascii="Times New Roman" w:hAnsi="Times New Roman" w:cs="Times New Roman"/>
          <w:color w:val="000000"/>
        </w:rPr>
      </w:pPr>
    </w:p>
    <w:p w14:paraId="1BCCC8BB" w14:textId="77777777" w:rsidR="00BB26C7" w:rsidRDefault="00BB26C7" w:rsidP="008E3E98">
      <w:pPr>
        <w:spacing w:before="100" w:after="100"/>
        <w:jc w:val="both"/>
        <w:rPr>
          <w:rFonts w:ascii="Times New Roman" w:hAnsi="Times New Roman" w:cs="Times New Roman"/>
          <w:color w:val="000000"/>
        </w:rPr>
      </w:pPr>
    </w:p>
    <w:p w14:paraId="46C0BDC5" w14:textId="77777777" w:rsidR="00BB26C7" w:rsidRDefault="00BB26C7" w:rsidP="008E3E98">
      <w:pPr>
        <w:spacing w:before="100" w:after="100"/>
        <w:jc w:val="both"/>
        <w:rPr>
          <w:rFonts w:ascii="Times New Roman" w:hAnsi="Times New Roman" w:cs="Times New Roman"/>
          <w:color w:val="000000"/>
        </w:rPr>
      </w:pPr>
    </w:p>
    <w:p w14:paraId="4E37F2A8" w14:textId="77777777" w:rsidR="00BB26C7" w:rsidRPr="008E3E98" w:rsidRDefault="00BB26C7" w:rsidP="008E3E98">
      <w:pPr>
        <w:spacing w:before="100" w:after="100"/>
        <w:jc w:val="both"/>
        <w:rPr>
          <w:rFonts w:ascii="Times New Roman" w:hAnsi="Times New Roman" w:cs="Times New Roman"/>
          <w:color w:val="000000"/>
        </w:rPr>
      </w:pPr>
    </w:p>
    <w:p w14:paraId="5214AF53" w14:textId="4A80C3E6" w:rsidR="00D14598" w:rsidRPr="008E3E98" w:rsidRDefault="00000000" w:rsidP="008E3E98">
      <w:pPr>
        <w:pStyle w:val="Heading2"/>
        <w:jc w:val="both"/>
        <w:rPr>
          <w:rFonts w:ascii="Times New Roman" w:hAnsi="Times New Roman" w:cs="Times New Roman"/>
          <w:sz w:val="24"/>
          <w:szCs w:val="24"/>
        </w:rPr>
      </w:pPr>
      <w:bookmarkStart w:id="19" w:name="_Toc228825816"/>
      <w:r w:rsidRPr="008E3E98">
        <w:rPr>
          <w:rFonts w:ascii="Times New Roman" w:hAnsi="Times New Roman" w:cs="Times New Roman"/>
          <w:sz w:val="24"/>
          <w:szCs w:val="24"/>
        </w:rPr>
        <w:lastRenderedPageBreak/>
        <w:t>3.4 Statistical Approach</w:t>
      </w:r>
      <w:bookmarkEnd w:id="19"/>
    </w:p>
    <w:p w14:paraId="15999B7C" w14:textId="77777777" w:rsidR="00F1176A" w:rsidRPr="00F1176A" w:rsidRDefault="00F1176A" w:rsidP="00F1176A">
      <w:pPr>
        <w:spacing w:before="120" w:after="120"/>
        <w:jc w:val="both"/>
        <w:rPr>
          <w:rFonts w:ascii="Times New Roman" w:hAnsi="Times New Roman" w:cs="Times New Roman"/>
          <w:color w:val="000000"/>
        </w:rPr>
      </w:pPr>
      <w:r w:rsidRPr="00F1176A">
        <w:rPr>
          <w:rFonts w:ascii="Times New Roman" w:hAnsi="Times New Roman" w:cs="Times New Roman"/>
          <w:color w:val="000000"/>
        </w:rPr>
        <w:t xml:space="preserve">The negative binomial regression model is an extension of the Poisson regression model designed for count outcomes that exhibit overdispersion — that is, where the variance of the outcome substantially exceeds its </w:t>
      </w:r>
      <w:proofErr w:type="gramStart"/>
      <w:r w:rsidRPr="00F1176A">
        <w:rPr>
          <w:rFonts w:ascii="Times New Roman" w:hAnsi="Times New Roman" w:cs="Times New Roman"/>
          <w:color w:val="000000"/>
        </w:rPr>
        <w:t>mean</w:t>
      </w:r>
      <w:proofErr w:type="gramEnd"/>
      <w:r w:rsidRPr="00F1176A">
        <w:rPr>
          <w:rFonts w:ascii="Times New Roman" w:hAnsi="Times New Roman" w:cs="Times New Roman"/>
          <w:color w:val="000000"/>
        </w:rPr>
        <w:t>. The model takes the following form:</w:t>
      </w:r>
    </w:p>
    <w:p w14:paraId="40EEB44C" w14:textId="77777777" w:rsidR="00F1176A" w:rsidRPr="00F1176A" w:rsidRDefault="00F1176A" w:rsidP="00F1176A">
      <w:pPr>
        <w:spacing w:before="120" w:after="120"/>
        <w:jc w:val="both"/>
        <w:rPr>
          <w:rFonts w:ascii="Times New Roman" w:hAnsi="Times New Roman" w:cs="Times New Roman"/>
          <w:color w:val="000000"/>
        </w:rPr>
      </w:pPr>
      <w:r w:rsidRPr="00F1176A">
        <w:rPr>
          <w:rFonts w:ascii="Times New Roman" w:hAnsi="Times New Roman" w:cs="Times New Roman"/>
          <w:color w:val="000000"/>
        </w:rPr>
        <w:t>log(μᵢ) = β₀ + β₁X₁ᵢ + β₂X₂ᵢ + ... + βₖXₖᵢ + offset(log(tᵢ))</w:t>
      </w:r>
    </w:p>
    <w:p w14:paraId="20878FB1" w14:textId="26DBD2F9" w:rsidR="00F1176A" w:rsidRPr="00F1176A" w:rsidRDefault="00F1176A" w:rsidP="00F1176A">
      <w:pPr>
        <w:spacing w:before="120" w:after="120"/>
        <w:jc w:val="both"/>
        <w:rPr>
          <w:rFonts w:ascii="Times New Roman" w:hAnsi="Times New Roman" w:cs="Times New Roman"/>
          <w:color w:val="000000"/>
        </w:rPr>
      </w:pPr>
      <w:r w:rsidRPr="00F1176A">
        <w:rPr>
          <w:rFonts w:ascii="Times New Roman" w:hAnsi="Times New Roman" w:cs="Times New Roman"/>
          <w:color w:val="000000"/>
        </w:rPr>
        <w:t xml:space="preserve">where μᵢ is the expected count for observation </w:t>
      </w:r>
      <w:proofErr w:type="spellStart"/>
      <w:r w:rsidRPr="00F1176A">
        <w:rPr>
          <w:rFonts w:ascii="Times New Roman" w:hAnsi="Times New Roman" w:cs="Times New Roman"/>
          <w:color w:val="000000"/>
        </w:rPr>
        <w:t>i</w:t>
      </w:r>
      <w:proofErr w:type="spellEnd"/>
      <w:r w:rsidRPr="00F1176A">
        <w:rPr>
          <w:rFonts w:ascii="Times New Roman" w:hAnsi="Times New Roman" w:cs="Times New Roman"/>
          <w:color w:val="000000"/>
        </w:rPr>
        <w:t xml:space="preserve">, β₀ through βₖ are the regression coefficients, X₁ through Xₖ are the predictor variables, and tᵢ is the exposure </w:t>
      </w:r>
      <w:proofErr w:type="gramStart"/>
      <w:r w:rsidRPr="00F1176A">
        <w:rPr>
          <w:rFonts w:ascii="Times New Roman" w:hAnsi="Times New Roman" w:cs="Times New Roman"/>
          <w:color w:val="000000"/>
        </w:rPr>
        <w:t>time  in</w:t>
      </w:r>
      <w:proofErr w:type="gramEnd"/>
      <w:r w:rsidRPr="00F1176A">
        <w:rPr>
          <w:rFonts w:ascii="Times New Roman" w:hAnsi="Times New Roman" w:cs="Times New Roman"/>
          <w:color w:val="000000"/>
        </w:rPr>
        <w:t xml:space="preserve"> this case, ICU length of stay in days. The offset term log(tᵢ) converts the model from predicting raw </w:t>
      </w:r>
      <w:proofErr w:type="gramStart"/>
      <w:r w:rsidRPr="00F1176A">
        <w:rPr>
          <w:rFonts w:ascii="Times New Roman" w:hAnsi="Times New Roman" w:cs="Times New Roman"/>
          <w:color w:val="000000"/>
        </w:rPr>
        <w:t>event counts</w:t>
      </w:r>
      <w:proofErr w:type="gramEnd"/>
      <w:r w:rsidRPr="00F1176A">
        <w:rPr>
          <w:rFonts w:ascii="Times New Roman" w:hAnsi="Times New Roman" w:cs="Times New Roman"/>
          <w:color w:val="000000"/>
        </w:rPr>
        <w:t xml:space="preserve"> to predicting event rates per </w:t>
      </w:r>
      <w:proofErr w:type="gramStart"/>
      <w:r w:rsidRPr="00F1176A">
        <w:rPr>
          <w:rFonts w:ascii="Times New Roman" w:hAnsi="Times New Roman" w:cs="Times New Roman"/>
          <w:color w:val="000000"/>
        </w:rPr>
        <w:t>ICU day</w:t>
      </w:r>
      <w:proofErr w:type="gramEnd"/>
      <w:r w:rsidRPr="00F1176A">
        <w:rPr>
          <w:rFonts w:ascii="Times New Roman" w:hAnsi="Times New Roman" w:cs="Times New Roman"/>
          <w:color w:val="000000"/>
        </w:rPr>
        <w:t>, enabling fair comparisons across stays of different durations.</w:t>
      </w:r>
    </w:p>
    <w:p w14:paraId="0BA0491A" w14:textId="77777777" w:rsidR="00F1176A" w:rsidRPr="00F1176A" w:rsidRDefault="00F1176A" w:rsidP="00F1176A">
      <w:pPr>
        <w:spacing w:before="120" w:after="120"/>
        <w:jc w:val="both"/>
        <w:rPr>
          <w:rFonts w:ascii="Times New Roman" w:hAnsi="Times New Roman" w:cs="Times New Roman"/>
          <w:color w:val="000000"/>
        </w:rPr>
      </w:pPr>
      <w:r w:rsidRPr="00F1176A">
        <w:rPr>
          <w:rFonts w:ascii="Times New Roman" w:hAnsi="Times New Roman" w:cs="Times New Roman"/>
          <w:color w:val="000000"/>
        </w:rPr>
        <w:t xml:space="preserve">Unlike Poisson regression, the negative binomial model introduces a dispersion parameter θ (theta) that allows the variance to exceed the </w:t>
      </w:r>
      <w:proofErr w:type="gramStart"/>
      <w:r w:rsidRPr="00F1176A">
        <w:rPr>
          <w:rFonts w:ascii="Times New Roman" w:hAnsi="Times New Roman" w:cs="Times New Roman"/>
          <w:color w:val="000000"/>
        </w:rPr>
        <w:t>mean</w:t>
      </w:r>
      <w:proofErr w:type="gramEnd"/>
      <w:r w:rsidRPr="00F1176A">
        <w:rPr>
          <w:rFonts w:ascii="Times New Roman" w:hAnsi="Times New Roman" w:cs="Times New Roman"/>
          <w:color w:val="000000"/>
        </w:rPr>
        <w:t xml:space="preserve"> according to the relationship:</w:t>
      </w:r>
    </w:p>
    <w:p w14:paraId="1F212F15" w14:textId="77777777" w:rsidR="00F1176A" w:rsidRPr="00F1176A" w:rsidRDefault="00F1176A" w:rsidP="00F1176A">
      <w:pPr>
        <w:spacing w:before="120" w:after="120"/>
        <w:jc w:val="both"/>
        <w:rPr>
          <w:rFonts w:ascii="Times New Roman" w:hAnsi="Times New Roman" w:cs="Times New Roman"/>
          <w:color w:val="000000"/>
        </w:rPr>
      </w:pPr>
      <w:proofErr w:type="gramStart"/>
      <w:r w:rsidRPr="00F1176A">
        <w:rPr>
          <w:rFonts w:ascii="Times New Roman" w:hAnsi="Times New Roman" w:cs="Times New Roman"/>
          <w:color w:val="000000"/>
        </w:rPr>
        <w:t>Var(</w:t>
      </w:r>
      <w:proofErr w:type="gramEnd"/>
      <w:r w:rsidRPr="00F1176A">
        <w:rPr>
          <w:rFonts w:ascii="Times New Roman" w:hAnsi="Times New Roman" w:cs="Times New Roman"/>
          <w:color w:val="000000"/>
        </w:rPr>
        <w:t>Yᵢ) = μᵢ + μᵢ²/θ</w:t>
      </w:r>
    </w:p>
    <w:p w14:paraId="5717FACA" w14:textId="0341C4D6" w:rsidR="00F1176A" w:rsidRDefault="00F1176A" w:rsidP="00F1176A">
      <w:pPr>
        <w:spacing w:before="120" w:after="120"/>
        <w:jc w:val="both"/>
        <w:rPr>
          <w:rFonts w:ascii="Times New Roman" w:hAnsi="Times New Roman" w:cs="Times New Roman"/>
          <w:color w:val="000000"/>
        </w:rPr>
      </w:pPr>
      <w:r w:rsidRPr="00F1176A">
        <w:rPr>
          <w:rFonts w:ascii="Times New Roman" w:hAnsi="Times New Roman" w:cs="Times New Roman"/>
          <w:color w:val="000000"/>
        </w:rPr>
        <w:t xml:space="preserve">As θ → ∞ the negative binomial model converges </w:t>
      </w:r>
      <w:proofErr w:type="gramStart"/>
      <w:r w:rsidRPr="00F1176A">
        <w:rPr>
          <w:rFonts w:ascii="Times New Roman" w:hAnsi="Times New Roman" w:cs="Times New Roman"/>
          <w:color w:val="000000"/>
        </w:rPr>
        <w:t>to</w:t>
      </w:r>
      <w:proofErr w:type="gramEnd"/>
      <w:r w:rsidRPr="00F1176A">
        <w:rPr>
          <w:rFonts w:ascii="Times New Roman" w:hAnsi="Times New Roman" w:cs="Times New Roman"/>
          <w:color w:val="000000"/>
        </w:rPr>
        <w:t xml:space="preserve"> Poisson, confirming that Poisson is a special case. A </w:t>
      </w:r>
      <w:proofErr w:type="gramStart"/>
      <w:r w:rsidRPr="00F1176A">
        <w:rPr>
          <w:rFonts w:ascii="Times New Roman" w:hAnsi="Times New Roman" w:cs="Times New Roman"/>
          <w:color w:val="000000"/>
        </w:rPr>
        <w:t>small estimated</w:t>
      </w:r>
      <w:proofErr w:type="gramEnd"/>
      <w:r w:rsidRPr="00F1176A">
        <w:rPr>
          <w:rFonts w:ascii="Times New Roman" w:hAnsi="Times New Roman" w:cs="Times New Roman"/>
          <w:color w:val="000000"/>
        </w:rPr>
        <w:t xml:space="preserve"> theta indicates severe overdispersion in this study θ = 1.063, confirming substantial excess variability that Poisson regression cannot accommodate. Model coefficients are exponentiated to produce Incidence Rate Ratios (IRRs), which represent the multiplicative change in the expected event rate associated with a one-unit change in a predictor, holding all other variables constant. An IRR greater than 1.0 indicates a higher event rate than the reference group; an IRR less than 1.0 indicates a lower rate.</w:t>
      </w:r>
    </w:p>
    <w:p w14:paraId="1286DB8C" w14:textId="6EAB6922" w:rsidR="00F1176A" w:rsidRPr="00F1176A" w:rsidRDefault="00F1176A" w:rsidP="00F1176A">
      <w:pPr>
        <w:spacing w:before="120" w:after="120"/>
        <w:jc w:val="both"/>
        <w:rPr>
          <w:rFonts w:ascii="Times New Roman" w:hAnsi="Times New Roman" w:cs="Times New Roman"/>
          <w:color w:val="000000"/>
        </w:rPr>
      </w:pPr>
      <w:r w:rsidRPr="00F1176A">
        <w:rPr>
          <w:rFonts w:ascii="Times New Roman" w:hAnsi="Times New Roman" w:cs="Times New Roman"/>
          <w:color w:val="000000"/>
        </w:rPr>
        <w:t>This analysis applied negative binomial regression to three count-based outcomes</w:t>
      </w:r>
      <w:r>
        <w:rPr>
          <w:rFonts w:ascii="Times New Roman" w:hAnsi="Times New Roman" w:cs="Times New Roman"/>
          <w:color w:val="000000"/>
        </w:rPr>
        <w:t>:</w:t>
      </w:r>
      <w:r w:rsidRPr="00F1176A">
        <w:rPr>
          <w:rFonts w:ascii="Times New Roman" w:hAnsi="Times New Roman" w:cs="Times New Roman"/>
          <w:color w:val="000000"/>
        </w:rPr>
        <w:t xml:space="preserve"> medication orders, laboratory events, and total CDS-triggering events per ICU stay. Linear regression was deemed inappropriate because it can produce impossible results</w:t>
      </w:r>
      <w:r>
        <w:rPr>
          <w:rFonts w:ascii="Times New Roman" w:hAnsi="Times New Roman" w:cs="Times New Roman"/>
          <w:color w:val="000000"/>
        </w:rPr>
        <w:t>,</w:t>
      </w:r>
      <w:r w:rsidRPr="00F1176A">
        <w:rPr>
          <w:rFonts w:ascii="Times New Roman" w:hAnsi="Times New Roman" w:cs="Times New Roman"/>
          <w:color w:val="000000"/>
        </w:rPr>
        <w:t xml:space="preserve"> such as negative or fractional counts, and the outcome distributions were highly skewed. Poisson regression was also considered but rejected due to overdispersion confirmed by variance-to-mean ratios ranging from 119 to 1,178 across all three outcomes. A likelihood ratio test formally confirmed that the negative binomial model fit the data significantly better than a Poisson model (χ² = 8,224,010, p &lt; 0.0001).</w:t>
      </w:r>
    </w:p>
    <w:p w14:paraId="3EE38DF4" w14:textId="77777777" w:rsidR="00582E0B" w:rsidRPr="008E3E98" w:rsidRDefault="00582E0B" w:rsidP="008E3E98">
      <w:pPr>
        <w:pStyle w:val="Heading2"/>
        <w:jc w:val="both"/>
        <w:rPr>
          <w:rFonts w:ascii="Times New Roman" w:hAnsi="Times New Roman" w:cs="Times New Roman"/>
          <w:sz w:val="24"/>
          <w:szCs w:val="24"/>
        </w:rPr>
      </w:pPr>
      <w:bookmarkStart w:id="20" w:name="_Toc228825817"/>
      <w:r w:rsidRPr="008E3E98">
        <w:rPr>
          <w:rFonts w:ascii="Times New Roman" w:hAnsi="Times New Roman" w:cs="Times New Roman"/>
          <w:sz w:val="24"/>
          <w:szCs w:val="24"/>
        </w:rPr>
        <w:t>3.4.1 Model Diagnostics</w:t>
      </w:r>
      <w:bookmarkEnd w:id="20"/>
    </w:p>
    <w:p w14:paraId="3AC9AD12" w14:textId="77777777" w:rsidR="00582E0B" w:rsidRPr="008E3E98" w:rsidRDefault="00582E0B" w:rsidP="008E3E98">
      <w:pPr>
        <w:jc w:val="both"/>
        <w:rPr>
          <w:rFonts w:ascii="Times New Roman" w:hAnsi="Times New Roman" w:cs="Times New Roman"/>
        </w:rPr>
      </w:pPr>
      <w:r w:rsidRPr="00582E0B">
        <w:rPr>
          <w:rFonts w:ascii="Times New Roman" w:hAnsi="Times New Roman" w:cs="Times New Roman"/>
        </w:rPr>
        <w:t>To ensure the appropriate modeling approach, several diagnostic checks were conducted to evaluate the suitability of negative binomial regression for the count outcomes. A likelihood ratio test comparing the Poisson and negative binomial models strongly rejected the Poisson assumption (χ² = 8,224,010, p &lt; 0.0001), indicating significant overdispersion in the data. This test was conducted using medication orders as the primary outcome, with age, gender, and ICU unit type as predictors and log-transformed ICU length of stay as an offset.</w:t>
      </w:r>
    </w:p>
    <w:p w14:paraId="51650A15" w14:textId="77777777" w:rsidR="00582E0B" w:rsidRPr="00582E0B" w:rsidRDefault="00582E0B" w:rsidP="008E3E98">
      <w:pPr>
        <w:jc w:val="both"/>
        <w:rPr>
          <w:rFonts w:ascii="Times New Roman" w:hAnsi="Times New Roman" w:cs="Times New Roman"/>
        </w:rPr>
      </w:pPr>
    </w:p>
    <w:p w14:paraId="660166CD" w14:textId="77777777" w:rsidR="00582E0B" w:rsidRPr="008E3E98" w:rsidRDefault="00582E0B" w:rsidP="008E3E98">
      <w:pPr>
        <w:jc w:val="both"/>
        <w:rPr>
          <w:rFonts w:ascii="Times New Roman" w:hAnsi="Times New Roman" w:cs="Times New Roman"/>
        </w:rPr>
      </w:pPr>
      <w:r w:rsidRPr="00582E0B">
        <w:rPr>
          <w:rFonts w:ascii="Times New Roman" w:hAnsi="Times New Roman" w:cs="Times New Roman"/>
        </w:rPr>
        <w:t>This was further supported by descriptive analysis, where the variance-to-mean ratios for key outcomes ranged from 119 to 1,178, far exceeding the Poisson assumption of equal mean and variance (Payne et al., 2018). When overdispersion is present and ignored, standard errors tend to be underestimated, which can inflate test statistics and produce unreliable confidence intervals (Schober &amp; Vetter, 2021). Additionally, the estimated dispersion parameter (θ = 1.063) confirmed that the negative binomial model appropriately accounted for excess variability in the data.</w:t>
      </w:r>
    </w:p>
    <w:p w14:paraId="4A64BD64" w14:textId="77777777" w:rsidR="00582E0B" w:rsidRPr="00582E0B" w:rsidRDefault="00582E0B" w:rsidP="008E3E98">
      <w:pPr>
        <w:jc w:val="both"/>
        <w:rPr>
          <w:rFonts w:ascii="Times New Roman" w:hAnsi="Times New Roman" w:cs="Times New Roman"/>
        </w:rPr>
      </w:pPr>
    </w:p>
    <w:p w14:paraId="5ED1A974" w14:textId="77777777" w:rsidR="00582E0B" w:rsidRPr="00582E0B" w:rsidRDefault="00582E0B" w:rsidP="008E3E98">
      <w:pPr>
        <w:jc w:val="both"/>
        <w:rPr>
          <w:rFonts w:ascii="Times New Roman" w:hAnsi="Times New Roman" w:cs="Times New Roman"/>
        </w:rPr>
      </w:pPr>
      <w:r w:rsidRPr="00582E0B">
        <w:rPr>
          <w:rFonts w:ascii="Times New Roman" w:hAnsi="Times New Roman" w:cs="Times New Roman"/>
        </w:rPr>
        <w:lastRenderedPageBreak/>
        <w:t>Together, these diagnostics provide strong evidence that negative binomial regression is the correct modeling framework for this analysis.</w:t>
      </w:r>
    </w:p>
    <w:p w14:paraId="4504F259" w14:textId="77777777" w:rsidR="00582E0B" w:rsidRPr="008E3E98" w:rsidRDefault="00582E0B" w:rsidP="008E3E98">
      <w:pPr>
        <w:pStyle w:val="Heading2"/>
        <w:jc w:val="both"/>
        <w:rPr>
          <w:rFonts w:ascii="Times New Roman" w:hAnsi="Times New Roman" w:cs="Times New Roman"/>
          <w:sz w:val="24"/>
          <w:szCs w:val="24"/>
        </w:rPr>
      </w:pPr>
      <w:bookmarkStart w:id="21" w:name="_Toc228825818"/>
      <w:r w:rsidRPr="008E3E98">
        <w:rPr>
          <w:rFonts w:ascii="Times New Roman" w:hAnsi="Times New Roman" w:cs="Times New Roman"/>
          <w:sz w:val="24"/>
          <w:szCs w:val="24"/>
        </w:rPr>
        <w:t>3.4.2 Handling of Outliers and Data Constraints</w:t>
      </w:r>
      <w:bookmarkEnd w:id="21"/>
    </w:p>
    <w:p w14:paraId="69D215E6" w14:textId="77777777" w:rsidR="00582E0B" w:rsidRDefault="00582E0B" w:rsidP="008E3E98">
      <w:pPr>
        <w:jc w:val="both"/>
        <w:rPr>
          <w:rFonts w:ascii="Times New Roman" w:hAnsi="Times New Roman" w:cs="Times New Roman"/>
        </w:rPr>
      </w:pPr>
      <w:r w:rsidRPr="00582E0B">
        <w:rPr>
          <w:rFonts w:ascii="Times New Roman" w:hAnsi="Times New Roman" w:cs="Times New Roman"/>
        </w:rPr>
        <w:t xml:space="preserve">Several preprocessing steps were implemented to improve model stability and ensure reliable estimates. Lab event counts were </w:t>
      </w:r>
      <w:proofErr w:type="spellStart"/>
      <w:r w:rsidRPr="00582E0B">
        <w:rPr>
          <w:rFonts w:ascii="Times New Roman" w:hAnsi="Times New Roman" w:cs="Times New Roman"/>
        </w:rPr>
        <w:t>winsorized</w:t>
      </w:r>
      <w:proofErr w:type="spellEnd"/>
      <w:r w:rsidRPr="00582E0B">
        <w:rPr>
          <w:rFonts w:ascii="Times New Roman" w:hAnsi="Times New Roman" w:cs="Times New Roman"/>
        </w:rPr>
        <w:t xml:space="preserve"> at the 99th percentile to reduce the influence of extreme outliers while preserving the overall distribution of the data. Although this approach introduces a slight downward bias for the highest-burden encounters, it was necessary to support model convergence.</w:t>
      </w:r>
    </w:p>
    <w:p w14:paraId="355D31E6" w14:textId="77777777" w:rsidR="00D21F79" w:rsidRPr="00582E0B" w:rsidRDefault="00D21F79" w:rsidP="008E3E98">
      <w:pPr>
        <w:jc w:val="both"/>
        <w:rPr>
          <w:rFonts w:ascii="Times New Roman" w:hAnsi="Times New Roman" w:cs="Times New Roman"/>
        </w:rPr>
      </w:pPr>
    </w:p>
    <w:p w14:paraId="3B9F0307" w14:textId="77777777" w:rsidR="00582E0B" w:rsidRPr="008E3E98" w:rsidRDefault="00582E0B" w:rsidP="008E3E98">
      <w:pPr>
        <w:jc w:val="both"/>
        <w:rPr>
          <w:rFonts w:ascii="Times New Roman" w:hAnsi="Times New Roman" w:cs="Times New Roman"/>
        </w:rPr>
      </w:pPr>
      <w:r w:rsidRPr="00582E0B">
        <w:rPr>
          <w:rFonts w:ascii="Times New Roman" w:hAnsi="Times New Roman" w:cs="Times New Roman"/>
        </w:rPr>
        <w:t xml:space="preserve">In addition, ICU unit categories with small sample sizes (n &lt; 200) </w:t>
      </w:r>
      <w:proofErr w:type="gramStart"/>
      <w:r w:rsidRPr="00582E0B">
        <w:rPr>
          <w:rFonts w:ascii="Times New Roman" w:hAnsi="Times New Roman" w:cs="Times New Roman"/>
        </w:rPr>
        <w:t>were collapsed</w:t>
      </w:r>
      <w:proofErr w:type="gramEnd"/>
      <w:r w:rsidRPr="00582E0B">
        <w:rPr>
          <w:rFonts w:ascii="Times New Roman" w:hAnsi="Times New Roman" w:cs="Times New Roman"/>
        </w:rPr>
        <w:t xml:space="preserve"> into a single "Other" category. This prevented unstable or unreliable unit-level estimates driven by sparse data.</w:t>
      </w:r>
    </w:p>
    <w:p w14:paraId="5FEED94D" w14:textId="77777777" w:rsidR="00582E0B" w:rsidRPr="00582E0B" w:rsidRDefault="00582E0B" w:rsidP="008E3E98">
      <w:pPr>
        <w:jc w:val="both"/>
        <w:rPr>
          <w:rFonts w:ascii="Times New Roman" w:hAnsi="Times New Roman" w:cs="Times New Roman"/>
        </w:rPr>
      </w:pPr>
    </w:p>
    <w:p w14:paraId="5E4401A7" w14:textId="77777777" w:rsidR="00582E0B" w:rsidRDefault="00582E0B" w:rsidP="008E3E98">
      <w:pPr>
        <w:jc w:val="both"/>
        <w:rPr>
          <w:rFonts w:ascii="Times New Roman" w:hAnsi="Times New Roman" w:cs="Times New Roman"/>
        </w:rPr>
      </w:pPr>
      <w:r w:rsidRPr="00582E0B">
        <w:rPr>
          <w:rFonts w:ascii="Times New Roman" w:hAnsi="Times New Roman" w:cs="Times New Roman"/>
        </w:rPr>
        <w:t>Finally, ICU stays with a length of stay equal to zero days were excluded from the analysis. These observations do not represent meaningful exposure time and would distort rate-based interpretations within the regression framework.</w:t>
      </w:r>
    </w:p>
    <w:p w14:paraId="2F078F78" w14:textId="77777777" w:rsidR="00BB26C7" w:rsidRPr="00582E0B" w:rsidRDefault="00BB26C7" w:rsidP="008E3E98">
      <w:pPr>
        <w:jc w:val="both"/>
        <w:rPr>
          <w:rFonts w:ascii="Times New Roman" w:hAnsi="Times New Roman" w:cs="Times New Roman"/>
        </w:rPr>
      </w:pPr>
    </w:p>
    <w:p w14:paraId="0F136C97" w14:textId="77777777" w:rsidR="00582E0B" w:rsidRPr="008E3E98" w:rsidRDefault="00582E0B" w:rsidP="008E3E98">
      <w:pPr>
        <w:pStyle w:val="Heading2"/>
        <w:jc w:val="both"/>
        <w:rPr>
          <w:rFonts w:ascii="Times New Roman" w:hAnsi="Times New Roman" w:cs="Times New Roman"/>
          <w:sz w:val="24"/>
          <w:szCs w:val="24"/>
        </w:rPr>
      </w:pPr>
      <w:bookmarkStart w:id="22" w:name="_Toc228825819"/>
      <w:r w:rsidRPr="008E3E98">
        <w:rPr>
          <w:rFonts w:ascii="Times New Roman" w:hAnsi="Times New Roman" w:cs="Times New Roman"/>
          <w:sz w:val="24"/>
          <w:szCs w:val="24"/>
        </w:rPr>
        <w:t>3.4.3 Scenario Analysis</w:t>
      </w:r>
      <w:bookmarkEnd w:id="22"/>
    </w:p>
    <w:p w14:paraId="77399A38" w14:textId="78B4D673" w:rsidR="00582E0B" w:rsidRPr="008E3E98" w:rsidRDefault="00582E0B" w:rsidP="008E3E98">
      <w:pPr>
        <w:jc w:val="both"/>
        <w:rPr>
          <w:rFonts w:ascii="Times New Roman" w:hAnsi="Times New Roman" w:cs="Times New Roman"/>
        </w:rPr>
      </w:pPr>
      <w:r w:rsidRPr="00582E0B">
        <w:rPr>
          <w:rFonts w:ascii="Times New Roman" w:hAnsi="Times New Roman" w:cs="Times New Roman"/>
        </w:rPr>
        <w:t>To further explore the practical implications of alert burden, three suppression scenarios were developed to simulate potential reductions in clinical event volume. Scenario 1 simulated a 15% reduction in medication orders through deduplication. Scenario 2 simulated a 20% reduction in laboratory events through redundancy suppression. Scenario 3 applied both reductions simultaneously. These scenarios represent hypothetical reductions in alert-generating activity and are not based on observed interventions or measured system changes.</w:t>
      </w:r>
      <w:r w:rsidR="00E85C69">
        <w:rPr>
          <w:rFonts w:ascii="Times New Roman" w:hAnsi="Times New Roman" w:cs="Times New Roman"/>
        </w:rPr>
        <w:t xml:space="preserve"> </w:t>
      </w:r>
      <w:r w:rsidR="00E85C69" w:rsidRPr="00E85C69">
        <w:rPr>
          <w:rFonts w:ascii="Times New Roman" w:hAnsi="Times New Roman" w:cs="Times New Roman"/>
        </w:rPr>
        <w:t>The distribution of event burden under each scenario is illustrated in Figure 5.</w:t>
      </w:r>
    </w:p>
    <w:p w14:paraId="33A83DA3" w14:textId="77777777" w:rsidR="00582E0B" w:rsidRPr="00582E0B" w:rsidRDefault="00582E0B" w:rsidP="008E3E98">
      <w:pPr>
        <w:jc w:val="both"/>
        <w:rPr>
          <w:rFonts w:ascii="Times New Roman" w:hAnsi="Times New Roman" w:cs="Times New Roman"/>
        </w:rPr>
      </w:pPr>
    </w:p>
    <w:p w14:paraId="77DE4D7A" w14:textId="77777777" w:rsidR="00582E0B" w:rsidRDefault="00582E0B" w:rsidP="008E3E98">
      <w:pPr>
        <w:jc w:val="both"/>
        <w:rPr>
          <w:rFonts w:ascii="Times New Roman" w:hAnsi="Times New Roman" w:cs="Times New Roman"/>
        </w:rPr>
      </w:pPr>
      <w:r w:rsidRPr="00582E0B">
        <w:rPr>
          <w:rFonts w:ascii="Times New Roman" w:hAnsi="Times New Roman" w:cs="Times New Roman"/>
        </w:rPr>
        <w:t>The purpose of this analysis is to estimate how varying levels of alert suppression could impact overall event burden under controlled conditions. These simulated scenarios directly support Research Question 3 by providing a structured way to evaluate the potential effect of reducing alert volume on clinical workload in ICU settings.</w:t>
      </w:r>
    </w:p>
    <w:p w14:paraId="3B96C6B5" w14:textId="77777777" w:rsidR="00E85C69" w:rsidRDefault="00E85C69" w:rsidP="008E3E98">
      <w:pPr>
        <w:jc w:val="both"/>
        <w:rPr>
          <w:rFonts w:ascii="Times New Roman" w:hAnsi="Times New Roman" w:cs="Times New Roman"/>
        </w:rPr>
      </w:pPr>
    </w:p>
    <w:p w14:paraId="2B2B8970" w14:textId="77777777" w:rsidR="00E85C69" w:rsidRDefault="00E85C69" w:rsidP="008E3E98">
      <w:pPr>
        <w:jc w:val="both"/>
        <w:rPr>
          <w:rFonts w:ascii="Times New Roman" w:hAnsi="Times New Roman" w:cs="Times New Roman"/>
        </w:rPr>
      </w:pPr>
    </w:p>
    <w:p w14:paraId="1898567F" w14:textId="77777777" w:rsidR="00E85C69" w:rsidRDefault="00E85C69" w:rsidP="008E3E98">
      <w:pPr>
        <w:jc w:val="both"/>
        <w:rPr>
          <w:rFonts w:ascii="Times New Roman" w:hAnsi="Times New Roman" w:cs="Times New Roman"/>
        </w:rPr>
      </w:pPr>
    </w:p>
    <w:p w14:paraId="73FCD757" w14:textId="77777777" w:rsidR="00F1176A" w:rsidRDefault="00F1176A" w:rsidP="008E3E98">
      <w:pPr>
        <w:jc w:val="both"/>
        <w:rPr>
          <w:rFonts w:ascii="Times New Roman" w:hAnsi="Times New Roman" w:cs="Times New Roman"/>
        </w:rPr>
      </w:pPr>
    </w:p>
    <w:p w14:paraId="74094408" w14:textId="77777777" w:rsidR="00F1176A" w:rsidRDefault="00F1176A" w:rsidP="008E3E98">
      <w:pPr>
        <w:jc w:val="both"/>
        <w:rPr>
          <w:rFonts w:ascii="Times New Roman" w:hAnsi="Times New Roman" w:cs="Times New Roman"/>
        </w:rPr>
      </w:pPr>
    </w:p>
    <w:p w14:paraId="39544E33" w14:textId="77777777" w:rsidR="00F1176A" w:rsidRDefault="00F1176A" w:rsidP="008E3E98">
      <w:pPr>
        <w:jc w:val="both"/>
        <w:rPr>
          <w:rFonts w:ascii="Times New Roman" w:hAnsi="Times New Roman" w:cs="Times New Roman"/>
        </w:rPr>
      </w:pPr>
    </w:p>
    <w:p w14:paraId="6BE03029" w14:textId="77777777" w:rsidR="00F1176A" w:rsidRDefault="00F1176A" w:rsidP="008E3E98">
      <w:pPr>
        <w:jc w:val="both"/>
        <w:rPr>
          <w:rFonts w:ascii="Times New Roman" w:hAnsi="Times New Roman" w:cs="Times New Roman"/>
        </w:rPr>
      </w:pPr>
    </w:p>
    <w:p w14:paraId="4A3BA867" w14:textId="77777777" w:rsidR="00F1176A" w:rsidRDefault="00F1176A" w:rsidP="008E3E98">
      <w:pPr>
        <w:jc w:val="both"/>
        <w:rPr>
          <w:rFonts w:ascii="Times New Roman" w:hAnsi="Times New Roman" w:cs="Times New Roman"/>
        </w:rPr>
      </w:pPr>
    </w:p>
    <w:p w14:paraId="55F4E169" w14:textId="77777777" w:rsidR="00F1176A" w:rsidRDefault="00F1176A" w:rsidP="008E3E98">
      <w:pPr>
        <w:jc w:val="both"/>
        <w:rPr>
          <w:rFonts w:ascii="Times New Roman" w:hAnsi="Times New Roman" w:cs="Times New Roman"/>
        </w:rPr>
      </w:pPr>
    </w:p>
    <w:p w14:paraId="5B47C5DF" w14:textId="77777777" w:rsidR="00F1176A" w:rsidRDefault="00F1176A" w:rsidP="008E3E98">
      <w:pPr>
        <w:jc w:val="both"/>
        <w:rPr>
          <w:rFonts w:ascii="Times New Roman" w:hAnsi="Times New Roman" w:cs="Times New Roman"/>
        </w:rPr>
      </w:pPr>
    </w:p>
    <w:p w14:paraId="7B7D2243" w14:textId="77777777" w:rsidR="00F1176A" w:rsidRDefault="00F1176A" w:rsidP="008E3E98">
      <w:pPr>
        <w:jc w:val="both"/>
        <w:rPr>
          <w:rFonts w:ascii="Times New Roman" w:hAnsi="Times New Roman" w:cs="Times New Roman"/>
        </w:rPr>
      </w:pPr>
    </w:p>
    <w:p w14:paraId="1145120B" w14:textId="77777777" w:rsidR="00F1176A" w:rsidRDefault="00F1176A" w:rsidP="008E3E98">
      <w:pPr>
        <w:jc w:val="both"/>
        <w:rPr>
          <w:rFonts w:ascii="Times New Roman" w:hAnsi="Times New Roman" w:cs="Times New Roman"/>
        </w:rPr>
      </w:pPr>
    </w:p>
    <w:p w14:paraId="0BB18EE6" w14:textId="77777777" w:rsidR="00F1176A" w:rsidRDefault="00F1176A" w:rsidP="008E3E98">
      <w:pPr>
        <w:jc w:val="both"/>
        <w:rPr>
          <w:rFonts w:ascii="Times New Roman" w:hAnsi="Times New Roman" w:cs="Times New Roman"/>
        </w:rPr>
      </w:pPr>
    </w:p>
    <w:p w14:paraId="3CA2AD7E" w14:textId="77777777" w:rsidR="00E85C69" w:rsidRDefault="00E85C69" w:rsidP="008E3E98">
      <w:pPr>
        <w:jc w:val="both"/>
        <w:rPr>
          <w:rFonts w:ascii="Times New Roman" w:hAnsi="Times New Roman" w:cs="Times New Roman"/>
        </w:rPr>
      </w:pPr>
    </w:p>
    <w:p w14:paraId="2688ECF4" w14:textId="77777777" w:rsidR="00E85C69" w:rsidRDefault="00E85C69" w:rsidP="00E85C69">
      <w:pPr>
        <w:pStyle w:val="Heading4"/>
        <w:rPr>
          <w:rFonts w:ascii="Times New Roman" w:hAnsi="Times New Roman" w:cs="Times New Roman"/>
        </w:rPr>
      </w:pPr>
      <w:r w:rsidRPr="00E85C69">
        <w:rPr>
          <w:rFonts w:ascii="Times New Roman" w:hAnsi="Times New Roman" w:cs="Times New Roman"/>
        </w:rPr>
        <w:lastRenderedPageBreak/>
        <w:t xml:space="preserve">Figure 5. </w:t>
      </w:r>
    </w:p>
    <w:p w14:paraId="7264E89C" w14:textId="77777777" w:rsidR="00E85C69" w:rsidRDefault="00E85C69" w:rsidP="008E3E98">
      <w:pPr>
        <w:jc w:val="both"/>
        <w:rPr>
          <w:rFonts w:ascii="Times New Roman" w:hAnsi="Times New Roman" w:cs="Times New Roman"/>
        </w:rPr>
      </w:pPr>
    </w:p>
    <w:p w14:paraId="70484617" w14:textId="1FB5C822" w:rsidR="00E85C69" w:rsidRPr="00582E0B" w:rsidRDefault="00E85C69" w:rsidP="008E3E98">
      <w:pPr>
        <w:jc w:val="both"/>
        <w:rPr>
          <w:rFonts w:ascii="Times New Roman" w:hAnsi="Times New Roman" w:cs="Times New Roman"/>
        </w:rPr>
      </w:pPr>
      <w:r w:rsidRPr="008E3E98">
        <w:rPr>
          <w:rFonts w:ascii="Times New Roman" w:hAnsi="Times New Roman" w:cs="Times New Roman"/>
          <w:i/>
          <w:iCs/>
          <w:noProof/>
          <w:color w:val="999999"/>
        </w:rPr>
        <w:drawing>
          <wp:inline distT="0" distB="0" distL="0" distR="0" wp14:anchorId="1BCB89DC" wp14:editId="354B42BA">
            <wp:extent cx="5943327" cy="3904091"/>
            <wp:effectExtent l="0" t="0" r="635" b="1270"/>
            <wp:docPr id="1101040164" name="Pictur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86547" name="Picture 1">
                      <a:hlinkClick r:id="rId12"/>
                    </pic:cNvPr>
                    <pic:cNvPicPr/>
                  </pic:nvPicPr>
                  <pic:blipFill rotWithShape="1">
                    <a:blip r:embed="rId13"/>
                    <a:srcRect b="10676"/>
                    <a:stretch>
                      <a:fillRect/>
                    </a:stretch>
                  </pic:blipFill>
                  <pic:spPr bwMode="auto">
                    <a:xfrm>
                      <a:off x="0" y="0"/>
                      <a:ext cx="5943600" cy="3904271"/>
                    </a:xfrm>
                    <a:prstGeom prst="rect">
                      <a:avLst/>
                    </a:prstGeom>
                    <a:ln>
                      <a:noFill/>
                    </a:ln>
                    <a:extLst>
                      <a:ext uri="{53640926-AAD7-44D8-BBD7-CCE9431645EC}">
                        <a14:shadowObscured xmlns:a14="http://schemas.microsoft.com/office/drawing/2010/main"/>
                      </a:ext>
                    </a:extLst>
                  </pic:spPr>
                </pic:pic>
              </a:graphicData>
            </a:graphic>
          </wp:inline>
        </w:drawing>
      </w:r>
    </w:p>
    <w:p w14:paraId="3EF99840" w14:textId="77777777" w:rsidR="00E85C69" w:rsidRDefault="00E85C69" w:rsidP="008E3E98">
      <w:pPr>
        <w:jc w:val="both"/>
        <w:rPr>
          <w:rFonts w:ascii="Times New Roman" w:hAnsi="Times New Roman" w:cs="Times New Roman"/>
        </w:rPr>
      </w:pPr>
    </w:p>
    <w:p w14:paraId="667E2567" w14:textId="77777777" w:rsidR="00E85C69" w:rsidRDefault="00E85C69" w:rsidP="008E3E98">
      <w:pPr>
        <w:jc w:val="both"/>
        <w:rPr>
          <w:rFonts w:ascii="Times New Roman" w:hAnsi="Times New Roman" w:cs="Times New Roman"/>
        </w:rPr>
      </w:pPr>
    </w:p>
    <w:p w14:paraId="254DAE3A" w14:textId="58383215" w:rsidR="00D14598" w:rsidRPr="00E85C69" w:rsidRDefault="00E85C69" w:rsidP="00E85C69">
      <w:pPr>
        <w:jc w:val="both"/>
        <w:rPr>
          <w:rFonts w:ascii="Times New Roman" w:hAnsi="Times New Roman" w:cs="Times New Roman"/>
        </w:rPr>
      </w:pPr>
      <w:r w:rsidRPr="00E85C69">
        <w:rPr>
          <w:rFonts w:ascii="Times New Roman" w:hAnsi="Times New Roman" w:cs="Times New Roman"/>
        </w:rPr>
        <w:t>Estimated CDS event burden under three suppression scenarios compared to baseline. S1 = medication order deduplication (−15%); S2 = laboratory event suppression (−20%); S3 = combined strategy. Events truncated at 3,000 for readability. MIMIC-IV, n = 94,444.</w:t>
      </w:r>
      <w:r w:rsidRPr="00E85C69">
        <w:rPr>
          <w:rFonts w:ascii="Times New Roman" w:hAnsi="Times New Roman" w:cs="Times New Roman"/>
        </w:rPr>
        <w:br w:type="page"/>
      </w:r>
    </w:p>
    <w:p w14:paraId="3021B573" w14:textId="77777777" w:rsidR="00D14598" w:rsidRPr="008E3E98" w:rsidRDefault="00000000" w:rsidP="008E3E98">
      <w:pPr>
        <w:pStyle w:val="Heading1"/>
        <w:jc w:val="both"/>
        <w:rPr>
          <w:rFonts w:ascii="Times New Roman" w:hAnsi="Times New Roman" w:cs="Times New Roman"/>
          <w:sz w:val="24"/>
          <w:szCs w:val="24"/>
        </w:rPr>
      </w:pPr>
      <w:bookmarkStart w:id="23" w:name="_Toc228825820"/>
      <w:r w:rsidRPr="008E3E98">
        <w:rPr>
          <w:rFonts w:ascii="Times New Roman" w:hAnsi="Times New Roman" w:cs="Times New Roman"/>
          <w:sz w:val="24"/>
          <w:szCs w:val="24"/>
        </w:rPr>
        <w:lastRenderedPageBreak/>
        <w:t>4. Results and Discussion</w:t>
      </w:r>
      <w:bookmarkEnd w:id="23"/>
    </w:p>
    <w:p w14:paraId="183ABE7E" w14:textId="77777777" w:rsidR="00D14598" w:rsidRPr="008E3E98" w:rsidRDefault="00000000" w:rsidP="008E3E98">
      <w:pPr>
        <w:pStyle w:val="Heading2"/>
        <w:jc w:val="both"/>
        <w:rPr>
          <w:rFonts w:ascii="Times New Roman" w:hAnsi="Times New Roman" w:cs="Times New Roman"/>
          <w:sz w:val="24"/>
          <w:szCs w:val="24"/>
        </w:rPr>
      </w:pPr>
      <w:bookmarkStart w:id="24" w:name="_Toc228825821"/>
      <w:r w:rsidRPr="008E3E98">
        <w:rPr>
          <w:rFonts w:ascii="Times New Roman" w:hAnsi="Times New Roman" w:cs="Times New Roman"/>
          <w:sz w:val="24"/>
          <w:szCs w:val="24"/>
        </w:rPr>
        <w:t>4.1 Descriptive Statistics</w:t>
      </w:r>
      <w:bookmarkEnd w:id="24"/>
    </w:p>
    <w:p w14:paraId="1726536A" w14:textId="77777777" w:rsidR="003869EF" w:rsidRPr="008E3E98" w:rsidRDefault="003869EF" w:rsidP="008E3E98">
      <w:pPr>
        <w:pBdr>
          <w:bottom w:val="dashed" w:sz="4" w:space="23" w:color="CCCCCC"/>
        </w:pBdr>
        <w:spacing w:before="120" w:after="120"/>
        <w:jc w:val="both"/>
        <w:rPr>
          <w:rFonts w:ascii="Times New Roman" w:hAnsi="Times New Roman" w:cs="Times New Roman"/>
        </w:rPr>
      </w:pPr>
      <w:r w:rsidRPr="008E3E98">
        <w:rPr>
          <w:rFonts w:ascii="Times New Roman" w:hAnsi="Times New Roman" w:cs="Times New Roman"/>
        </w:rPr>
        <w:t>The final analytic dataset included 94,444 ICU stays drawn from MIMIC-IV, spanning a diverse range of care settings including medical, surgical, cardiovascular, and neurology units. Patient ages ranged from 18 to 91 years (mean = 63.0), and the cohort was 56% male and 44% female.</w:t>
      </w:r>
    </w:p>
    <w:p w14:paraId="345AD75C" w14:textId="1D203A18" w:rsidR="003869EF" w:rsidRPr="008E3E98" w:rsidRDefault="003869EF" w:rsidP="008E3E98">
      <w:pPr>
        <w:pBdr>
          <w:bottom w:val="dashed" w:sz="4" w:space="23" w:color="CCCCCC"/>
        </w:pBdr>
        <w:spacing w:before="120" w:after="120"/>
        <w:jc w:val="both"/>
        <w:rPr>
          <w:rFonts w:ascii="Times New Roman" w:hAnsi="Times New Roman" w:cs="Times New Roman"/>
        </w:rPr>
      </w:pPr>
      <w:r w:rsidRPr="008E3E98">
        <w:rPr>
          <w:rFonts w:ascii="Times New Roman" w:hAnsi="Times New Roman" w:cs="Times New Roman"/>
        </w:rPr>
        <w:t xml:space="preserve">ICU length of stay was right-skewed, with most patients staying only a few days. The median was 2.0 days, but some stays lasted more than 30 days, reaching a maximum of 226 days. Because of this wide range, it makes more sense to examine event rates per </w:t>
      </w:r>
      <w:proofErr w:type="gramStart"/>
      <w:r w:rsidRPr="008E3E98">
        <w:rPr>
          <w:rFonts w:ascii="Times New Roman" w:hAnsi="Times New Roman" w:cs="Times New Roman"/>
        </w:rPr>
        <w:t>ICU day</w:t>
      </w:r>
      <w:proofErr w:type="gramEnd"/>
      <w:r w:rsidRPr="008E3E98">
        <w:rPr>
          <w:rFonts w:ascii="Times New Roman" w:hAnsi="Times New Roman" w:cs="Times New Roman"/>
        </w:rPr>
        <w:t xml:space="preserve"> rather than raw totals. Otherwise, longer stays would distort the analysis, regardless of how intense the care </w:t>
      </w:r>
      <w:proofErr w:type="gramStart"/>
      <w:r w:rsidRPr="008E3E98">
        <w:rPr>
          <w:rFonts w:ascii="Times New Roman" w:hAnsi="Times New Roman" w:cs="Times New Roman"/>
        </w:rPr>
        <w:t>actually was</w:t>
      </w:r>
      <w:proofErr w:type="gramEnd"/>
      <w:r w:rsidRPr="008E3E98">
        <w:rPr>
          <w:rFonts w:ascii="Times New Roman" w:hAnsi="Times New Roman" w:cs="Times New Roman"/>
        </w:rPr>
        <w:t>.</w:t>
      </w:r>
    </w:p>
    <w:p w14:paraId="1C04B3B3" w14:textId="4FB8DD64" w:rsidR="003869EF" w:rsidRPr="008E3E98" w:rsidRDefault="003869EF" w:rsidP="008E3E98">
      <w:pPr>
        <w:pBdr>
          <w:bottom w:val="dashed" w:sz="4" w:space="23" w:color="CCCCCC"/>
        </w:pBdr>
        <w:spacing w:before="120" w:after="120"/>
        <w:jc w:val="both"/>
        <w:rPr>
          <w:rFonts w:ascii="Times New Roman" w:hAnsi="Times New Roman" w:cs="Times New Roman"/>
        </w:rPr>
      </w:pPr>
      <w:r w:rsidRPr="008E3E98">
        <w:rPr>
          <w:rFonts w:ascii="Times New Roman" w:hAnsi="Times New Roman" w:cs="Times New Roman"/>
        </w:rPr>
        <w:t xml:space="preserve">Medication order volume varied </w:t>
      </w:r>
      <w:r w:rsidR="00FF5DD0" w:rsidRPr="008E3E98">
        <w:rPr>
          <w:rFonts w:ascii="Times New Roman" w:hAnsi="Times New Roman" w:cs="Times New Roman"/>
        </w:rPr>
        <w:t>across</w:t>
      </w:r>
      <w:r w:rsidRPr="008E3E98">
        <w:rPr>
          <w:rFonts w:ascii="Times New Roman" w:hAnsi="Times New Roman" w:cs="Times New Roman"/>
        </w:rPr>
        <w:t xml:space="preserve"> encounters. Most patients received a moderate number of orders, but a small proportion of high-acuity admissions accounted for disproportionately high order volumes. Temporal patterns revealed that 81.4% of medication orders occurred during the day (7am–3pm) and evening (3pm–11pm) shifts. The highest concentration of orders occurred at 8am (10.7%), 8pm (9.0%), and 10am (7.2%), suggesting that alert burden is heavily concentrated </w:t>
      </w:r>
      <w:proofErr w:type="gramStart"/>
      <w:r w:rsidRPr="008E3E98">
        <w:rPr>
          <w:rFonts w:ascii="Times New Roman" w:hAnsi="Times New Roman" w:cs="Times New Roman"/>
        </w:rPr>
        <w:t>around morning</w:t>
      </w:r>
      <w:proofErr w:type="gramEnd"/>
      <w:r w:rsidRPr="008E3E98">
        <w:rPr>
          <w:rFonts w:ascii="Times New Roman" w:hAnsi="Times New Roman" w:cs="Times New Roman"/>
        </w:rPr>
        <w:t xml:space="preserve"> clinical rounds and shift transitions.</w:t>
      </w:r>
    </w:p>
    <w:p w14:paraId="7B6E943E" w14:textId="77777777" w:rsidR="003869EF" w:rsidRPr="008E3E98" w:rsidRDefault="003869EF" w:rsidP="008E3E98">
      <w:pPr>
        <w:pBdr>
          <w:bottom w:val="dashed" w:sz="4" w:space="23" w:color="CCCCCC"/>
        </w:pBdr>
        <w:spacing w:before="120" w:after="120"/>
        <w:jc w:val="both"/>
        <w:rPr>
          <w:rFonts w:ascii="Times New Roman" w:hAnsi="Times New Roman" w:cs="Times New Roman"/>
        </w:rPr>
      </w:pPr>
      <w:r w:rsidRPr="008E3E98">
        <w:rPr>
          <w:rFonts w:ascii="Times New Roman" w:hAnsi="Times New Roman" w:cs="Times New Roman"/>
        </w:rPr>
        <w:t xml:space="preserve">Lab event counts were also </w:t>
      </w:r>
      <w:proofErr w:type="gramStart"/>
      <w:r w:rsidRPr="008E3E98">
        <w:rPr>
          <w:rFonts w:ascii="Times New Roman" w:hAnsi="Times New Roman" w:cs="Times New Roman"/>
        </w:rPr>
        <w:t>right-skewed</w:t>
      </w:r>
      <w:proofErr w:type="gramEnd"/>
      <w:r w:rsidRPr="008E3E98">
        <w:rPr>
          <w:rFonts w:ascii="Times New Roman" w:hAnsi="Times New Roman" w:cs="Times New Roman"/>
        </w:rPr>
        <w:t xml:space="preserve">. To keep outliers from distorting the analysis, I </w:t>
      </w:r>
      <w:proofErr w:type="spellStart"/>
      <w:r w:rsidRPr="008E3E98">
        <w:rPr>
          <w:rFonts w:ascii="Times New Roman" w:hAnsi="Times New Roman" w:cs="Times New Roman"/>
        </w:rPr>
        <w:t>winsorized</w:t>
      </w:r>
      <w:proofErr w:type="spellEnd"/>
      <w:r w:rsidRPr="008E3E98">
        <w:rPr>
          <w:rFonts w:ascii="Times New Roman" w:hAnsi="Times New Roman" w:cs="Times New Roman"/>
        </w:rPr>
        <w:t xml:space="preserve"> lab counts at the 99th percentile, which left most data points unchanged. Lab activity tracked closely with medication orders, so patients with more complex needs generated more events across the board.</w:t>
      </w:r>
    </w:p>
    <w:p w14:paraId="5C3A13E5" w14:textId="77777777" w:rsidR="003869EF" w:rsidRPr="008E3E98" w:rsidRDefault="003869EF" w:rsidP="008E3E98">
      <w:pPr>
        <w:pBdr>
          <w:bottom w:val="dashed" w:sz="4" w:space="23" w:color="CCCCCC"/>
        </w:pBdr>
        <w:spacing w:before="120" w:after="120"/>
        <w:jc w:val="both"/>
        <w:rPr>
          <w:rFonts w:ascii="Times New Roman" w:hAnsi="Times New Roman" w:cs="Times New Roman"/>
        </w:rPr>
      </w:pPr>
      <w:r w:rsidRPr="008E3E98">
        <w:rPr>
          <w:rFonts w:ascii="Times New Roman" w:hAnsi="Times New Roman" w:cs="Times New Roman"/>
        </w:rPr>
        <w:t>To further characterize short-term spikes in clinical activity, a burst metric was constructed to capture the maximum number of medication orders placed within any 60-minute window per admission. The median burst intensity was 18 orders per hour. Using thresholds of 10, 20, and 30 orders per hour, encounters were categorized into low, moderate, high, and very high intensity groups. This metric highlights periods of concentrated workflow pressure, where alert systems are likely to experience the greatest instantaneous load, independent of total length of stay.</w:t>
      </w:r>
    </w:p>
    <w:p w14:paraId="3B1A1E52" w14:textId="26E9E2B8" w:rsidR="003869EF" w:rsidRDefault="003869EF" w:rsidP="008E3E98">
      <w:pPr>
        <w:pBdr>
          <w:bottom w:val="dashed" w:sz="4" w:space="23" w:color="CCCCCC"/>
        </w:pBdr>
        <w:spacing w:before="120" w:after="120"/>
        <w:jc w:val="both"/>
        <w:rPr>
          <w:rFonts w:ascii="Times New Roman" w:hAnsi="Times New Roman" w:cs="Times New Roman"/>
        </w:rPr>
      </w:pPr>
      <w:r w:rsidRPr="008E3E98">
        <w:rPr>
          <w:rFonts w:ascii="Times New Roman" w:hAnsi="Times New Roman" w:cs="Times New Roman"/>
        </w:rPr>
        <w:t>Across all outcome measures</w:t>
      </w:r>
      <w:r w:rsidR="008E3E98">
        <w:rPr>
          <w:rFonts w:ascii="Times New Roman" w:hAnsi="Times New Roman" w:cs="Times New Roman"/>
        </w:rPr>
        <w:t>, medication orders per day, laboratory events per day, and total CDS-triggering events per day,</w:t>
      </w:r>
      <w:r w:rsidRPr="008E3E98">
        <w:rPr>
          <w:rFonts w:ascii="Times New Roman" w:hAnsi="Times New Roman" w:cs="Times New Roman"/>
        </w:rPr>
        <w:t xml:space="preserve"> the distributions were highly right-skewed and exhibited substantial overdispersion, with variance-to-mean ratios ranging from 119 to 1,178. These distributional characteristics confirm that standard linear and Poisson regression approaches are not appropriate for this data and support the use of negative binomial regression for subsequent modeling.</w:t>
      </w:r>
    </w:p>
    <w:p w14:paraId="09780902" w14:textId="77777777" w:rsidR="008E3E98" w:rsidRDefault="008E3E98" w:rsidP="008E3E98">
      <w:pPr>
        <w:pBdr>
          <w:bottom w:val="dashed" w:sz="4" w:space="23" w:color="CCCCCC"/>
        </w:pBdr>
        <w:spacing w:before="120" w:after="120"/>
        <w:jc w:val="both"/>
        <w:rPr>
          <w:rFonts w:ascii="Times New Roman" w:hAnsi="Times New Roman" w:cs="Times New Roman"/>
        </w:rPr>
      </w:pPr>
    </w:p>
    <w:p w14:paraId="1F58E898" w14:textId="77777777" w:rsidR="008E3E98" w:rsidRDefault="008E3E98" w:rsidP="008E3E98">
      <w:pPr>
        <w:pBdr>
          <w:bottom w:val="dashed" w:sz="4" w:space="23" w:color="CCCCCC"/>
        </w:pBdr>
        <w:spacing w:before="120" w:after="120"/>
        <w:jc w:val="both"/>
        <w:rPr>
          <w:rFonts w:ascii="Times New Roman" w:hAnsi="Times New Roman" w:cs="Times New Roman"/>
        </w:rPr>
      </w:pPr>
    </w:p>
    <w:p w14:paraId="15C3BB3E" w14:textId="77777777" w:rsidR="008E3E98" w:rsidRDefault="008E3E98" w:rsidP="008E3E98">
      <w:pPr>
        <w:pBdr>
          <w:bottom w:val="dashed" w:sz="4" w:space="23" w:color="CCCCCC"/>
        </w:pBdr>
        <w:spacing w:before="120" w:after="120"/>
        <w:jc w:val="both"/>
        <w:rPr>
          <w:rFonts w:ascii="Times New Roman" w:hAnsi="Times New Roman" w:cs="Times New Roman"/>
        </w:rPr>
      </w:pPr>
    </w:p>
    <w:p w14:paraId="516F96B3" w14:textId="77777777" w:rsidR="008E3E98" w:rsidRDefault="008E3E98" w:rsidP="008E3E98">
      <w:pPr>
        <w:pBdr>
          <w:bottom w:val="dashed" w:sz="4" w:space="23" w:color="CCCCCC"/>
        </w:pBdr>
        <w:spacing w:before="120" w:after="120"/>
        <w:jc w:val="both"/>
        <w:rPr>
          <w:rFonts w:ascii="Times New Roman" w:hAnsi="Times New Roman" w:cs="Times New Roman"/>
        </w:rPr>
      </w:pPr>
    </w:p>
    <w:p w14:paraId="185AB9BF" w14:textId="77777777" w:rsidR="008E3E98" w:rsidRDefault="008E3E98" w:rsidP="008E3E98">
      <w:pPr>
        <w:pBdr>
          <w:bottom w:val="dashed" w:sz="4" w:space="23" w:color="CCCCCC"/>
        </w:pBdr>
        <w:spacing w:before="120" w:after="120"/>
        <w:jc w:val="both"/>
        <w:rPr>
          <w:rFonts w:ascii="Times New Roman" w:hAnsi="Times New Roman" w:cs="Times New Roman"/>
        </w:rPr>
      </w:pPr>
    </w:p>
    <w:p w14:paraId="3D270FB5" w14:textId="77777777" w:rsidR="008E3E98" w:rsidRDefault="008E3E98" w:rsidP="008E3E98">
      <w:pPr>
        <w:pBdr>
          <w:bottom w:val="dashed" w:sz="4" w:space="23" w:color="CCCCCC"/>
        </w:pBdr>
        <w:spacing w:before="120" w:after="120"/>
        <w:jc w:val="both"/>
        <w:rPr>
          <w:rFonts w:ascii="Times New Roman" w:hAnsi="Times New Roman" w:cs="Times New Roman"/>
        </w:rPr>
      </w:pPr>
    </w:p>
    <w:p w14:paraId="7051AC6D" w14:textId="77777777" w:rsidR="008E3E98" w:rsidRPr="008E3E98" w:rsidRDefault="008E3E98" w:rsidP="008E3E98">
      <w:pPr>
        <w:pBdr>
          <w:bottom w:val="dashed" w:sz="4" w:space="23" w:color="CCCCCC"/>
        </w:pBdr>
        <w:spacing w:before="120" w:after="120"/>
        <w:jc w:val="both"/>
        <w:rPr>
          <w:rFonts w:ascii="Times New Roman" w:hAnsi="Times New Roman" w:cs="Times New Roman"/>
        </w:rPr>
      </w:pPr>
    </w:p>
    <w:p w14:paraId="4DCA8422" w14:textId="20E274FD" w:rsidR="00D14598" w:rsidRPr="008E3E98" w:rsidRDefault="00000000" w:rsidP="008E3E98">
      <w:pPr>
        <w:pStyle w:val="Heading2"/>
        <w:jc w:val="both"/>
        <w:rPr>
          <w:rFonts w:ascii="Times New Roman" w:hAnsi="Times New Roman" w:cs="Times New Roman"/>
          <w:b w:val="0"/>
          <w:bCs w:val="0"/>
          <w:sz w:val="24"/>
          <w:szCs w:val="24"/>
        </w:rPr>
      </w:pPr>
      <w:bookmarkStart w:id="25" w:name="_Toc228825822"/>
      <w:r w:rsidRPr="008E3E98">
        <w:rPr>
          <w:rFonts w:ascii="Times New Roman" w:hAnsi="Times New Roman" w:cs="Times New Roman"/>
          <w:sz w:val="24"/>
          <w:szCs w:val="24"/>
        </w:rPr>
        <w:lastRenderedPageBreak/>
        <w:t>4.2 Model Results — Medication Orders (</w:t>
      </w:r>
      <w:proofErr w:type="spellStart"/>
      <w:r w:rsidRPr="008E3E98">
        <w:rPr>
          <w:rFonts w:ascii="Times New Roman" w:hAnsi="Times New Roman" w:cs="Times New Roman"/>
          <w:sz w:val="24"/>
          <w:szCs w:val="24"/>
        </w:rPr>
        <w:t>rx_per_day</w:t>
      </w:r>
      <w:proofErr w:type="spellEnd"/>
      <w:r w:rsidRPr="008E3E98">
        <w:rPr>
          <w:rFonts w:ascii="Times New Roman" w:hAnsi="Times New Roman" w:cs="Times New Roman"/>
          <w:sz w:val="24"/>
          <w:szCs w:val="24"/>
        </w:rPr>
        <w:t>)</w:t>
      </w:r>
      <w:bookmarkEnd w:id="25"/>
    </w:p>
    <w:p w14:paraId="1B502E43" w14:textId="77777777" w:rsidR="00DB16F0" w:rsidRDefault="00DB16F0"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 xml:space="preserve">Negative binomial regression was used to model medication orders per </w:t>
      </w:r>
      <w:proofErr w:type="gramStart"/>
      <w:r w:rsidRPr="008E3E98">
        <w:rPr>
          <w:rFonts w:ascii="Times New Roman" w:hAnsi="Times New Roman" w:cs="Times New Roman"/>
        </w:rPr>
        <w:t>ICU day</w:t>
      </w:r>
      <w:proofErr w:type="gramEnd"/>
      <w:r w:rsidRPr="008E3E98">
        <w:rPr>
          <w:rFonts w:ascii="Times New Roman" w:hAnsi="Times New Roman" w:cs="Times New Roman"/>
        </w:rPr>
        <w:t>, with ICU unit type, patient age, and gender included as predictors and log-transformed ICU length of stay specified as an offset. Results are reported as Incidence Rate Ratios (IRRs), where values greater than 1.0 indicate higher medication ordering rates relative to the cardiovascular ICU (CVICU) reference group, and values less than 1.0 indicate lower rates. Full model results are presented in Table 7.</w:t>
      </w:r>
    </w:p>
    <w:p w14:paraId="6E0B9289" w14:textId="77777777" w:rsidR="00DB16F0" w:rsidRPr="008E3E98" w:rsidRDefault="00DB16F0"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ICU unit type emerged as a strong and statistically significant predictor of medication ordering intensity. The Post-Anesthesia Care Unit (PACU) exhibited the highest burden, with patients generating approximately 620% more medication orders per day than CVICU patients (IRR = 7.205, 95% CI: 6.039–8.672, p &lt; 0.0001). In contrast, Neuro Intermediate patients had substantially lower ordering rates, generating approximately 69% fewer medication orders per day (IRR = 0.310, 95% CI: 0.300–0.319, p &lt; 0.0001).</w:t>
      </w:r>
    </w:p>
    <w:p w14:paraId="4D017593" w14:textId="04B18D83" w:rsidR="00DB16F0" w:rsidRPr="008E3E98" w:rsidRDefault="00DB16F0"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Several additional units also demonstrated significantly lower medication ordering rates compared to CVICU. These included the Medicine unit (IRR = 0.297, p &lt; 0.0001), Neuro Stepdown (IRR = 0.351, p &lt; 0.0001), Medical ICU (MICU) (IRR = 0.816, p &lt; 0.0001), and Surgical ICU (SICU) (IRR = 0.853, p &lt; 0.0001). Two units—Med/Surg and Trauma SICU</w:t>
      </w:r>
      <w:r w:rsidR="00875E6E" w:rsidRPr="008E3E98">
        <w:rPr>
          <w:rFonts w:ascii="Times New Roman" w:hAnsi="Times New Roman" w:cs="Times New Roman"/>
        </w:rPr>
        <w:t xml:space="preserve"> </w:t>
      </w:r>
      <w:r w:rsidRPr="008E3E98">
        <w:rPr>
          <w:rFonts w:ascii="Times New Roman" w:hAnsi="Times New Roman" w:cs="Times New Roman"/>
        </w:rPr>
        <w:t>did not show statistically significant differences from CVICU (p = 0.583 and p = 0.542, respectively), indicating comparable prescribing intensity after adjusting for covariates.</w:t>
      </w:r>
    </w:p>
    <w:p w14:paraId="4C086025" w14:textId="77777777" w:rsidR="00DB16F0" w:rsidRPr="008E3E98" w:rsidRDefault="00DB16F0"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Patient age was a statistically significant predictor of medication ordering rates (IRR = 0.998, 95% CI: 0.997–0.998, p &lt; 0.0001), though the effect size was minimal. Each additional year of age was associated with an approximate 0.2% decrease in daily medication orders, suggesting that age has a measurable but limited practical impact on prescribing intensity.</w:t>
      </w:r>
    </w:p>
    <w:p w14:paraId="41F31093" w14:textId="77777777" w:rsidR="00582E0B" w:rsidRDefault="00DB16F0"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Gender was not a statistically significant predictor (IRR = 1.006, 95% CI: 0.993–1.019, p = 0.358), indicating that male and female patients experienced comparable medication ordering rates after controlling for ICU unit type, age, and length of stay. Overall, these findings suggest that medication ordering intensity in the ICU is driven primarily by the clinical environment and unit-specific workflows rather than by patient demographic characteristics.</w:t>
      </w:r>
    </w:p>
    <w:p w14:paraId="7FC28246" w14:textId="77777777" w:rsidR="00ED2E33" w:rsidRDefault="00ED2E33" w:rsidP="008E3E98">
      <w:pPr>
        <w:pBdr>
          <w:bottom w:val="dashed" w:sz="4" w:space="0" w:color="CCCCCC"/>
        </w:pBdr>
        <w:spacing w:before="120" w:after="120"/>
        <w:jc w:val="both"/>
        <w:rPr>
          <w:rFonts w:ascii="Times New Roman" w:hAnsi="Times New Roman" w:cs="Times New Roman"/>
        </w:rPr>
      </w:pPr>
    </w:p>
    <w:p w14:paraId="71E68431" w14:textId="77777777" w:rsidR="00521D70" w:rsidRDefault="00521D70" w:rsidP="00ED2E33">
      <w:pPr>
        <w:pStyle w:val="Heading4"/>
        <w:rPr>
          <w:rFonts w:ascii="Times New Roman" w:hAnsi="Times New Roman" w:cs="Times New Roman"/>
        </w:rPr>
      </w:pPr>
    </w:p>
    <w:p w14:paraId="0B8EA69B" w14:textId="77777777" w:rsidR="00521D70" w:rsidRDefault="00521D70" w:rsidP="00ED2E33">
      <w:pPr>
        <w:pStyle w:val="Heading4"/>
        <w:rPr>
          <w:rFonts w:ascii="Times New Roman" w:hAnsi="Times New Roman" w:cs="Times New Roman"/>
        </w:rPr>
      </w:pPr>
    </w:p>
    <w:p w14:paraId="09E60057" w14:textId="77777777" w:rsidR="00521D70" w:rsidRDefault="00521D70" w:rsidP="00ED2E33">
      <w:pPr>
        <w:pStyle w:val="Heading4"/>
        <w:rPr>
          <w:rFonts w:ascii="Times New Roman" w:hAnsi="Times New Roman" w:cs="Times New Roman"/>
        </w:rPr>
      </w:pPr>
    </w:p>
    <w:p w14:paraId="5C15BD62" w14:textId="77777777" w:rsidR="00521D70" w:rsidRDefault="00521D70" w:rsidP="00ED2E33">
      <w:pPr>
        <w:pStyle w:val="Heading4"/>
        <w:rPr>
          <w:rFonts w:ascii="Times New Roman" w:hAnsi="Times New Roman" w:cs="Times New Roman"/>
        </w:rPr>
      </w:pPr>
    </w:p>
    <w:p w14:paraId="66F7EBC1" w14:textId="77777777" w:rsidR="00521D70" w:rsidRDefault="00521D70" w:rsidP="00ED2E33">
      <w:pPr>
        <w:pStyle w:val="Heading4"/>
        <w:rPr>
          <w:rFonts w:ascii="Times New Roman" w:hAnsi="Times New Roman" w:cs="Times New Roman"/>
        </w:rPr>
      </w:pPr>
    </w:p>
    <w:p w14:paraId="67A1FE2F" w14:textId="77777777" w:rsidR="00521D70" w:rsidRDefault="00521D70" w:rsidP="00ED2E33">
      <w:pPr>
        <w:pStyle w:val="Heading4"/>
        <w:rPr>
          <w:rFonts w:ascii="Times New Roman" w:hAnsi="Times New Roman" w:cs="Times New Roman"/>
        </w:rPr>
      </w:pPr>
    </w:p>
    <w:p w14:paraId="60148C5D" w14:textId="77777777" w:rsidR="00521D70" w:rsidRDefault="00521D70" w:rsidP="00ED2E33">
      <w:pPr>
        <w:pStyle w:val="Heading4"/>
        <w:rPr>
          <w:rFonts w:ascii="Times New Roman" w:hAnsi="Times New Roman" w:cs="Times New Roman"/>
        </w:rPr>
      </w:pPr>
    </w:p>
    <w:p w14:paraId="01C2C84B" w14:textId="77777777" w:rsidR="00521D70" w:rsidRDefault="00521D70" w:rsidP="00ED2E33">
      <w:pPr>
        <w:pStyle w:val="Heading4"/>
        <w:rPr>
          <w:rFonts w:ascii="Times New Roman" w:hAnsi="Times New Roman" w:cs="Times New Roman"/>
        </w:rPr>
      </w:pPr>
    </w:p>
    <w:p w14:paraId="6A39AA0C" w14:textId="77777777" w:rsidR="00521D70" w:rsidRDefault="00521D70" w:rsidP="00ED2E33">
      <w:pPr>
        <w:pStyle w:val="Heading4"/>
        <w:rPr>
          <w:rFonts w:ascii="Times New Roman" w:hAnsi="Times New Roman" w:cs="Times New Roman"/>
        </w:rPr>
      </w:pPr>
    </w:p>
    <w:p w14:paraId="715C5E70" w14:textId="77777777" w:rsidR="00521D70" w:rsidRDefault="00521D70" w:rsidP="00ED2E33">
      <w:pPr>
        <w:pStyle w:val="Heading4"/>
        <w:rPr>
          <w:rFonts w:ascii="Times New Roman" w:hAnsi="Times New Roman" w:cs="Times New Roman"/>
        </w:rPr>
      </w:pPr>
    </w:p>
    <w:p w14:paraId="35C790B6" w14:textId="77777777" w:rsidR="00521D70" w:rsidRDefault="00521D70" w:rsidP="00ED2E33">
      <w:pPr>
        <w:pStyle w:val="Heading4"/>
        <w:rPr>
          <w:rFonts w:ascii="Times New Roman" w:hAnsi="Times New Roman" w:cs="Times New Roman"/>
        </w:rPr>
      </w:pPr>
    </w:p>
    <w:p w14:paraId="6AE36CBF" w14:textId="77777777" w:rsidR="00521D70" w:rsidRDefault="00521D70" w:rsidP="00ED2E33">
      <w:pPr>
        <w:pStyle w:val="Heading4"/>
        <w:rPr>
          <w:rFonts w:ascii="Times New Roman" w:hAnsi="Times New Roman" w:cs="Times New Roman"/>
        </w:rPr>
      </w:pPr>
    </w:p>
    <w:p w14:paraId="26032E28" w14:textId="77777777" w:rsidR="00521D70" w:rsidRDefault="00521D70" w:rsidP="00ED2E33">
      <w:pPr>
        <w:pStyle w:val="Heading4"/>
        <w:rPr>
          <w:rFonts w:ascii="Times New Roman" w:hAnsi="Times New Roman" w:cs="Times New Roman"/>
        </w:rPr>
      </w:pPr>
    </w:p>
    <w:p w14:paraId="372DB785" w14:textId="65707346" w:rsidR="00ED2E33" w:rsidRDefault="00ED2E33" w:rsidP="00ED2E33">
      <w:pPr>
        <w:pStyle w:val="Heading4"/>
        <w:rPr>
          <w:rFonts w:ascii="Times New Roman" w:hAnsi="Times New Roman" w:cs="Times New Roman"/>
        </w:rPr>
      </w:pPr>
      <w:r w:rsidRPr="00ED2E33">
        <w:rPr>
          <w:rFonts w:ascii="Times New Roman" w:hAnsi="Times New Roman" w:cs="Times New Roman"/>
        </w:rPr>
        <w:lastRenderedPageBreak/>
        <w:t>Table 7 presents the full negative binomial regression results for Model 1 — Medication Orders per Day.</w:t>
      </w:r>
    </w:p>
    <w:p w14:paraId="35887110" w14:textId="77777777" w:rsidR="00521D70" w:rsidRDefault="00521D70" w:rsidP="00ED2E33">
      <w:pPr>
        <w:pStyle w:val="Heading4"/>
        <w:rPr>
          <w:rFonts w:ascii="Times New Roman" w:hAnsi="Times New Roman" w:cs="Times New Roman"/>
        </w:rPr>
      </w:pPr>
    </w:p>
    <w:p w14:paraId="4424A506" w14:textId="77777777" w:rsidR="00521D70" w:rsidRPr="00ED2E33" w:rsidRDefault="00521D70" w:rsidP="00ED2E33">
      <w:pPr>
        <w:pStyle w:val="Heading4"/>
        <w:rPr>
          <w:rFonts w:ascii="Times New Roman" w:hAnsi="Times New Roman" w:cs="Times New Roman"/>
        </w:rPr>
      </w:pPr>
    </w:p>
    <w:p w14:paraId="6E83CBD6" w14:textId="7AE9DD2C" w:rsidR="00ED2E33" w:rsidRDefault="00ED2E33" w:rsidP="008E3E98">
      <w:pPr>
        <w:pBdr>
          <w:bottom w:val="dashed" w:sz="4" w:space="0" w:color="CCCCCC"/>
        </w:pBdr>
        <w:spacing w:before="120" w:after="120"/>
        <w:jc w:val="both"/>
        <w:rPr>
          <w:rFonts w:ascii="Times New Roman" w:hAnsi="Times New Roman" w:cs="Times New Roman"/>
        </w:rPr>
      </w:pPr>
      <w:r w:rsidRPr="00ED2E33">
        <w:rPr>
          <w:rFonts w:ascii="Times New Roman" w:hAnsi="Times New Roman" w:cs="Times New Roman"/>
          <w:noProof/>
        </w:rPr>
        <w:drawing>
          <wp:inline distT="0" distB="0" distL="0" distR="0" wp14:anchorId="78D6DB6A" wp14:editId="2533FD52">
            <wp:extent cx="6610754" cy="5114925"/>
            <wp:effectExtent l="0" t="0" r="0" b="0"/>
            <wp:docPr id="159657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76851" name=""/>
                    <pic:cNvPicPr/>
                  </pic:nvPicPr>
                  <pic:blipFill>
                    <a:blip r:embed="rId14"/>
                    <a:stretch>
                      <a:fillRect/>
                    </a:stretch>
                  </pic:blipFill>
                  <pic:spPr>
                    <a:xfrm>
                      <a:off x="0" y="0"/>
                      <a:ext cx="6633279" cy="5132354"/>
                    </a:xfrm>
                    <a:prstGeom prst="rect">
                      <a:avLst/>
                    </a:prstGeom>
                  </pic:spPr>
                </pic:pic>
              </a:graphicData>
            </a:graphic>
          </wp:inline>
        </w:drawing>
      </w:r>
    </w:p>
    <w:p w14:paraId="466E633A" w14:textId="77777777" w:rsidR="00521D70" w:rsidRDefault="00521D70" w:rsidP="00ED2E33">
      <w:pPr>
        <w:pBdr>
          <w:bottom w:val="dashed" w:sz="4" w:space="0" w:color="CCCCCC"/>
        </w:pBdr>
        <w:tabs>
          <w:tab w:val="left" w:pos="2445"/>
        </w:tabs>
        <w:spacing w:before="120" w:after="120"/>
        <w:jc w:val="both"/>
        <w:rPr>
          <w:rFonts w:ascii="Times New Roman" w:hAnsi="Times New Roman" w:cs="Times New Roman"/>
        </w:rPr>
      </w:pPr>
    </w:p>
    <w:p w14:paraId="4C16A6C4" w14:textId="77777777" w:rsidR="00521D70" w:rsidRDefault="00521D70" w:rsidP="00ED2E33">
      <w:pPr>
        <w:pBdr>
          <w:bottom w:val="dashed" w:sz="4" w:space="0" w:color="CCCCCC"/>
        </w:pBdr>
        <w:tabs>
          <w:tab w:val="left" w:pos="2445"/>
        </w:tabs>
        <w:spacing w:before="120" w:after="120"/>
        <w:jc w:val="both"/>
        <w:rPr>
          <w:rFonts w:ascii="Times New Roman" w:hAnsi="Times New Roman" w:cs="Times New Roman"/>
        </w:rPr>
      </w:pPr>
    </w:p>
    <w:p w14:paraId="01DF0EB9" w14:textId="13E17A1F" w:rsidR="00582E0B" w:rsidRPr="008E3E98" w:rsidRDefault="00ED2E33" w:rsidP="00ED2E33">
      <w:pPr>
        <w:pBdr>
          <w:bottom w:val="dashed" w:sz="4" w:space="0" w:color="CCCCCC"/>
        </w:pBdr>
        <w:tabs>
          <w:tab w:val="left" w:pos="2445"/>
        </w:tabs>
        <w:spacing w:before="120" w:after="120"/>
        <w:jc w:val="both"/>
      </w:pPr>
      <w:r>
        <w:rPr>
          <w:rFonts w:ascii="Times New Roman" w:hAnsi="Times New Roman" w:cs="Times New Roman"/>
        </w:rPr>
        <w:tab/>
      </w:r>
    </w:p>
    <w:p w14:paraId="0E289E57" w14:textId="77777777" w:rsidR="00582E0B" w:rsidRPr="008E3E98" w:rsidRDefault="00582E0B" w:rsidP="008E3E98">
      <w:pPr>
        <w:pBdr>
          <w:bottom w:val="dashed" w:sz="4" w:space="0" w:color="CCCCCC"/>
        </w:pBdr>
        <w:spacing w:before="120" w:after="120"/>
        <w:jc w:val="both"/>
        <w:rPr>
          <w:rFonts w:ascii="Times New Roman" w:hAnsi="Times New Roman" w:cs="Times New Roman"/>
        </w:rPr>
      </w:pPr>
    </w:p>
    <w:p w14:paraId="447731FA" w14:textId="77777777" w:rsidR="00582E0B" w:rsidRPr="008E3E98" w:rsidRDefault="00582E0B" w:rsidP="008E3E98">
      <w:pPr>
        <w:pBdr>
          <w:bottom w:val="dashed" w:sz="4" w:space="0" w:color="CCCCCC"/>
        </w:pBdr>
        <w:spacing w:before="120" w:after="120"/>
        <w:jc w:val="both"/>
        <w:rPr>
          <w:rFonts w:ascii="Times New Roman" w:hAnsi="Times New Roman" w:cs="Times New Roman"/>
        </w:rPr>
      </w:pPr>
    </w:p>
    <w:p w14:paraId="46B8EF6B" w14:textId="77777777" w:rsidR="00582E0B" w:rsidRPr="008E3E98" w:rsidRDefault="00582E0B" w:rsidP="008E3E98">
      <w:pPr>
        <w:pBdr>
          <w:bottom w:val="dashed" w:sz="4" w:space="0" w:color="CCCCCC"/>
        </w:pBdr>
        <w:spacing w:before="120" w:after="120"/>
        <w:jc w:val="both"/>
        <w:rPr>
          <w:rFonts w:ascii="Times New Roman" w:hAnsi="Times New Roman" w:cs="Times New Roman"/>
        </w:rPr>
      </w:pPr>
    </w:p>
    <w:p w14:paraId="1C2417F6" w14:textId="77777777" w:rsidR="00582E0B" w:rsidRPr="008E3E98" w:rsidRDefault="00582E0B" w:rsidP="008E3E98">
      <w:pPr>
        <w:pBdr>
          <w:bottom w:val="dashed" w:sz="4" w:space="0" w:color="CCCCCC"/>
        </w:pBdr>
        <w:spacing w:before="120" w:after="120"/>
        <w:jc w:val="both"/>
        <w:rPr>
          <w:rFonts w:ascii="Times New Roman" w:hAnsi="Times New Roman" w:cs="Times New Roman"/>
        </w:rPr>
      </w:pPr>
    </w:p>
    <w:p w14:paraId="3D2A774A" w14:textId="77777777" w:rsidR="00582E0B" w:rsidRDefault="00582E0B" w:rsidP="008E3E98">
      <w:pPr>
        <w:pBdr>
          <w:bottom w:val="dashed" w:sz="4" w:space="0" w:color="CCCCCC"/>
        </w:pBdr>
        <w:spacing w:before="120" w:after="120"/>
        <w:jc w:val="both"/>
        <w:rPr>
          <w:rFonts w:ascii="Times New Roman" w:hAnsi="Times New Roman" w:cs="Times New Roman"/>
        </w:rPr>
      </w:pPr>
    </w:p>
    <w:p w14:paraId="2041679D" w14:textId="77777777" w:rsidR="00D21F79" w:rsidRPr="008E3E98" w:rsidRDefault="00D21F79" w:rsidP="008E3E98">
      <w:pPr>
        <w:pBdr>
          <w:bottom w:val="dashed" w:sz="4" w:space="0" w:color="CCCCCC"/>
        </w:pBdr>
        <w:spacing w:before="120" w:after="120"/>
        <w:jc w:val="both"/>
        <w:rPr>
          <w:rFonts w:ascii="Times New Roman" w:hAnsi="Times New Roman" w:cs="Times New Roman"/>
        </w:rPr>
      </w:pPr>
    </w:p>
    <w:p w14:paraId="312832E0" w14:textId="1C088D30" w:rsidR="00D14598" w:rsidRPr="008E3E98" w:rsidRDefault="00000000" w:rsidP="008E3E98">
      <w:pPr>
        <w:pStyle w:val="Heading2"/>
        <w:jc w:val="both"/>
        <w:rPr>
          <w:rFonts w:ascii="Times New Roman" w:hAnsi="Times New Roman" w:cs="Times New Roman"/>
          <w:sz w:val="24"/>
          <w:szCs w:val="24"/>
        </w:rPr>
      </w:pPr>
      <w:bookmarkStart w:id="26" w:name="_Toc228825823"/>
      <w:r w:rsidRPr="008E3E98">
        <w:rPr>
          <w:rFonts w:ascii="Times New Roman" w:hAnsi="Times New Roman" w:cs="Times New Roman"/>
          <w:sz w:val="24"/>
          <w:szCs w:val="24"/>
        </w:rPr>
        <w:lastRenderedPageBreak/>
        <w:t>4.3 Model Results — Laboratory Events (</w:t>
      </w:r>
      <w:proofErr w:type="spellStart"/>
      <w:r w:rsidRPr="008E3E98">
        <w:rPr>
          <w:rFonts w:ascii="Times New Roman" w:hAnsi="Times New Roman" w:cs="Times New Roman"/>
          <w:sz w:val="24"/>
          <w:szCs w:val="24"/>
        </w:rPr>
        <w:t>labs_per_day</w:t>
      </w:r>
      <w:proofErr w:type="spellEnd"/>
      <w:r w:rsidRPr="008E3E98">
        <w:rPr>
          <w:rFonts w:ascii="Times New Roman" w:hAnsi="Times New Roman" w:cs="Times New Roman"/>
          <w:sz w:val="24"/>
          <w:szCs w:val="24"/>
        </w:rPr>
        <w:t>)</w:t>
      </w:r>
      <w:bookmarkEnd w:id="26"/>
    </w:p>
    <w:p w14:paraId="6FF49131" w14:textId="77777777" w:rsidR="001267B5" w:rsidRPr="008E3E98" w:rsidRDefault="001267B5"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 xml:space="preserve">Negative binomial regression was used to model laboratory events per </w:t>
      </w:r>
      <w:proofErr w:type="gramStart"/>
      <w:r w:rsidRPr="008E3E98">
        <w:rPr>
          <w:rFonts w:ascii="Times New Roman" w:hAnsi="Times New Roman" w:cs="Times New Roman"/>
        </w:rPr>
        <w:t>ICU day</w:t>
      </w:r>
      <w:proofErr w:type="gramEnd"/>
      <w:r w:rsidRPr="008E3E98">
        <w:rPr>
          <w:rFonts w:ascii="Times New Roman" w:hAnsi="Times New Roman" w:cs="Times New Roman"/>
        </w:rPr>
        <w:t>, using the same predictors and offset structure as Model 1. Results are reported as Incidence Rate Ratios (IRRs) relative to the CVICU reference group. Full model results are presented in Table 8.</w:t>
      </w:r>
    </w:p>
    <w:p w14:paraId="1472E756" w14:textId="709EB45A" w:rsidR="001267B5" w:rsidRPr="008E3E98" w:rsidRDefault="001267B5"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 xml:space="preserve">ICU unit type </w:t>
      </w:r>
      <w:r w:rsidR="00BF5DF8" w:rsidRPr="008E3E98">
        <w:rPr>
          <w:rFonts w:ascii="Times New Roman" w:hAnsi="Times New Roman" w:cs="Times New Roman"/>
        </w:rPr>
        <w:t xml:space="preserve">remained the dominant predictor of laboratory event rates, though the pattern differed notably from that in </w:t>
      </w:r>
      <w:r w:rsidRPr="008E3E98">
        <w:rPr>
          <w:rFonts w:ascii="Times New Roman" w:hAnsi="Times New Roman" w:cs="Times New Roman"/>
        </w:rPr>
        <w:t>the medication orders model. Patients in the Medical/Surgical ICU (MICU/SICU) generated approximately 42% more laboratory events per day than CVICU patients (IRR = 1.423, 95% CI: 1.361–1.487, p &lt; 0.0001), a larger difference than observed for medication orders alone. This suggests that MICU/SICU patients drive disproportionate laboratory burden</w:t>
      </w:r>
      <w:r w:rsidR="00BF5DF8" w:rsidRPr="008E3E98">
        <w:rPr>
          <w:rFonts w:ascii="Times New Roman" w:hAnsi="Times New Roman" w:cs="Times New Roman"/>
        </w:rPr>
        <w:t>,</w:t>
      </w:r>
      <w:r w:rsidRPr="008E3E98">
        <w:rPr>
          <w:rFonts w:ascii="Times New Roman" w:hAnsi="Times New Roman" w:cs="Times New Roman"/>
        </w:rPr>
        <w:t xml:space="preserve"> specifically, likely </w:t>
      </w:r>
      <w:proofErr w:type="gramStart"/>
      <w:r w:rsidRPr="008E3E98">
        <w:rPr>
          <w:rFonts w:ascii="Times New Roman" w:hAnsi="Times New Roman" w:cs="Times New Roman"/>
        </w:rPr>
        <w:t>reflecting</w:t>
      </w:r>
      <w:proofErr w:type="gramEnd"/>
      <w:r w:rsidRPr="008E3E98">
        <w:rPr>
          <w:rFonts w:ascii="Times New Roman" w:hAnsi="Times New Roman" w:cs="Times New Roman"/>
        </w:rPr>
        <w:t xml:space="preserve"> the complexity and acuity of their care needs.</w:t>
      </w:r>
    </w:p>
    <w:p w14:paraId="17217C53" w14:textId="77777777" w:rsidR="001267B5" w:rsidRPr="008E3E98" w:rsidRDefault="001267B5"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Neuro Intermediate patients again exhibited the lowest event rates, generating approximately 84% fewer laboratory events per day than CVICU patients (IRR = 0.164, 95% CI: 0.154–0.174, p &lt; 0.0001). Neuro Stepdown (IRR = 0.486, p &lt; 0.0001) and Neuro SICU (IRR = 0.546, p &lt; 0.0001) also demonstrated significantly lower laboratory activity, suggesting a pattern of less intensive monitoring across neurology-focused units.</w:t>
      </w:r>
    </w:p>
    <w:p w14:paraId="7AAB4AD3" w14:textId="3C7C565D" w:rsidR="001267B5" w:rsidRPr="008E3E98" w:rsidRDefault="001267B5"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 xml:space="preserve">A notable reversal was observed for PACU patients. While PACU had the highest medication ordering rate in Model 1, it had dramatically lower laboratory event rates in this model (IRR = 0.004, p &lt; 0.0001). This likely reflects the nature of PACU care </w:t>
      </w:r>
      <w:proofErr w:type="gramStart"/>
      <w:r w:rsidRPr="008E3E98">
        <w:rPr>
          <w:rFonts w:ascii="Times New Roman" w:hAnsi="Times New Roman" w:cs="Times New Roman"/>
        </w:rPr>
        <w:t>short-duration</w:t>
      </w:r>
      <w:proofErr w:type="gramEnd"/>
      <w:r w:rsidRPr="008E3E98">
        <w:rPr>
          <w:rFonts w:ascii="Times New Roman" w:hAnsi="Times New Roman" w:cs="Times New Roman"/>
        </w:rPr>
        <w:t xml:space="preserve"> stays characterized by active medication management following procedures but with limited need for ongoing laboratory monitoring.</w:t>
      </w:r>
    </w:p>
    <w:p w14:paraId="18627638" w14:textId="77777777" w:rsidR="001267B5" w:rsidRPr="008E3E98" w:rsidRDefault="001267B5"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Several smaller unit categories, including Med/Surg, Medicine, Medicine/Cardiology Intermediate, Surgery/Trauma, and Surgery/Vascular/Intermediate, produced unstable estimates with extremely wide confidence intervals and p-values near 1.0. These results reflect a separation problem caused by sparse observations in those groups and should not be interpreted as meaningful findings. Results for those units are excluded from substantive interpretation.</w:t>
      </w:r>
    </w:p>
    <w:p w14:paraId="4F92D85A" w14:textId="2135E474" w:rsidR="00CF6087" w:rsidRPr="008E3E98" w:rsidRDefault="001267B5" w:rsidP="008E3E98">
      <w:pPr>
        <w:pBdr>
          <w:bottom w:val="dashed" w:sz="4" w:space="0" w:color="CCCCCC"/>
        </w:pBdr>
        <w:spacing w:before="120" w:after="120"/>
        <w:jc w:val="both"/>
        <w:rPr>
          <w:rFonts w:ascii="Times New Roman" w:hAnsi="Times New Roman" w:cs="Times New Roman"/>
        </w:rPr>
      </w:pPr>
      <w:r w:rsidRPr="008E3E98">
        <w:rPr>
          <w:rFonts w:ascii="Times New Roman" w:hAnsi="Times New Roman" w:cs="Times New Roman"/>
        </w:rPr>
        <w:t>Patient age was a statistically significant predictor (IRR = 0.999, 95% CI: 0.998–0.999, p = 0.0004), though the effect size was negligibly small, with each additional year of age associated with less than a 0.1% decrease in daily laboratory events. Gender was not a statistically significant predictor (IRR = 1.015, 95% CI: 0.989–1.041, p = 0.255), indicating that male and female patients had comparable laboratory event rates after controlling for ICU unit type, age, and length of stay. As with medication orders, these findings suggest that laboratory activity in the ICU is driven primarily by unit-level care context rather than patient demographic characteristics.</w:t>
      </w:r>
    </w:p>
    <w:p w14:paraId="44B33E20" w14:textId="77777777" w:rsidR="00521D70" w:rsidRDefault="00521D70" w:rsidP="00ED2E33">
      <w:pPr>
        <w:pStyle w:val="Heading4"/>
        <w:rPr>
          <w:rFonts w:ascii="Times New Roman" w:hAnsi="Times New Roman" w:cs="Times New Roman"/>
        </w:rPr>
      </w:pPr>
    </w:p>
    <w:p w14:paraId="259A26AB" w14:textId="77777777" w:rsidR="00521D70" w:rsidRDefault="00521D70" w:rsidP="00ED2E33">
      <w:pPr>
        <w:pStyle w:val="Heading4"/>
        <w:rPr>
          <w:rFonts w:ascii="Times New Roman" w:hAnsi="Times New Roman" w:cs="Times New Roman"/>
        </w:rPr>
      </w:pPr>
    </w:p>
    <w:p w14:paraId="5740F333" w14:textId="77777777" w:rsidR="00521D70" w:rsidRDefault="00521D70" w:rsidP="00ED2E33">
      <w:pPr>
        <w:pStyle w:val="Heading4"/>
        <w:rPr>
          <w:rFonts w:ascii="Times New Roman" w:hAnsi="Times New Roman" w:cs="Times New Roman"/>
        </w:rPr>
      </w:pPr>
    </w:p>
    <w:p w14:paraId="415859C8" w14:textId="77777777" w:rsidR="00521D70" w:rsidRDefault="00521D70" w:rsidP="00ED2E33">
      <w:pPr>
        <w:pStyle w:val="Heading4"/>
        <w:rPr>
          <w:rFonts w:ascii="Times New Roman" w:hAnsi="Times New Roman" w:cs="Times New Roman"/>
        </w:rPr>
      </w:pPr>
    </w:p>
    <w:p w14:paraId="452376D7" w14:textId="77777777" w:rsidR="00521D70" w:rsidRDefault="00521D70" w:rsidP="00ED2E33">
      <w:pPr>
        <w:pStyle w:val="Heading4"/>
        <w:rPr>
          <w:rFonts w:ascii="Times New Roman" w:hAnsi="Times New Roman" w:cs="Times New Roman"/>
        </w:rPr>
      </w:pPr>
    </w:p>
    <w:p w14:paraId="669DA0B2" w14:textId="77777777" w:rsidR="00521D70" w:rsidRDefault="00521D70" w:rsidP="00ED2E33">
      <w:pPr>
        <w:pStyle w:val="Heading4"/>
        <w:rPr>
          <w:rFonts w:ascii="Times New Roman" w:hAnsi="Times New Roman" w:cs="Times New Roman"/>
        </w:rPr>
      </w:pPr>
    </w:p>
    <w:p w14:paraId="3F036BFE" w14:textId="77777777" w:rsidR="00521D70" w:rsidRDefault="00521D70" w:rsidP="00ED2E33">
      <w:pPr>
        <w:pStyle w:val="Heading4"/>
        <w:rPr>
          <w:rFonts w:ascii="Times New Roman" w:hAnsi="Times New Roman" w:cs="Times New Roman"/>
        </w:rPr>
      </w:pPr>
    </w:p>
    <w:p w14:paraId="5DAFC997" w14:textId="77777777" w:rsidR="00521D70" w:rsidRDefault="00521D70" w:rsidP="00ED2E33">
      <w:pPr>
        <w:pStyle w:val="Heading4"/>
        <w:rPr>
          <w:rFonts w:ascii="Times New Roman" w:hAnsi="Times New Roman" w:cs="Times New Roman"/>
        </w:rPr>
      </w:pPr>
    </w:p>
    <w:p w14:paraId="2E4ACEB9" w14:textId="77777777" w:rsidR="00521D70" w:rsidRDefault="00521D70" w:rsidP="00ED2E33">
      <w:pPr>
        <w:pStyle w:val="Heading4"/>
        <w:rPr>
          <w:rFonts w:ascii="Times New Roman" w:hAnsi="Times New Roman" w:cs="Times New Roman"/>
        </w:rPr>
      </w:pPr>
    </w:p>
    <w:p w14:paraId="409B639F" w14:textId="77777777" w:rsidR="00521D70" w:rsidRDefault="00521D70" w:rsidP="00ED2E33">
      <w:pPr>
        <w:pStyle w:val="Heading4"/>
        <w:rPr>
          <w:rFonts w:ascii="Times New Roman" w:hAnsi="Times New Roman" w:cs="Times New Roman"/>
        </w:rPr>
      </w:pPr>
    </w:p>
    <w:p w14:paraId="6C563D40" w14:textId="78C6E3A4" w:rsidR="00ED2E33" w:rsidRDefault="00ED2E33" w:rsidP="00ED2E33">
      <w:pPr>
        <w:pStyle w:val="Heading4"/>
        <w:rPr>
          <w:rFonts w:ascii="Times New Roman" w:hAnsi="Times New Roman" w:cs="Times New Roman"/>
        </w:rPr>
      </w:pPr>
      <w:r w:rsidRPr="00ED2E33">
        <w:rPr>
          <w:rFonts w:ascii="Times New Roman" w:hAnsi="Times New Roman" w:cs="Times New Roman"/>
        </w:rPr>
        <w:lastRenderedPageBreak/>
        <w:t>Table 8 presents the full negative binomial regression results for Model 2 — Laboratory Events per Day.</w:t>
      </w:r>
    </w:p>
    <w:p w14:paraId="223FC8B5" w14:textId="77777777" w:rsidR="00521D70" w:rsidRDefault="00521D70" w:rsidP="00ED2E33">
      <w:pPr>
        <w:pStyle w:val="Heading4"/>
        <w:rPr>
          <w:rFonts w:ascii="Times New Roman" w:hAnsi="Times New Roman" w:cs="Times New Roman"/>
        </w:rPr>
      </w:pPr>
    </w:p>
    <w:p w14:paraId="0800C77A" w14:textId="1D609AD0" w:rsidR="00ED2E33" w:rsidRDefault="00ED2E33" w:rsidP="008E3E98">
      <w:pPr>
        <w:pStyle w:val="Heading2"/>
        <w:jc w:val="both"/>
        <w:rPr>
          <w:rFonts w:ascii="Times New Roman" w:hAnsi="Times New Roman" w:cs="Times New Roman"/>
          <w:sz w:val="24"/>
          <w:szCs w:val="24"/>
        </w:rPr>
      </w:pPr>
      <w:bookmarkStart w:id="27" w:name="_Toc228825824"/>
      <w:r w:rsidRPr="00ED2E33">
        <w:rPr>
          <w:rFonts w:ascii="Times New Roman" w:hAnsi="Times New Roman" w:cs="Times New Roman"/>
          <w:noProof/>
          <w:sz w:val="24"/>
          <w:szCs w:val="24"/>
        </w:rPr>
        <w:drawing>
          <wp:inline distT="0" distB="0" distL="0" distR="0" wp14:anchorId="1E1FCDAB" wp14:editId="74FF30C9">
            <wp:extent cx="6625590" cy="4848225"/>
            <wp:effectExtent l="0" t="0" r="3810" b="9525"/>
            <wp:docPr id="178444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47698" name=""/>
                    <pic:cNvPicPr/>
                  </pic:nvPicPr>
                  <pic:blipFill>
                    <a:blip r:embed="rId15"/>
                    <a:stretch>
                      <a:fillRect/>
                    </a:stretch>
                  </pic:blipFill>
                  <pic:spPr>
                    <a:xfrm>
                      <a:off x="0" y="0"/>
                      <a:ext cx="6633557" cy="4854055"/>
                    </a:xfrm>
                    <a:prstGeom prst="rect">
                      <a:avLst/>
                    </a:prstGeom>
                  </pic:spPr>
                </pic:pic>
              </a:graphicData>
            </a:graphic>
          </wp:inline>
        </w:drawing>
      </w:r>
      <w:bookmarkEnd w:id="27"/>
    </w:p>
    <w:p w14:paraId="6FFE93DE" w14:textId="77777777" w:rsidR="00ED2E33" w:rsidRDefault="00ED2E33" w:rsidP="008E3E98">
      <w:pPr>
        <w:pStyle w:val="Heading2"/>
        <w:jc w:val="both"/>
        <w:rPr>
          <w:rFonts w:ascii="Times New Roman" w:hAnsi="Times New Roman" w:cs="Times New Roman"/>
          <w:sz w:val="24"/>
          <w:szCs w:val="24"/>
        </w:rPr>
      </w:pPr>
    </w:p>
    <w:p w14:paraId="64D63A76" w14:textId="77777777" w:rsidR="00ED2E33" w:rsidRDefault="00ED2E33" w:rsidP="008E3E98">
      <w:pPr>
        <w:pStyle w:val="Heading2"/>
        <w:jc w:val="both"/>
        <w:rPr>
          <w:rFonts w:ascii="Times New Roman" w:hAnsi="Times New Roman" w:cs="Times New Roman"/>
          <w:sz w:val="24"/>
          <w:szCs w:val="24"/>
        </w:rPr>
      </w:pPr>
    </w:p>
    <w:p w14:paraId="1B7460E6" w14:textId="77777777" w:rsidR="00ED2E33" w:rsidRDefault="00ED2E33" w:rsidP="008E3E98">
      <w:pPr>
        <w:pStyle w:val="Heading2"/>
        <w:jc w:val="both"/>
        <w:rPr>
          <w:rFonts w:ascii="Times New Roman" w:hAnsi="Times New Roman" w:cs="Times New Roman"/>
          <w:sz w:val="24"/>
          <w:szCs w:val="24"/>
        </w:rPr>
      </w:pPr>
    </w:p>
    <w:p w14:paraId="16954F47" w14:textId="77777777" w:rsidR="00ED2E33" w:rsidRDefault="00ED2E33" w:rsidP="008E3E98">
      <w:pPr>
        <w:pStyle w:val="Heading2"/>
        <w:jc w:val="both"/>
        <w:rPr>
          <w:rFonts w:ascii="Times New Roman" w:hAnsi="Times New Roman" w:cs="Times New Roman"/>
          <w:sz w:val="24"/>
          <w:szCs w:val="24"/>
        </w:rPr>
      </w:pPr>
    </w:p>
    <w:p w14:paraId="51BEE297" w14:textId="77777777" w:rsidR="00ED2E33" w:rsidRDefault="00ED2E33" w:rsidP="008E3E98">
      <w:pPr>
        <w:pStyle w:val="Heading2"/>
        <w:jc w:val="both"/>
        <w:rPr>
          <w:rFonts w:ascii="Times New Roman" w:hAnsi="Times New Roman" w:cs="Times New Roman"/>
          <w:sz w:val="24"/>
          <w:szCs w:val="24"/>
        </w:rPr>
      </w:pPr>
    </w:p>
    <w:p w14:paraId="0800F345" w14:textId="77777777" w:rsidR="00521D70" w:rsidRDefault="00521D70" w:rsidP="008E3E98">
      <w:pPr>
        <w:pStyle w:val="Heading2"/>
        <w:jc w:val="both"/>
        <w:rPr>
          <w:rFonts w:ascii="Times New Roman" w:hAnsi="Times New Roman" w:cs="Times New Roman"/>
          <w:sz w:val="24"/>
          <w:szCs w:val="24"/>
        </w:rPr>
      </w:pPr>
    </w:p>
    <w:p w14:paraId="7627F397" w14:textId="77777777" w:rsidR="00ED2E33" w:rsidRDefault="00ED2E33" w:rsidP="008E3E98">
      <w:pPr>
        <w:pStyle w:val="Heading2"/>
        <w:jc w:val="both"/>
        <w:rPr>
          <w:rFonts w:ascii="Times New Roman" w:hAnsi="Times New Roman" w:cs="Times New Roman"/>
          <w:sz w:val="24"/>
          <w:szCs w:val="24"/>
        </w:rPr>
      </w:pPr>
    </w:p>
    <w:p w14:paraId="6FF18BCF" w14:textId="19AB7955" w:rsidR="00D14598" w:rsidRPr="008E3E98" w:rsidRDefault="00000000" w:rsidP="008E3E98">
      <w:pPr>
        <w:pStyle w:val="Heading2"/>
        <w:jc w:val="both"/>
        <w:rPr>
          <w:rFonts w:ascii="Times New Roman" w:hAnsi="Times New Roman" w:cs="Times New Roman"/>
          <w:sz w:val="24"/>
          <w:szCs w:val="24"/>
        </w:rPr>
      </w:pPr>
      <w:bookmarkStart w:id="28" w:name="_Toc228825825"/>
      <w:r w:rsidRPr="008E3E98">
        <w:rPr>
          <w:rFonts w:ascii="Times New Roman" w:hAnsi="Times New Roman" w:cs="Times New Roman"/>
          <w:sz w:val="24"/>
          <w:szCs w:val="24"/>
        </w:rPr>
        <w:lastRenderedPageBreak/>
        <w:t>4.4 Model Results — Total CDS Events (</w:t>
      </w:r>
      <w:proofErr w:type="spellStart"/>
      <w:r w:rsidRPr="008E3E98">
        <w:rPr>
          <w:rFonts w:ascii="Times New Roman" w:hAnsi="Times New Roman" w:cs="Times New Roman"/>
          <w:sz w:val="24"/>
          <w:szCs w:val="24"/>
        </w:rPr>
        <w:t>total_events_per_day</w:t>
      </w:r>
      <w:proofErr w:type="spellEnd"/>
      <w:r w:rsidRPr="008E3E98">
        <w:rPr>
          <w:rFonts w:ascii="Times New Roman" w:hAnsi="Times New Roman" w:cs="Times New Roman"/>
          <w:sz w:val="24"/>
          <w:szCs w:val="24"/>
        </w:rPr>
        <w:t>)</w:t>
      </w:r>
      <w:bookmarkEnd w:id="28"/>
    </w:p>
    <w:p w14:paraId="61806166" w14:textId="77777777" w:rsidR="001267B5" w:rsidRPr="008E3E98" w:rsidRDefault="001267B5" w:rsidP="008E3E98">
      <w:pPr>
        <w:spacing w:before="120" w:after="120"/>
        <w:jc w:val="both"/>
        <w:rPr>
          <w:rFonts w:ascii="Times New Roman" w:hAnsi="Times New Roman" w:cs="Times New Roman"/>
          <w:color w:val="000000"/>
        </w:rPr>
      </w:pPr>
      <w:r w:rsidRPr="008E3E98">
        <w:rPr>
          <w:rFonts w:ascii="Times New Roman" w:hAnsi="Times New Roman" w:cs="Times New Roman"/>
          <w:color w:val="000000"/>
        </w:rPr>
        <w:t xml:space="preserve">The total CDS events model is the primary outcome of this study, combining medication orders and laboratory events into a single measure of overall clinical activity burden per </w:t>
      </w:r>
      <w:proofErr w:type="gramStart"/>
      <w:r w:rsidRPr="008E3E98">
        <w:rPr>
          <w:rFonts w:ascii="Times New Roman" w:hAnsi="Times New Roman" w:cs="Times New Roman"/>
          <w:color w:val="000000"/>
        </w:rPr>
        <w:t>ICU day</w:t>
      </w:r>
      <w:proofErr w:type="gramEnd"/>
      <w:r w:rsidRPr="008E3E98">
        <w:rPr>
          <w:rFonts w:ascii="Times New Roman" w:hAnsi="Times New Roman" w:cs="Times New Roman"/>
          <w:color w:val="000000"/>
        </w:rPr>
        <w:t>. Results are reported as IRRs relative to the CVICU reference group, with log-transformed ICU length of stay included as an offset. Full model results are presented in Table 9.</w:t>
      </w:r>
    </w:p>
    <w:p w14:paraId="152563CB" w14:textId="77777777" w:rsidR="001267B5" w:rsidRPr="008E3E98" w:rsidRDefault="001267B5" w:rsidP="008E3E98">
      <w:pPr>
        <w:spacing w:before="120" w:after="120"/>
        <w:jc w:val="both"/>
        <w:rPr>
          <w:rFonts w:ascii="Times New Roman" w:hAnsi="Times New Roman" w:cs="Times New Roman"/>
          <w:color w:val="000000"/>
        </w:rPr>
      </w:pPr>
      <w:r w:rsidRPr="008E3E98">
        <w:rPr>
          <w:rFonts w:ascii="Times New Roman" w:hAnsi="Times New Roman" w:cs="Times New Roman"/>
          <w:color w:val="000000"/>
        </w:rPr>
        <w:t>ICU unit type was the strongest predictor of total daily CDS burden across all three models. Patients in the Medical/Surgical ICU (MICU/SICU) generated approximately 20% more total CDS-triggering events per day than CVICU patients (IRR = 1.202, 95% CI: 1.170–1.235, p &lt; 0.0001). PACU patients also exhibited significantly higher total event rates (IRR = 1.659, 95% CI: 1.343–2.050, p &lt; 0.0001), driven largely by the high medication ordering intensity observed in Model 1.</w:t>
      </w:r>
    </w:p>
    <w:p w14:paraId="56721F23" w14:textId="77777777" w:rsidR="001267B5" w:rsidRPr="008E3E98" w:rsidRDefault="001267B5" w:rsidP="008E3E98">
      <w:pPr>
        <w:spacing w:before="120" w:after="120"/>
        <w:jc w:val="both"/>
        <w:rPr>
          <w:rFonts w:ascii="Times New Roman" w:hAnsi="Times New Roman" w:cs="Times New Roman"/>
          <w:color w:val="000000"/>
        </w:rPr>
      </w:pPr>
      <w:r w:rsidRPr="008E3E98">
        <w:rPr>
          <w:rFonts w:ascii="Times New Roman" w:hAnsi="Times New Roman" w:cs="Times New Roman"/>
          <w:color w:val="000000"/>
        </w:rPr>
        <w:t>Neuro Intermediate patients had the lowest total event burden by a substantial margin, generating approximately 81% fewer CDS-triggering events per day than CVICU patients (IRR = 0.189, 95% CI: 0.182–0.196, p &lt; 0.0001). Neuro Stepdown (IRR = 0.418, p &lt; 0.0001), Neuro SICU (IRR = 0.522, p &lt; 0.0001), and the Coronary Care Unit (IRR = 0.859, p &lt; 0.0001) also demonstrated significantly lower daily event rates. Med/Surg and Medicine/Cardiology Intermediate did not reach statistical significance, consistent with the sparse data issues identified in earlier models.</w:t>
      </w:r>
    </w:p>
    <w:p w14:paraId="73216AFC" w14:textId="77777777" w:rsidR="001267B5" w:rsidRPr="008E3E98" w:rsidRDefault="001267B5" w:rsidP="008E3E98">
      <w:pPr>
        <w:spacing w:before="120" w:after="120"/>
        <w:jc w:val="both"/>
        <w:rPr>
          <w:rFonts w:ascii="Times New Roman" w:hAnsi="Times New Roman" w:cs="Times New Roman"/>
          <w:color w:val="000000"/>
        </w:rPr>
      </w:pPr>
      <w:r w:rsidRPr="008E3E98">
        <w:rPr>
          <w:rFonts w:ascii="Times New Roman" w:hAnsi="Times New Roman" w:cs="Times New Roman"/>
          <w:color w:val="000000"/>
        </w:rPr>
        <w:t>Patient age was a statistically significant predictor (IRR = 0.998, 95% CI: 0.997–0.998, p &lt; 0.0001), with each additional year of age associated with approximately a 0.2% decrease in total daily events. While statistically significant given the large sample size, the practical magnitude of this effect is small relative to the large differences observed across ICU unit types.</w:t>
      </w:r>
    </w:p>
    <w:p w14:paraId="64124D9D" w14:textId="77777777" w:rsidR="001267B5" w:rsidRDefault="001267B5" w:rsidP="008E3E98">
      <w:pPr>
        <w:spacing w:before="120" w:after="120"/>
        <w:jc w:val="both"/>
        <w:rPr>
          <w:rFonts w:ascii="Times New Roman" w:hAnsi="Times New Roman" w:cs="Times New Roman"/>
          <w:color w:val="000000"/>
        </w:rPr>
      </w:pPr>
      <w:r w:rsidRPr="008E3E98">
        <w:rPr>
          <w:rFonts w:ascii="Times New Roman" w:hAnsi="Times New Roman" w:cs="Times New Roman"/>
          <w:color w:val="000000"/>
        </w:rPr>
        <w:t xml:space="preserve">Gender was also a statistically significant predictor in the total events model (IRR = 1.035, 95% CI: 1.019–1.051, p &lt; 0.0001), with male patients generating approximately 3.5% more total CDS-triggering events per day than female patients. Although this difference is statistically significant, it is modest in practical terms and unlikely to drive meaningful variation in alert exposure at the unit level. Notably, gender was not significant in either Model 1 or Model 2 individually, suggesting that the combined effect across </w:t>
      </w:r>
      <w:proofErr w:type="gramStart"/>
      <w:r w:rsidRPr="008E3E98">
        <w:rPr>
          <w:rFonts w:ascii="Times New Roman" w:hAnsi="Times New Roman" w:cs="Times New Roman"/>
          <w:color w:val="000000"/>
        </w:rPr>
        <w:t>both event</w:t>
      </w:r>
      <w:proofErr w:type="gramEnd"/>
      <w:r w:rsidRPr="008E3E98">
        <w:rPr>
          <w:rFonts w:ascii="Times New Roman" w:hAnsi="Times New Roman" w:cs="Times New Roman"/>
          <w:color w:val="000000"/>
        </w:rPr>
        <w:t xml:space="preserve"> types produces a detectable but small aggregate difference. This finding warrants further investigation in future studies examining whether gender differences in clinical activity reflect differences in care complexity, diagnosis patterns, or ordering behavior.</w:t>
      </w:r>
    </w:p>
    <w:p w14:paraId="79311FF8" w14:textId="77777777" w:rsidR="00D21F79" w:rsidRDefault="00D21F79" w:rsidP="008E3E98">
      <w:pPr>
        <w:spacing w:before="120" w:after="120"/>
        <w:jc w:val="both"/>
        <w:rPr>
          <w:rFonts w:ascii="Times New Roman" w:hAnsi="Times New Roman" w:cs="Times New Roman"/>
          <w:color w:val="000000"/>
        </w:rPr>
      </w:pPr>
    </w:p>
    <w:p w14:paraId="5007D7B2" w14:textId="77777777" w:rsidR="00D21F79" w:rsidRDefault="00D21F79" w:rsidP="008E3E98">
      <w:pPr>
        <w:spacing w:before="120" w:after="120"/>
        <w:jc w:val="both"/>
        <w:rPr>
          <w:rFonts w:ascii="Times New Roman" w:hAnsi="Times New Roman" w:cs="Times New Roman"/>
          <w:color w:val="000000"/>
        </w:rPr>
      </w:pPr>
    </w:p>
    <w:p w14:paraId="06333366" w14:textId="77777777" w:rsidR="00521D70" w:rsidRDefault="00521D70" w:rsidP="008E3E98">
      <w:pPr>
        <w:spacing w:before="120" w:after="120"/>
        <w:jc w:val="both"/>
        <w:rPr>
          <w:rFonts w:ascii="Times New Roman" w:hAnsi="Times New Roman" w:cs="Times New Roman"/>
          <w:color w:val="000000"/>
        </w:rPr>
      </w:pPr>
    </w:p>
    <w:p w14:paraId="6CC63CB4" w14:textId="77777777" w:rsidR="00521D70" w:rsidRDefault="00521D70" w:rsidP="008E3E98">
      <w:pPr>
        <w:spacing w:before="120" w:after="120"/>
        <w:jc w:val="both"/>
        <w:rPr>
          <w:rFonts w:ascii="Times New Roman" w:hAnsi="Times New Roman" w:cs="Times New Roman"/>
          <w:color w:val="000000"/>
        </w:rPr>
      </w:pPr>
    </w:p>
    <w:p w14:paraId="6C6DD71A" w14:textId="77777777" w:rsidR="00521D70" w:rsidRDefault="00521D70" w:rsidP="008E3E98">
      <w:pPr>
        <w:spacing w:before="120" w:after="120"/>
        <w:jc w:val="both"/>
        <w:rPr>
          <w:rFonts w:ascii="Times New Roman" w:hAnsi="Times New Roman" w:cs="Times New Roman"/>
          <w:color w:val="000000"/>
        </w:rPr>
      </w:pPr>
    </w:p>
    <w:p w14:paraId="27FF6936" w14:textId="77777777" w:rsidR="00521D70" w:rsidRDefault="00521D70" w:rsidP="008E3E98">
      <w:pPr>
        <w:spacing w:before="120" w:after="120"/>
        <w:jc w:val="both"/>
        <w:rPr>
          <w:rFonts w:ascii="Times New Roman" w:hAnsi="Times New Roman" w:cs="Times New Roman"/>
          <w:color w:val="000000"/>
        </w:rPr>
      </w:pPr>
    </w:p>
    <w:p w14:paraId="5AED8AED" w14:textId="77777777" w:rsidR="00521D70" w:rsidRDefault="00521D70" w:rsidP="008E3E98">
      <w:pPr>
        <w:spacing w:before="120" w:after="120"/>
        <w:jc w:val="both"/>
        <w:rPr>
          <w:rFonts w:ascii="Times New Roman" w:hAnsi="Times New Roman" w:cs="Times New Roman"/>
          <w:color w:val="000000"/>
        </w:rPr>
      </w:pPr>
    </w:p>
    <w:p w14:paraId="6632A67B" w14:textId="77777777" w:rsidR="00521D70" w:rsidRDefault="00521D70" w:rsidP="008E3E98">
      <w:pPr>
        <w:spacing w:before="120" w:after="120"/>
        <w:jc w:val="both"/>
        <w:rPr>
          <w:rFonts w:ascii="Times New Roman" w:hAnsi="Times New Roman" w:cs="Times New Roman"/>
          <w:color w:val="000000"/>
        </w:rPr>
      </w:pPr>
    </w:p>
    <w:p w14:paraId="1BECC5E4" w14:textId="77777777" w:rsidR="00521D70" w:rsidRDefault="00521D70" w:rsidP="008E3E98">
      <w:pPr>
        <w:spacing w:before="120" w:after="120"/>
        <w:jc w:val="both"/>
        <w:rPr>
          <w:rFonts w:ascii="Times New Roman" w:hAnsi="Times New Roman" w:cs="Times New Roman"/>
          <w:color w:val="000000"/>
        </w:rPr>
      </w:pPr>
    </w:p>
    <w:p w14:paraId="73A26CBF" w14:textId="77777777" w:rsidR="00521D70" w:rsidRPr="00521D70" w:rsidRDefault="00521D70" w:rsidP="00521D70">
      <w:pPr>
        <w:pStyle w:val="Heading4"/>
        <w:rPr>
          <w:rFonts w:ascii="Times New Roman" w:hAnsi="Times New Roman" w:cs="Times New Roman"/>
        </w:rPr>
      </w:pPr>
      <w:r w:rsidRPr="00521D70">
        <w:rPr>
          <w:rFonts w:ascii="Times New Roman" w:hAnsi="Times New Roman" w:cs="Times New Roman"/>
        </w:rPr>
        <w:lastRenderedPageBreak/>
        <w:t>Table 9 presents the full negative binomial regression results for Model 3 — Total CDS Events per Day.</w:t>
      </w:r>
    </w:p>
    <w:p w14:paraId="6F5DDE39" w14:textId="77777777" w:rsidR="00521D70" w:rsidRDefault="00521D70" w:rsidP="008E3E98">
      <w:pPr>
        <w:spacing w:before="120" w:after="120"/>
        <w:jc w:val="both"/>
        <w:rPr>
          <w:rFonts w:ascii="Times New Roman" w:hAnsi="Times New Roman" w:cs="Times New Roman"/>
          <w:color w:val="000000"/>
        </w:rPr>
      </w:pPr>
    </w:p>
    <w:p w14:paraId="0406ED2C" w14:textId="77777777" w:rsidR="00521D70" w:rsidRDefault="00521D70" w:rsidP="008E3E98">
      <w:pPr>
        <w:spacing w:before="120" w:after="120"/>
        <w:jc w:val="both"/>
        <w:rPr>
          <w:rFonts w:ascii="Times New Roman" w:hAnsi="Times New Roman" w:cs="Times New Roman"/>
          <w:color w:val="000000"/>
        </w:rPr>
      </w:pPr>
    </w:p>
    <w:p w14:paraId="5EBE697C" w14:textId="754788FF" w:rsidR="00D21F79" w:rsidRDefault="00521D70" w:rsidP="008E3E98">
      <w:pPr>
        <w:spacing w:before="120" w:after="120"/>
        <w:jc w:val="both"/>
        <w:rPr>
          <w:rFonts w:ascii="Times New Roman" w:hAnsi="Times New Roman" w:cs="Times New Roman"/>
          <w:color w:val="000000"/>
        </w:rPr>
      </w:pPr>
      <w:r w:rsidRPr="00521D70">
        <w:rPr>
          <w:rFonts w:ascii="Times New Roman" w:hAnsi="Times New Roman" w:cs="Times New Roman"/>
          <w:noProof/>
          <w:color w:val="000000"/>
        </w:rPr>
        <w:drawing>
          <wp:inline distT="0" distB="0" distL="0" distR="0" wp14:anchorId="55DA432C" wp14:editId="3AEC41CA">
            <wp:extent cx="6571951" cy="5000625"/>
            <wp:effectExtent l="0" t="0" r="635" b="0"/>
            <wp:docPr id="117742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29286" name=""/>
                    <pic:cNvPicPr/>
                  </pic:nvPicPr>
                  <pic:blipFill>
                    <a:blip r:embed="rId16"/>
                    <a:stretch>
                      <a:fillRect/>
                    </a:stretch>
                  </pic:blipFill>
                  <pic:spPr>
                    <a:xfrm>
                      <a:off x="0" y="0"/>
                      <a:ext cx="6582725" cy="5008823"/>
                    </a:xfrm>
                    <a:prstGeom prst="rect">
                      <a:avLst/>
                    </a:prstGeom>
                  </pic:spPr>
                </pic:pic>
              </a:graphicData>
            </a:graphic>
          </wp:inline>
        </w:drawing>
      </w:r>
    </w:p>
    <w:p w14:paraId="6D8BC1CA" w14:textId="77777777" w:rsidR="00D21F79" w:rsidRDefault="00D21F79" w:rsidP="008E3E98">
      <w:pPr>
        <w:spacing w:before="120" w:after="120"/>
        <w:jc w:val="both"/>
        <w:rPr>
          <w:rFonts w:ascii="Times New Roman" w:hAnsi="Times New Roman" w:cs="Times New Roman"/>
          <w:color w:val="000000"/>
        </w:rPr>
      </w:pPr>
    </w:p>
    <w:p w14:paraId="147C2FD0" w14:textId="77777777" w:rsidR="00D21F79" w:rsidRDefault="00D21F79" w:rsidP="008E3E98">
      <w:pPr>
        <w:spacing w:before="120" w:after="120"/>
        <w:jc w:val="both"/>
        <w:rPr>
          <w:rFonts w:ascii="Times New Roman" w:hAnsi="Times New Roman" w:cs="Times New Roman"/>
          <w:color w:val="000000"/>
        </w:rPr>
      </w:pPr>
    </w:p>
    <w:p w14:paraId="52FB936A" w14:textId="77777777" w:rsidR="00D21F79" w:rsidRDefault="00D21F79" w:rsidP="008E3E98">
      <w:pPr>
        <w:spacing w:before="120" w:after="120"/>
        <w:jc w:val="both"/>
        <w:rPr>
          <w:rFonts w:ascii="Times New Roman" w:hAnsi="Times New Roman" w:cs="Times New Roman"/>
          <w:color w:val="000000"/>
        </w:rPr>
      </w:pPr>
    </w:p>
    <w:p w14:paraId="4B03C209" w14:textId="77777777" w:rsidR="00D21F79" w:rsidRDefault="00D21F79" w:rsidP="008E3E98">
      <w:pPr>
        <w:spacing w:before="120" w:after="120"/>
        <w:jc w:val="both"/>
        <w:rPr>
          <w:rFonts w:ascii="Times New Roman" w:hAnsi="Times New Roman" w:cs="Times New Roman"/>
          <w:color w:val="000000"/>
        </w:rPr>
      </w:pPr>
    </w:p>
    <w:p w14:paraId="1070B5E3" w14:textId="77777777" w:rsidR="00521D70" w:rsidRDefault="00521D70" w:rsidP="008E3E98">
      <w:pPr>
        <w:spacing w:before="120" w:after="120"/>
        <w:jc w:val="both"/>
        <w:rPr>
          <w:rFonts w:ascii="Times New Roman" w:hAnsi="Times New Roman" w:cs="Times New Roman"/>
          <w:color w:val="000000"/>
        </w:rPr>
      </w:pPr>
    </w:p>
    <w:p w14:paraId="0F969CB3" w14:textId="77777777" w:rsidR="00521D70" w:rsidRDefault="00521D70" w:rsidP="008E3E98">
      <w:pPr>
        <w:spacing w:before="120" w:after="120"/>
        <w:jc w:val="both"/>
        <w:rPr>
          <w:rFonts w:ascii="Times New Roman" w:hAnsi="Times New Roman" w:cs="Times New Roman"/>
          <w:color w:val="000000"/>
        </w:rPr>
      </w:pPr>
    </w:p>
    <w:p w14:paraId="274B21DE" w14:textId="77777777" w:rsidR="00521D70" w:rsidRDefault="00521D70" w:rsidP="008E3E98">
      <w:pPr>
        <w:spacing w:before="120" w:after="120"/>
        <w:jc w:val="both"/>
        <w:rPr>
          <w:rFonts w:ascii="Times New Roman" w:hAnsi="Times New Roman" w:cs="Times New Roman"/>
          <w:color w:val="000000"/>
        </w:rPr>
      </w:pPr>
    </w:p>
    <w:p w14:paraId="402204F3" w14:textId="77777777" w:rsidR="00521D70" w:rsidRDefault="00521D70" w:rsidP="008E3E98">
      <w:pPr>
        <w:spacing w:before="120" w:after="120"/>
        <w:jc w:val="both"/>
        <w:rPr>
          <w:rFonts w:ascii="Times New Roman" w:hAnsi="Times New Roman" w:cs="Times New Roman"/>
          <w:color w:val="000000"/>
        </w:rPr>
      </w:pPr>
    </w:p>
    <w:p w14:paraId="3F566CF8" w14:textId="77777777" w:rsidR="00521D70" w:rsidRDefault="00521D70" w:rsidP="008E3E98">
      <w:pPr>
        <w:spacing w:before="120" w:after="120"/>
        <w:jc w:val="both"/>
        <w:rPr>
          <w:rFonts w:ascii="Times New Roman" w:hAnsi="Times New Roman" w:cs="Times New Roman"/>
          <w:color w:val="000000"/>
        </w:rPr>
      </w:pPr>
    </w:p>
    <w:p w14:paraId="3BBD75FB" w14:textId="77777777" w:rsidR="00D14598" w:rsidRPr="008E3E98" w:rsidRDefault="00000000" w:rsidP="008E3E98">
      <w:pPr>
        <w:pStyle w:val="Heading2"/>
        <w:jc w:val="both"/>
        <w:rPr>
          <w:rFonts w:ascii="Times New Roman" w:hAnsi="Times New Roman" w:cs="Times New Roman"/>
          <w:sz w:val="24"/>
          <w:szCs w:val="24"/>
        </w:rPr>
      </w:pPr>
      <w:bookmarkStart w:id="29" w:name="_Toc228825826"/>
      <w:r w:rsidRPr="008E3E98">
        <w:rPr>
          <w:rFonts w:ascii="Times New Roman" w:hAnsi="Times New Roman" w:cs="Times New Roman"/>
          <w:sz w:val="24"/>
          <w:szCs w:val="24"/>
        </w:rPr>
        <w:lastRenderedPageBreak/>
        <w:t>4.5 Discussion</w:t>
      </w:r>
      <w:bookmarkEnd w:id="29"/>
    </w:p>
    <w:p w14:paraId="38E81954" w14:textId="28B71B36" w:rsidR="004A51BE" w:rsidRPr="008E3E98" w:rsidRDefault="004A51BE" w:rsidP="008E3E98">
      <w:pPr>
        <w:jc w:val="both"/>
        <w:rPr>
          <w:rFonts w:ascii="Times New Roman" w:hAnsi="Times New Roman" w:cs="Times New Roman"/>
        </w:rPr>
      </w:pPr>
      <w:r w:rsidRPr="008E3E98">
        <w:rPr>
          <w:rFonts w:ascii="Times New Roman" w:hAnsi="Times New Roman" w:cs="Times New Roman"/>
        </w:rPr>
        <w:t>The findings of this study support a central argument in alert fatigue research: clinical activity burden in ICU settings varies substantially across care settings. It cannot be effectively managed through uniform, system-wide alert strategies. Across all three negative binomial regression models, ICU unit type emerged as the strongest and most consistent predictor of daily CDS-triggering event rates. At the same time, patient demographic characteristics played a comparatively minor role. These results align with and build on prior work suggesting that the clinical environment itself, rather than individual patient characteristics, is the primary driver of alert exposure in critical care settings (Wong et al., 2023).</w:t>
      </w:r>
    </w:p>
    <w:p w14:paraId="5E16B7A9" w14:textId="77777777" w:rsidR="004A51BE" w:rsidRPr="008E3E98" w:rsidRDefault="004A51BE" w:rsidP="008E3E98">
      <w:pPr>
        <w:jc w:val="both"/>
        <w:rPr>
          <w:rFonts w:ascii="Times New Roman" w:hAnsi="Times New Roman" w:cs="Times New Roman"/>
        </w:rPr>
      </w:pPr>
    </w:p>
    <w:p w14:paraId="3B20867B" w14:textId="77777777" w:rsidR="004A51BE" w:rsidRPr="008E3E98" w:rsidRDefault="004A51BE" w:rsidP="008E3E98">
      <w:pPr>
        <w:pStyle w:val="Heading4"/>
        <w:jc w:val="both"/>
        <w:rPr>
          <w:rFonts w:ascii="Times New Roman" w:hAnsi="Times New Roman" w:cs="Times New Roman"/>
        </w:rPr>
      </w:pPr>
      <w:r w:rsidRPr="008E3E98">
        <w:rPr>
          <w:rFonts w:ascii="Times New Roman" w:hAnsi="Times New Roman" w:cs="Times New Roman"/>
        </w:rPr>
        <w:t>ICU Unit Type and Alert Burden</w:t>
      </w:r>
    </w:p>
    <w:p w14:paraId="69D3E3CA" w14:textId="19662714" w:rsidR="004A51BE" w:rsidRPr="008E3E98" w:rsidRDefault="004A51BE" w:rsidP="008E3E98">
      <w:pPr>
        <w:jc w:val="both"/>
        <w:rPr>
          <w:rFonts w:ascii="Times New Roman" w:hAnsi="Times New Roman" w:cs="Times New Roman"/>
        </w:rPr>
      </w:pPr>
      <w:r w:rsidRPr="008E3E98">
        <w:rPr>
          <w:rFonts w:ascii="Times New Roman" w:hAnsi="Times New Roman" w:cs="Times New Roman"/>
        </w:rPr>
        <w:t xml:space="preserve">The differences between units were substantial and statistically significant. MICU/SICU patients generated approximately 20% more CDS-triggering events per day than CVICU patients, while Neuro Intermediate patients generated approximately 81% fewer. These patterns </w:t>
      </w:r>
      <w:r w:rsidR="002B7C67" w:rsidRPr="008E3E98">
        <w:rPr>
          <w:rFonts w:ascii="Times New Roman" w:hAnsi="Times New Roman" w:cs="Times New Roman"/>
        </w:rPr>
        <w:t>persisted after adjusting for age, gender, and length of stay, suggesting</w:t>
      </w:r>
      <w:r w:rsidRPr="008E3E98">
        <w:rPr>
          <w:rFonts w:ascii="Times New Roman" w:hAnsi="Times New Roman" w:cs="Times New Roman"/>
        </w:rPr>
        <w:t xml:space="preserve"> unit-specific workflows and ordering practices as the main sources of variation in alert exposure. This is consistent with Wong et al. (2023), who identified unit workflow demands and excess alert quantity as key barriers to effective CDS interaction in ICU settings, and with Bakker et al. (2024), who demonstrated that tailoring alerts to specific ICU units rather than applying system-wide suppression produced the most meaningful reductions in high-risk clinical events.</w:t>
      </w:r>
    </w:p>
    <w:p w14:paraId="00D6A4B0" w14:textId="77777777" w:rsidR="004A51BE" w:rsidRPr="008E3E98" w:rsidRDefault="004A51BE" w:rsidP="008E3E98">
      <w:pPr>
        <w:jc w:val="both"/>
        <w:rPr>
          <w:rFonts w:ascii="Times New Roman" w:hAnsi="Times New Roman" w:cs="Times New Roman"/>
        </w:rPr>
      </w:pPr>
      <w:r w:rsidRPr="008E3E98">
        <w:rPr>
          <w:rFonts w:ascii="Times New Roman" w:hAnsi="Times New Roman" w:cs="Times New Roman"/>
        </w:rPr>
        <w:t>The PACU results highlight how much unit workflows matter. PACU patients had over 620% more medication orders per day than CVICU patients but far fewer laboratory events. This reflects the PACU's focus on short, intensive medication management after procedures with little need for ongoing laboratory monitoring. Using the same alert thresholds across both units would be poorly calibrated for either setting, underscoring the practical importance of unit-specific alert configuration (Bakker et al., 2024). These findings directly address RQ1 and RQ2 by demonstrating the scale of variation in event burden across units and the different ways medication and laboratory events contribute to that burden.</w:t>
      </w:r>
    </w:p>
    <w:p w14:paraId="18DBB25A" w14:textId="77777777" w:rsidR="004A51BE" w:rsidRPr="008E3E98" w:rsidRDefault="004A51BE" w:rsidP="008E3E98">
      <w:pPr>
        <w:jc w:val="both"/>
        <w:rPr>
          <w:rFonts w:ascii="Times New Roman" w:hAnsi="Times New Roman" w:cs="Times New Roman"/>
        </w:rPr>
      </w:pPr>
    </w:p>
    <w:p w14:paraId="7CC31415" w14:textId="62E6579F" w:rsidR="004A51BE" w:rsidRPr="008E3E98" w:rsidRDefault="004A51BE" w:rsidP="008E3E98">
      <w:pPr>
        <w:pStyle w:val="Heading4"/>
        <w:jc w:val="both"/>
        <w:rPr>
          <w:rFonts w:ascii="Times New Roman" w:hAnsi="Times New Roman" w:cs="Times New Roman"/>
        </w:rPr>
      </w:pPr>
      <w:r w:rsidRPr="008E3E98">
        <w:rPr>
          <w:rFonts w:ascii="Times New Roman" w:hAnsi="Times New Roman" w:cs="Times New Roman"/>
        </w:rPr>
        <w:t>Demographic Predictors and Non-Significant Findings</w:t>
      </w:r>
    </w:p>
    <w:p w14:paraId="3FD56987" w14:textId="5BB3BAC0" w:rsidR="004A51BE" w:rsidRPr="008E3E98" w:rsidRDefault="004A51BE" w:rsidP="008E3E98">
      <w:pPr>
        <w:jc w:val="both"/>
        <w:rPr>
          <w:rFonts w:ascii="Times New Roman" w:hAnsi="Times New Roman" w:cs="Times New Roman"/>
        </w:rPr>
      </w:pPr>
      <w:r w:rsidRPr="008E3E98">
        <w:rPr>
          <w:rFonts w:ascii="Times New Roman" w:hAnsi="Times New Roman" w:cs="Times New Roman"/>
        </w:rPr>
        <w:t xml:space="preserve">Age was a statistically significant predictor across all three models, but the effect was negligibly </w:t>
      </w:r>
      <w:proofErr w:type="gramStart"/>
      <w:r w:rsidRPr="008E3E98">
        <w:rPr>
          <w:rFonts w:ascii="Times New Roman" w:hAnsi="Times New Roman" w:cs="Times New Roman"/>
        </w:rPr>
        <w:t>small</w:t>
      </w:r>
      <w:proofErr w:type="gramEnd"/>
      <w:r w:rsidRPr="008E3E98">
        <w:rPr>
          <w:rFonts w:ascii="Times New Roman" w:hAnsi="Times New Roman" w:cs="Times New Roman"/>
        </w:rPr>
        <w:t xml:space="preserve"> approximately a 0.2% decrease in daily events per additional year of age. This difference is too small to matter in practice and suggests that customizing alerts based on patient demographics alone is not a productive strategy. Knowing what does not drive alert burden is just as informative as knowing what does, since it helps CDS governance teams avoid directing optimization efforts toward factors with limited impact (Ancker et al., 2017).</w:t>
      </w:r>
    </w:p>
    <w:p w14:paraId="1EA70FE2" w14:textId="77777777" w:rsidR="004A51BE" w:rsidRPr="008E3E98" w:rsidRDefault="004A51BE" w:rsidP="008E3E98">
      <w:pPr>
        <w:jc w:val="both"/>
        <w:rPr>
          <w:rFonts w:ascii="Times New Roman" w:hAnsi="Times New Roman" w:cs="Times New Roman"/>
        </w:rPr>
      </w:pPr>
    </w:p>
    <w:p w14:paraId="793E354F" w14:textId="77777777" w:rsidR="004A51BE" w:rsidRPr="008E3E98" w:rsidRDefault="004A51BE" w:rsidP="008E3E98">
      <w:pPr>
        <w:jc w:val="both"/>
        <w:rPr>
          <w:rFonts w:ascii="Times New Roman" w:hAnsi="Times New Roman" w:cs="Times New Roman"/>
        </w:rPr>
      </w:pPr>
      <w:r w:rsidRPr="008E3E98">
        <w:rPr>
          <w:rFonts w:ascii="Times New Roman" w:hAnsi="Times New Roman" w:cs="Times New Roman"/>
        </w:rPr>
        <w:t xml:space="preserve">Gender only reached statistical significance in the total events model, with male patients generating about 3.5% more events per day than female patients. This small difference likely reflects minor variations in ordering patterns rather than meaningful differences in care intensity. Taken together, the demographic findings confirm that basic patient characteristics are weak predictors of alert burden compared to unit-level factors, which </w:t>
      </w:r>
      <w:proofErr w:type="gramStart"/>
      <w:r w:rsidRPr="008E3E98">
        <w:rPr>
          <w:rFonts w:ascii="Times New Roman" w:hAnsi="Times New Roman" w:cs="Times New Roman"/>
        </w:rPr>
        <w:t>has</w:t>
      </w:r>
      <w:proofErr w:type="gramEnd"/>
      <w:r w:rsidRPr="008E3E98">
        <w:rPr>
          <w:rFonts w:ascii="Times New Roman" w:hAnsi="Times New Roman" w:cs="Times New Roman"/>
        </w:rPr>
        <w:t xml:space="preserve"> direct implications for where CDS design and calibration efforts should be focused.</w:t>
      </w:r>
    </w:p>
    <w:p w14:paraId="3CA78C60" w14:textId="77777777" w:rsidR="00EF548A" w:rsidRDefault="00EF548A" w:rsidP="008E3E98">
      <w:pPr>
        <w:jc w:val="both"/>
        <w:rPr>
          <w:rFonts w:ascii="Times New Roman" w:hAnsi="Times New Roman" w:cs="Times New Roman"/>
        </w:rPr>
      </w:pPr>
    </w:p>
    <w:p w14:paraId="748BA1C1" w14:textId="77777777" w:rsidR="00D21F79" w:rsidRDefault="00D21F79" w:rsidP="008E3E98">
      <w:pPr>
        <w:jc w:val="both"/>
        <w:rPr>
          <w:rFonts w:ascii="Times New Roman" w:hAnsi="Times New Roman" w:cs="Times New Roman"/>
        </w:rPr>
      </w:pPr>
    </w:p>
    <w:p w14:paraId="69419584" w14:textId="77777777" w:rsidR="00D21F79" w:rsidRPr="008E3E98" w:rsidRDefault="00D21F79" w:rsidP="008E3E98">
      <w:pPr>
        <w:jc w:val="both"/>
        <w:rPr>
          <w:rFonts w:ascii="Times New Roman" w:hAnsi="Times New Roman" w:cs="Times New Roman"/>
        </w:rPr>
      </w:pPr>
    </w:p>
    <w:p w14:paraId="62900CA9" w14:textId="77777777" w:rsidR="004A51BE" w:rsidRPr="008E3E98" w:rsidRDefault="004A51BE" w:rsidP="008E3E98">
      <w:pPr>
        <w:pStyle w:val="Heading4"/>
        <w:jc w:val="both"/>
        <w:rPr>
          <w:rFonts w:ascii="Times New Roman" w:hAnsi="Times New Roman" w:cs="Times New Roman"/>
        </w:rPr>
      </w:pPr>
      <w:r w:rsidRPr="008E3E98">
        <w:rPr>
          <w:rFonts w:ascii="Times New Roman" w:hAnsi="Times New Roman" w:cs="Times New Roman"/>
        </w:rPr>
        <w:lastRenderedPageBreak/>
        <w:t>Temporal Clustering and Burst Activity</w:t>
      </w:r>
    </w:p>
    <w:p w14:paraId="4BD26D2D" w14:textId="77777777" w:rsidR="00597AF9" w:rsidRPr="008E3E98" w:rsidRDefault="004A51BE" w:rsidP="008E3E98">
      <w:pPr>
        <w:jc w:val="both"/>
        <w:rPr>
          <w:rFonts w:ascii="Times New Roman" w:hAnsi="Times New Roman" w:cs="Times New Roman"/>
        </w:rPr>
      </w:pPr>
      <w:r w:rsidRPr="008E3E98">
        <w:rPr>
          <w:rFonts w:ascii="Times New Roman" w:hAnsi="Times New Roman" w:cs="Times New Roman"/>
        </w:rPr>
        <w:t xml:space="preserve">Alert systems are most overloaded precisely when </w:t>
      </w:r>
      <w:r w:rsidR="00597AF9" w:rsidRPr="008E3E98">
        <w:rPr>
          <w:rFonts w:ascii="Times New Roman" w:hAnsi="Times New Roman" w:cs="Times New Roman"/>
        </w:rPr>
        <w:t>the clinician's</w:t>
      </w:r>
      <w:r w:rsidRPr="008E3E98">
        <w:rPr>
          <w:rFonts w:ascii="Times New Roman" w:hAnsi="Times New Roman" w:cs="Times New Roman"/>
        </w:rPr>
        <w:t xml:space="preserve"> cognitive demand is already highest. With 81.4% of medication orders concentrated in the day and evening shifts and peak activity at 8am, 10am, and 8pm</w:t>
      </w:r>
      <w:r w:rsidR="00597AF9" w:rsidRPr="008E3E98">
        <w:rPr>
          <w:rFonts w:ascii="Times New Roman" w:hAnsi="Times New Roman" w:cs="Times New Roman"/>
        </w:rPr>
        <w:t>, during morning rounds and shift transitions,</w:t>
      </w:r>
      <w:r w:rsidRPr="008E3E98">
        <w:rPr>
          <w:rFonts w:ascii="Times New Roman" w:hAnsi="Times New Roman" w:cs="Times New Roman"/>
        </w:rPr>
        <w:t xml:space="preserve"> the conditions for alert fatigue are most acute at the moments when accurate clinical decision-making matters most. This pattern is consistent with prior research identifying cognitive overload as a primary mechanism of alert fatigue alongside desensitization from repeated alerts (Ancker et al., 2017).</w:t>
      </w:r>
    </w:p>
    <w:p w14:paraId="0E871AB8" w14:textId="77777777" w:rsidR="00597AF9" w:rsidRPr="008E3E98" w:rsidRDefault="00597AF9" w:rsidP="008E3E98">
      <w:pPr>
        <w:jc w:val="both"/>
        <w:rPr>
          <w:rFonts w:ascii="Times New Roman" w:hAnsi="Times New Roman" w:cs="Times New Roman"/>
        </w:rPr>
      </w:pPr>
    </w:p>
    <w:p w14:paraId="4B429E10" w14:textId="5349A882" w:rsidR="004A51BE" w:rsidRPr="008E3E98" w:rsidRDefault="004A51BE" w:rsidP="008E3E98">
      <w:pPr>
        <w:jc w:val="both"/>
        <w:rPr>
          <w:rFonts w:ascii="Times New Roman" w:hAnsi="Times New Roman" w:cs="Times New Roman"/>
        </w:rPr>
      </w:pPr>
      <w:r w:rsidRPr="008E3E98">
        <w:rPr>
          <w:rFonts w:ascii="Times New Roman" w:hAnsi="Times New Roman" w:cs="Times New Roman"/>
        </w:rPr>
        <w:t xml:space="preserve"> The burst metric further reveals that many ICU admissions experience concentrated spikes of ordering activity within 60-minute windows, with a median burst intensity of 18 orders per hour. These spikes represent particularly high-risk windows for alert fatigue, as clinicians must process </w:t>
      </w:r>
      <w:proofErr w:type="gramStart"/>
      <w:r w:rsidRPr="008E3E98">
        <w:rPr>
          <w:rFonts w:ascii="Times New Roman" w:hAnsi="Times New Roman" w:cs="Times New Roman"/>
        </w:rPr>
        <w:t>a large number of</w:t>
      </w:r>
      <w:proofErr w:type="gramEnd"/>
      <w:r w:rsidRPr="008E3E98">
        <w:rPr>
          <w:rFonts w:ascii="Times New Roman" w:hAnsi="Times New Roman" w:cs="Times New Roman"/>
        </w:rPr>
        <w:t xml:space="preserve"> notifications in a short time.</w:t>
      </w:r>
    </w:p>
    <w:p w14:paraId="5816C19A" w14:textId="77777777" w:rsidR="00EF548A" w:rsidRPr="008E3E98" w:rsidRDefault="00EF548A" w:rsidP="008E3E98">
      <w:pPr>
        <w:jc w:val="both"/>
        <w:rPr>
          <w:rFonts w:ascii="Times New Roman" w:hAnsi="Times New Roman" w:cs="Times New Roman"/>
        </w:rPr>
      </w:pPr>
    </w:p>
    <w:p w14:paraId="55B6B084" w14:textId="77777777" w:rsidR="004A51BE" w:rsidRPr="008E3E98" w:rsidRDefault="004A51BE" w:rsidP="008E3E98">
      <w:pPr>
        <w:pStyle w:val="Heading4"/>
        <w:jc w:val="both"/>
        <w:rPr>
          <w:rFonts w:ascii="Times New Roman" w:hAnsi="Times New Roman" w:cs="Times New Roman"/>
        </w:rPr>
      </w:pPr>
      <w:r w:rsidRPr="008E3E98">
        <w:rPr>
          <w:rFonts w:ascii="Times New Roman" w:hAnsi="Times New Roman" w:cs="Times New Roman"/>
        </w:rPr>
        <w:t>Suppression Scenario Analysis</w:t>
      </w:r>
    </w:p>
    <w:p w14:paraId="5C9E9696" w14:textId="77777777" w:rsidR="004A51BE" w:rsidRPr="008E3E98" w:rsidRDefault="004A51BE" w:rsidP="008E3E98">
      <w:pPr>
        <w:jc w:val="both"/>
        <w:rPr>
          <w:rFonts w:ascii="Times New Roman" w:hAnsi="Times New Roman" w:cs="Times New Roman"/>
        </w:rPr>
      </w:pPr>
      <w:r w:rsidRPr="008E3E98">
        <w:rPr>
          <w:rFonts w:ascii="Times New Roman" w:hAnsi="Times New Roman" w:cs="Times New Roman"/>
        </w:rPr>
        <w:t>The suppression scenario analysis shows what targeted interventions could realistically achieve. Simulating a 15% reduction in duplicate medication orders and a 20% reduction in redundant laboratory events produced meaningful shifts in the distribution of high-burden encounters, demonstrating that even modest, focused changes can make a real difference in alert exposure at the population level. These findings are framed as simulations rather than measured reductions, and their real-world impact would depend on the specific CDS configurations and clinical workflows at each institution. Nevertheless, they give CDS governance teams concrete, data-grounded estimates to support the case for targeted alert optimization rather than broad system-wide suppression.</w:t>
      </w:r>
    </w:p>
    <w:p w14:paraId="49E4BCDE" w14:textId="77777777" w:rsidR="00EF548A" w:rsidRPr="008E3E98" w:rsidRDefault="00EF548A" w:rsidP="008E3E98">
      <w:pPr>
        <w:jc w:val="both"/>
        <w:rPr>
          <w:rFonts w:ascii="Times New Roman" w:hAnsi="Times New Roman" w:cs="Times New Roman"/>
        </w:rPr>
      </w:pPr>
    </w:p>
    <w:p w14:paraId="4B03E224" w14:textId="77777777" w:rsidR="004A51BE" w:rsidRPr="008E3E98" w:rsidRDefault="004A51BE" w:rsidP="008E3E98">
      <w:pPr>
        <w:pStyle w:val="Heading4"/>
        <w:jc w:val="both"/>
        <w:rPr>
          <w:rFonts w:ascii="Times New Roman" w:hAnsi="Times New Roman" w:cs="Times New Roman"/>
        </w:rPr>
      </w:pPr>
      <w:r w:rsidRPr="008E3E98">
        <w:rPr>
          <w:rFonts w:ascii="Times New Roman" w:hAnsi="Times New Roman" w:cs="Times New Roman"/>
        </w:rPr>
        <w:t>Implications for CDS Design and Alert Management</w:t>
      </w:r>
    </w:p>
    <w:p w14:paraId="6F075D43" w14:textId="77777777" w:rsidR="004A51BE" w:rsidRPr="008E3E98" w:rsidRDefault="004A51BE" w:rsidP="008E3E98">
      <w:pPr>
        <w:jc w:val="both"/>
        <w:rPr>
          <w:rFonts w:ascii="Times New Roman" w:hAnsi="Times New Roman" w:cs="Times New Roman"/>
        </w:rPr>
      </w:pPr>
      <w:r w:rsidRPr="008E3E98">
        <w:rPr>
          <w:rFonts w:ascii="Times New Roman" w:hAnsi="Times New Roman" w:cs="Times New Roman"/>
        </w:rPr>
        <w:t>These results have clear implications for how CDS systems should be designed and managed in ICU settings. Alert thresholds and suppression rules need to be set at the unit level rather than applied uniformly across a hospital system. High-volume units like MICU/SICU are at greater risk for alert fatigue and should be the primary focus for deduplication and suppression strategies (Bakker et al., 2024). Lower-volume units may need less aggressive intervention, but their alerts should be as relevant and actionable as possible to preserve clinician trust in the system (Wong et al., 2023).</w:t>
      </w:r>
    </w:p>
    <w:p w14:paraId="16688000" w14:textId="77777777" w:rsidR="00597AF9" w:rsidRPr="008E3E98" w:rsidRDefault="00597AF9" w:rsidP="008E3E98">
      <w:pPr>
        <w:jc w:val="both"/>
        <w:rPr>
          <w:rFonts w:ascii="Times New Roman" w:hAnsi="Times New Roman" w:cs="Times New Roman"/>
        </w:rPr>
      </w:pPr>
    </w:p>
    <w:p w14:paraId="0891B98C" w14:textId="77777777" w:rsidR="004A51BE" w:rsidRPr="008E3E98" w:rsidRDefault="004A51BE" w:rsidP="008E3E98">
      <w:pPr>
        <w:jc w:val="both"/>
        <w:rPr>
          <w:rFonts w:ascii="Times New Roman" w:hAnsi="Times New Roman" w:cs="Times New Roman"/>
        </w:rPr>
      </w:pPr>
      <w:r w:rsidRPr="008E3E98">
        <w:rPr>
          <w:rFonts w:ascii="Times New Roman" w:hAnsi="Times New Roman" w:cs="Times New Roman"/>
        </w:rPr>
        <w:t xml:space="preserve">Shift-aware alert management offers another practical </w:t>
      </w:r>
      <w:proofErr w:type="gramStart"/>
      <w:r w:rsidRPr="008E3E98">
        <w:rPr>
          <w:rFonts w:ascii="Times New Roman" w:hAnsi="Times New Roman" w:cs="Times New Roman"/>
        </w:rPr>
        <w:t>lever</w:t>
      </w:r>
      <w:proofErr w:type="gramEnd"/>
      <w:r w:rsidRPr="008E3E98">
        <w:rPr>
          <w:rFonts w:ascii="Times New Roman" w:hAnsi="Times New Roman" w:cs="Times New Roman"/>
        </w:rPr>
        <w:t>. Reducing non-urgent notifications during peak ordering windows can lower alert fatigue without suppressing clinically critical warnings. This aligns with the core CDS design principle of delivering the right alert to the right clinician at the right time, which has been identified as a key determinant of CDS effectiveness in prior research (Sutton et al., 2020).</w:t>
      </w:r>
    </w:p>
    <w:p w14:paraId="1366F821" w14:textId="77777777" w:rsidR="00597AF9" w:rsidRPr="008E3E98" w:rsidRDefault="00597AF9" w:rsidP="008E3E98">
      <w:pPr>
        <w:jc w:val="both"/>
        <w:rPr>
          <w:rFonts w:ascii="Times New Roman" w:hAnsi="Times New Roman" w:cs="Times New Roman"/>
        </w:rPr>
      </w:pPr>
    </w:p>
    <w:p w14:paraId="5987DA0B" w14:textId="77777777" w:rsidR="004A51BE" w:rsidRPr="008E3E98" w:rsidRDefault="004A51BE" w:rsidP="008E3E98">
      <w:pPr>
        <w:jc w:val="both"/>
        <w:rPr>
          <w:rFonts w:ascii="Times New Roman" w:hAnsi="Times New Roman" w:cs="Times New Roman"/>
        </w:rPr>
      </w:pPr>
      <w:r w:rsidRPr="008E3E98">
        <w:rPr>
          <w:rFonts w:ascii="Times New Roman" w:hAnsi="Times New Roman" w:cs="Times New Roman"/>
        </w:rPr>
        <w:t>Finally, this study demonstrates that open, publicly available ICU data can serve as a practical and reproducible alternative to proprietary EHR alert logs for studying CDS event burden. By using MIMIC-IV and applying negative binomial regression, this analysis provides a framework that other researchers and CDS teams can replicate and adapt without requiring access to institutional alert data, helping to close a gap in the literature where most prior work has been limited to single-institution studies with closed data (Wong et al., 2023; Kouri et al., 2023).</w:t>
      </w:r>
    </w:p>
    <w:p w14:paraId="0E11BA21" w14:textId="77777777" w:rsidR="00D14598" w:rsidRPr="008E3E98" w:rsidRDefault="00000000" w:rsidP="008E3E98">
      <w:pPr>
        <w:jc w:val="both"/>
        <w:rPr>
          <w:rFonts w:ascii="Times New Roman" w:hAnsi="Times New Roman" w:cs="Times New Roman"/>
        </w:rPr>
      </w:pPr>
      <w:r w:rsidRPr="008E3E98">
        <w:rPr>
          <w:rFonts w:ascii="Times New Roman" w:hAnsi="Times New Roman" w:cs="Times New Roman"/>
        </w:rPr>
        <w:br w:type="page"/>
      </w:r>
    </w:p>
    <w:p w14:paraId="591E355D" w14:textId="77777777" w:rsidR="00D14598" w:rsidRPr="008E3E98" w:rsidRDefault="00000000" w:rsidP="008E3E98">
      <w:pPr>
        <w:pStyle w:val="Heading1"/>
        <w:jc w:val="both"/>
        <w:rPr>
          <w:rFonts w:ascii="Times New Roman" w:hAnsi="Times New Roman" w:cs="Times New Roman"/>
          <w:sz w:val="24"/>
          <w:szCs w:val="24"/>
        </w:rPr>
      </w:pPr>
      <w:bookmarkStart w:id="30" w:name="_Toc228825827"/>
      <w:r w:rsidRPr="008E3E98">
        <w:rPr>
          <w:rFonts w:ascii="Times New Roman" w:hAnsi="Times New Roman" w:cs="Times New Roman"/>
          <w:sz w:val="24"/>
          <w:szCs w:val="24"/>
        </w:rPr>
        <w:lastRenderedPageBreak/>
        <w:t>5. Conclusions</w:t>
      </w:r>
      <w:bookmarkEnd w:id="30"/>
    </w:p>
    <w:p w14:paraId="7C25A566" w14:textId="62D592AB" w:rsidR="00355D66" w:rsidRPr="008E3E98" w:rsidRDefault="00355D66" w:rsidP="008E3E98">
      <w:pPr>
        <w:jc w:val="both"/>
        <w:rPr>
          <w:rFonts w:ascii="Times New Roman" w:hAnsi="Times New Roman" w:cs="Times New Roman"/>
        </w:rPr>
      </w:pPr>
      <w:r w:rsidRPr="008E3E98">
        <w:rPr>
          <w:rFonts w:ascii="Times New Roman" w:hAnsi="Times New Roman" w:cs="Times New Roman"/>
        </w:rPr>
        <w:t>Alert fatigue in ICU clinical decision support is not just about having too many alerts. The real issue is that the alert burden varies widely by unit type, workflow, and patient encounter. Using medication orders and laboratory events from MIMIC-IV as proxies for CDS-triggering activity, this study found that some ICUs, particularly MICU/SICU, face substantially higher daily event volumes than others, such as CVICU or Neuro Intermediate. The data make clear that alert burden is uneven and closely tied to the care setting, which means that generic, one-size-fits-all solutions are unlikely to work. The structure of ICU workflows themselves drives much of the alert burden (Wong et al., 2023).</w:t>
      </w:r>
    </w:p>
    <w:p w14:paraId="207AD9CA" w14:textId="77777777" w:rsidR="00355D66" w:rsidRPr="008E3E98" w:rsidRDefault="00355D66" w:rsidP="008E3E98">
      <w:pPr>
        <w:jc w:val="both"/>
        <w:rPr>
          <w:rFonts w:ascii="Times New Roman" w:hAnsi="Times New Roman" w:cs="Times New Roman"/>
        </w:rPr>
      </w:pPr>
    </w:p>
    <w:p w14:paraId="4B474353" w14:textId="29576B0D" w:rsidR="00355D66" w:rsidRPr="008E3E98" w:rsidRDefault="00355D66" w:rsidP="008E3E98">
      <w:pPr>
        <w:jc w:val="both"/>
        <w:rPr>
          <w:rFonts w:ascii="Times New Roman" w:hAnsi="Times New Roman" w:cs="Times New Roman"/>
        </w:rPr>
      </w:pPr>
      <w:r w:rsidRPr="008E3E98">
        <w:rPr>
          <w:rFonts w:ascii="Times New Roman" w:hAnsi="Times New Roman" w:cs="Times New Roman"/>
        </w:rPr>
        <w:t>This study addressed three research questions, moving from description to modeling to intervention simulation. RQ1 was answered by documenting substantial variation in CDS-triggering event rates across ICU encounters, with ICU unit type emerging as the strongest predictor. RQ2 was addressed by showing that medication orders and laboratory events contribute differently to overall burden across units, most notably in PACU, where high medication ordering rates coincided with very low laboratory activity. RQ3 was addressed through suppression scenario simulations, which demonstrated that targeted reductions in duplicate medication orders and redundant laboratory events could meaningfully lower high-burden encounters without broad system-wide suppression (Kouri et al., 2023).</w:t>
      </w:r>
    </w:p>
    <w:p w14:paraId="20EC5E03" w14:textId="77777777" w:rsidR="00355D66" w:rsidRPr="008E3E98" w:rsidRDefault="00355D66" w:rsidP="008E3E98">
      <w:pPr>
        <w:jc w:val="both"/>
        <w:rPr>
          <w:rFonts w:ascii="Times New Roman" w:hAnsi="Times New Roman" w:cs="Times New Roman"/>
        </w:rPr>
      </w:pPr>
    </w:p>
    <w:p w14:paraId="07EE9801" w14:textId="3C0E40A8" w:rsidR="00355D66" w:rsidRPr="008E3E98" w:rsidRDefault="00355D66" w:rsidP="008E3E98">
      <w:pPr>
        <w:jc w:val="both"/>
        <w:rPr>
          <w:rFonts w:ascii="Times New Roman" w:hAnsi="Times New Roman" w:cs="Times New Roman"/>
        </w:rPr>
      </w:pPr>
      <w:r w:rsidRPr="008E3E98">
        <w:rPr>
          <w:rFonts w:ascii="Times New Roman" w:hAnsi="Times New Roman" w:cs="Times New Roman"/>
        </w:rPr>
        <w:t xml:space="preserve">Timing and type of CDS-triggering events also matter. Medication orders and laboratory tests are not spread evenly throughout the day. Clinicians often face bursts of activity during already demanding periods, particularly at shift transitions and morning rounds (Ancker et al., 2017). This helps explain why alert fatigue persists even when alerts are designed to improve safety. When too many low-value or repetitive alerts accumulate during peak times, clinicians start ignoring </w:t>
      </w:r>
      <w:proofErr w:type="gramStart"/>
      <w:r w:rsidRPr="008E3E98">
        <w:rPr>
          <w:rFonts w:ascii="Times New Roman" w:hAnsi="Times New Roman" w:cs="Times New Roman"/>
        </w:rPr>
        <w:t>them  including</w:t>
      </w:r>
      <w:proofErr w:type="gramEnd"/>
      <w:r w:rsidRPr="008E3E98">
        <w:rPr>
          <w:rFonts w:ascii="Times New Roman" w:hAnsi="Times New Roman" w:cs="Times New Roman"/>
        </w:rPr>
        <w:t xml:space="preserve"> the ones that matter. The problem is not just how many alerts there are, but whether they are relevant, well-timed, and suited to the clinical context.</w:t>
      </w:r>
    </w:p>
    <w:p w14:paraId="5FB44668" w14:textId="77777777" w:rsidR="00355D66" w:rsidRPr="008E3E98" w:rsidRDefault="00355D66" w:rsidP="008E3E98">
      <w:pPr>
        <w:jc w:val="both"/>
        <w:rPr>
          <w:rFonts w:ascii="Times New Roman" w:hAnsi="Times New Roman" w:cs="Times New Roman"/>
        </w:rPr>
      </w:pPr>
    </w:p>
    <w:p w14:paraId="674A1176" w14:textId="77777777" w:rsidR="00355D66" w:rsidRPr="008E3E98" w:rsidRDefault="00355D66" w:rsidP="008E3E98">
      <w:pPr>
        <w:jc w:val="both"/>
        <w:rPr>
          <w:rFonts w:ascii="Times New Roman" w:hAnsi="Times New Roman" w:cs="Times New Roman"/>
        </w:rPr>
      </w:pPr>
      <w:r w:rsidRPr="008E3E98">
        <w:rPr>
          <w:rFonts w:ascii="Times New Roman" w:hAnsi="Times New Roman" w:cs="Times New Roman"/>
        </w:rPr>
        <w:t xml:space="preserve">This project also offers a practical framework for studying alert fatigue without access to proprietary alert logs. By using clinical activity as a proxy for alert exposure, health systems can identify where CDS burden is highest and where to focus optimization efforts. The next step is to test these findings with real alert data, examine how clinicians </w:t>
      </w:r>
      <w:proofErr w:type="gramStart"/>
      <w:r w:rsidRPr="008E3E98">
        <w:rPr>
          <w:rFonts w:ascii="Times New Roman" w:hAnsi="Times New Roman" w:cs="Times New Roman"/>
        </w:rPr>
        <w:t>actually respond</w:t>
      </w:r>
      <w:proofErr w:type="gramEnd"/>
      <w:r w:rsidRPr="008E3E98">
        <w:rPr>
          <w:rFonts w:ascii="Times New Roman" w:hAnsi="Times New Roman" w:cs="Times New Roman"/>
        </w:rPr>
        <w:t xml:space="preserve"> to alerts in high-burden units, and evaluate whether unit-specific CDS redesigns improve workflow, responsiveness, and patient safety. Reducing alert fatigue will take more than uniform alerting. We need smarter CDS systems that deliver the right alert to the right clinician at the right time (Sutton et al., 2020).</w:t>
      </w:r>
    </w:p>
    <w:p w14:paraId="42965F5E" w14:textId="2D735A7A" w:rsidR="00D14598" w:rsidRPr="008E3E98" w:rsidRDefault="00EF548A" w:rsidP="008E3E98">
      <w:pPr>
        <w:jc w:val="both"/>
        <w:rPr>
          <w:rFonts w:ascii="Times New Roman" w:hAnsi="Times New Roman" w:cs="Times New Roman"/>
        </w:rPr>
      </w:pPr>
      <w:r w:rsidRPr="008E3E98">
        <w:rPr>
          <w:rFonts w:ascii="Times New Roman" w:hAnsi="Times New Roman" w:cs="Times New Roman"/>
        </w:rPr>
        <w:t xml:space="preserve"> </w:t>
      </w:r>
    </w:p>
    <w:p w14:paraId="0F028DA7" w14:textId="77777777" w:rsidR="00C8399C" w:rsidRPr="008E3E98" w:rsidRDefault="00C8399C" w:rsidP="008E3E98">
      <w:pPr>
        <w:jc w:val="both"/>
        <w:rPr>
          <w:rFonts w:ascii="Times New Roman" w:hAnsi="Times New Roman" w:cs="Times New Roman"/>
        </w:rPr>
      </w:pPr>
    </w:p>
    <w:p w14:paraId="71E6A84E" w14:textId="77777777" w:rsidR="00C8399C" w:rsidRPr="008E3E98" w:rsidRDefault="00C8399C" w:rsidP="008E3E98">
      <w:pPr>
        <w:jc w:val="both"/>
        <w:rPr>
          <w:rFonts w:ascii="Times New Roman" w:hAnsi="Times New Roman" w:cs="Times New Roman"/>
        </w:rPr>
      </w:pPr>
    </w:p>
    <w:p w14:paraId="5E072D08" w14:textId="77777777" w:rsidR="00C8399C" w:rsidRDefault="00C8399C" w:rsidP="008E3E98">
      <w:pPr>
        <w:jc w:val="both"/>
        <w:rPr>
          <w:rFonts w:ascii="Times New Roman" w:hAnsi="Times New Roman" w:cs="Times New Roman"/>
        </w:rPr>
      </w:pPr>
    </w:p>
    <w:p w14:paraId="37BC3D99" w14:textId="77777777" w:rsidR="008E3E98" w:rsidRDefault="008E3E98" w:rsidP="008E3E98">
      <w:pPr>
        <w:jc w:val="both"/>
        <w:rPr>
          <w:rFonts w:ascii="Times New Roman" w:hAnsi="Times New Roman" w:cs="Times New Roman"/>
        </w:rPr>
      </w:pPr>
    </w:p>
    <w:p w14:paraId="0655A715" w14:textId="77777777" w:rsidR="008E3E98" w:rsidRDefault="008E3E98" w:rsidP="008E3E98">
      <w:pPr>
        <w:jc w:val="both"/>
        <w:rPr>
          <w:rFonts w:ascii="Times New Roman" w:hAnsi="Times New Roman" w:cs="Times New Roman"/>
        </w:rPr>
      </w:pPr>
    </w:p>
    <w:p w14:paraId="42FF8D9E" w14:textId="77777777" w:rsidR="008E3E98" w:rsidRDefault="008E3E98" w:rsidP="008E3E98">
      <w:pPr>
        <w:jc w:val="both"/>
        <w:rPr>
          <w:rFonts w:ascii="Times New Roman" w:hAnsi="Times New Roman" w:cs="Times New Roman"/>
        </w:rPr>
      </w:pPr>
    </w:p>
    <w:p w14:paraId="38FD0D9C" w14:textId="77777777" w:rsidR="008E3E98" w:rsidRPr="008E3E98" w:rsidRDefault="008E3E98" w:rsidP="008E3E98">
      <w:pPr>
        <w:jc w:val="both"/>
        <w:rPr>
          <w:rFonts w:ascii="Times New Roman" w:hAnsi="Times New Roman" w:cs="Times New Roman"/>
        </w:rPr>
      </w:pPr>
    </w:p>
    <w:p w14:paraId="1DD58353" w14:textId="2E54A7C3" w:rsidR="00D14598" w:rsidRPr="008E3E98" w:rsidRDefault="00000000" w:rsidP="008E3E98">
      <w:pPr>
        <w:pStyle w:val="Heading1"/>
        <w:jc w:val="both"/>
        <w:rPr>
          <w:rFonts w:ascii="Times New Roman" w:hAnsi="Times New Roman" w:cs="Times New Roman"/>
          <w:sz w:val="24"/>
          <w:szCs w:val="24"/>
        </w:rPr>
      </w:pPr>
      <w:bookmarkStart w:id="31" w:name="_Toc228825828"/>
      <w:r w:rsidRPr="008E3E98">
        <w:rPr>
          <w:rFonts w:ascii="Times New Roman" w:hAnsi="Times New Roman" w:cs="Times New Roman"/>
          <w:sz w:val="24"/>
          <w:szCs w:val="24"/>
        </w:rPr>
        <w:lastRenderedPageBreak/>
        <w:t>6. Recommendations and Future Work</w:t>
      </w:r>
      <w:bookmarkEnd w:id="31"/>
    </w:p>
    <w:p w14:paraId="231BC964" w14:textId="77777777" w:rsidR="00D14598" w:rsidRPr="008E3E98" w:rsidRDefault="00000000" w:rsidP="008E3E98">
      <w:pPr>
        <w:pStyle w:val="Heading2"/>
        <w:jc w:val="both"/>
        <w:rPr>
          <w:rFonts w:ascii="Times New Roman" w:hAnsi="Times New Roman" w:cs="Times New Roman"/>
          <w:sz w:val="24"/>
          <w:szCs w:val="24"/>
        </w:rPr>
      </w:pPr>
      <w:bookmarkStart w:id="32" w:name="_Toc228825829"/>
      <w:r w:rsidRPr="008E3E98">
        <w:rPr>
          <w:rFonts w:ascii="Times New Roman" w:hAnsi="Times New Roman" w:cs="Times New Roman"/>
          <w:sz w:val="24"/>
          <w:szCs w:val="24"/>
        </w:rPr>
        <w:t>6.1 Practical Recommendations</w:t>
      </w:r>
      <w:bookmarkEnd w:id="32"/>
    </w:p>
    <w:p w14:paraId="414DED38" w14:textId="77777777" w:rsidR="00EE3D61" w:rsidRPr="008E3E98" w:rsidRDefault="00EE3D61" w:rsidP="008E3E98">
      <w:pPr>
        <w:jc w:val="both"/>
        <w:rPr>
          <w:rFonts w:ascii="Times New Roman" w:hAnsi="Times New Roman" w:cs="Times New Roman"/>
        </w:rPr>
      </w:pPr>
      <w:r w:rsidRPr="008E3E98">
        <w:rPr>
          <w:rFonts w:ascii="Times New Roman" w:hAnsi="Times New Roman" w:cs="Times New Roman"/>
        </w:rPr>
        <w:t>Based on these findings, healthcare systems and CDS designers should move away from a one-size-fits-all alert strategy. The results suggest that alert burden is shaped by unit workflow, patient acuity, and timing, which means the same alert logic will not have the same impact in every ICU setting (Wong et al., 2023). A better approach would be to tailor alert behavior to the clinical environment. Units with consistently higher CDS-triggering activity, such as mixed medical-surgical settings, may benefit from more aggressive filtering of low-value or repetitive alerts, while lower-burden units may need a different threshold for interruption (Bakker et al., 2024).</w:t>
      </w:r>
    </w:p>
    <w:p w14:paraId="7E1A447F" w14:textId="77777777" w:rsidR="00EE3D61" w:rsidRPr="008E3E98" w:rsidRDefault="00EE3D61" w:rsidP="008E3E98">
      <w:pPr>
        <w:jc w:val="both"/>
        <w:rPr>
          <w:rFonts w:ascii="Times New Roman" w:hAnsi="Times New Roman" w:cs="Times New Roman"/>
        </w:rPr>
      </w:pPr>
    </w:p>
    <w:p w14:paraId="65924D4A" w14:textId="10D28754" w:rsidR="00EE3D61" w:rsidRPr="008E3E98" w:rsidRDefault="00EE3D61" w:rsidP="008E3E98">
      <w:pPr>
        <w:jc w:val="both"/>
        <w:rPr>
          <w:rFonts w:ascii="Times New Roman" w:hAnsi="Times New Roman" w:cs="Times New Roman"/>
        </w:rPr>
      </w:pPr>
      <w:r w:rsidRPr="008E3E98">
        <w:rPr>
          <w:rFonts w:ascii="Times New Roman" w:hAnsi="Times New Roman" w:cs="Times New Roman"/>
        </w:rPr>
        <w:t xml:space="preserve">Another practical step is to reduce duplicate and redundant alerts. If the same medication issue or laboratory concern is being flagged repeatedly within a short time frame, the system should recognize that repetition and avoid interrupting the clinician with the same warning </w:t>
      </w:r>
      <w:r w:rsidR="00D21F79" w:rsidRPr="008E3E98">
        <w:rPr>
          <w:rFonts w:ascii="Times New Roman" w:hAnsi="Times New Roman" w:cs="Times New Roman"/>
        </w:rPr>
        <w:t>repeatedly</w:t>
      </w:r>
      <w:r w:rsidRPr="008E3E98">
        <w:rPr>
          <w:rFonts w:ascii="Times New Roman" w:hAnsi="Times New Roman" w:cs="Times New Roman"/>
        </w:rPr>
        <w:t xml:space="preserve">. This kind of suppression would help preserve attention </w:t>
      </w:r>
      <w:r w:rsidR="004966E9">
        <w:rPr>
          <w:rFonts w:ascii="Times New Roman" w:hAnsi="Times New Roman" w:cs="Times New Roman"/>
        </w:rPr>
        <w:t xml:space="preserve">to new, time-sensitive, or clinically meaningful alerts </w:t>
      </w:r>
      <w:r w:rsidRPr="008E3E98">
        <w:rPr>
          <w:rFonts w:ascii="Times New Roman" w:hAnsi="Times New Roman" w:cs="Times New Roman"/>
        </w:rPr>
        <w:t>(Ancker et al., 2017). In the same way, designers should think more carefully about when alerts appear. If alert burden tends to cluster during already busy periods, then shift-aware timing rules or less interruptive alert formats could help reduce unnecessary disruption to workflow (AHRQ, 2019).</w:t>
      </w:r>
    </w:p>
    <w:p w14:paraId="58645713" w14:textId="77777777" w:rsidR="00EE3D61" w:rsidRPr="008E3E98" w:rsidRDefault="00EE3D61" w:rsidP="008E3E98">
      <w:pPr>
        <w:jc w:val="both"/>
        <w:rPr>
          <w:rFonts w:ascii="Times New Roman" w:hAnsi="Times New Roman" w:cs="Times New Roman"/>
        </w:rPr>
      </w:pPr>
    </w:p>
    <w:p w14:paraId="38AC08D1" w14:textId="77777777" w:rsidR="00EE3D61" w:rsidRPr="008E3E98" w:rsidRDefault="00EE3D61" w:rsidP="008E3E98">
      <w:pPr>
        <w:jc w:val="both"/>
        <w:rPr>
          <w:rFonts w:ascii="Times New Roman" w:hAnsi="Times New Roman" w:cs="Times New Roman"/>
        </w:rPr>
      </w:pPr>
      <w:r w:rsidRPr="008E3E98">
        <w:rPr>
          <w:rFonts w:ascii="Times New Roman" w:hAnsi="Times New Roman" w:cs="Times New Roman"/>
        </w:rPr>
        <w:t>Healthcare organizations should also use local data more actively when evaluating CDS performance. Even when direct alert-log data are not available, hospitals can still examine patterns in medication orders, laboratory activity, unit type, and length of stay to identify where alert burden is likely to be highest. That kind of monitoring can help organizations prioritize CDS improvements in the places where clinicians are most at risk of overload (Kouri et al., 2023). Overall, the practical takeaway from this study is that CDS systems should aim to be more selective, more context-aware, and more responsive to real clinical workflow rather than simply generating more warnings in the name of safety (Sutton et al., 2020).</w:t>
      </w:r>
    </w:p>
    <w:p w14:paraId="1EB16EBF" w14:textId="28A15637" w:rsidR="00D14598" w:rsidRPr="008E3E98" w:rsidRDefault="00000000" w:rsidP="008E3E98">
      <w:pPr>
        <w:pStyle w:val="Heading2"/>
        <w:jc w:val="both"/>
        <w:rPr>
          <w:rFonts w:ascii="Times New Roman" w:hAnsi="Times New Roman" w:cs="Times New Roman"/>
          <w:sz w:val="24"/>
          <w:szCs w:val="24"/>
        </w:rPr>
      </w:pPr>
      <w:bookmarkStart w:id="33" w:name="_Toc228825830"/>
      <w:r w:rsidRPr="008E3E98">
        <w:rPr>
          <w:rFonts w:ascii="Times New Roman" w:hAnsi="Times New Roman" w:cs="Times New Roman"/>
          <w:sz w:val="24"/>
          <w:szCs w:val="24"/>
        </w:rPr>
        <w:t>6.2 Limitations</w:t>
      </w:r>
      <w:bookmarkEnd w:id="33"/>
    </w:p>
    <w:p w14:paraId="7AD1D2AD" w14:textId="77777777" w:rsidR="00D34848" w:rsidRDefault="00D34848" w:rsidP="00D34848">
      <w:pPr>
        <w:jc w:val="both"/>
        <w:rPr>
          <w:rFonts w:ascii="Times New Roman" w:hAnsi="Times New Roman" w:cs="Times New Roman"/>
        </w:rPr>
      </w:pPr>
      <w:r w:rsidRPr="00D34848">
        <w:rPr>
          <w:rFonts w:ascii="Times New Roman" w:hAnsi="Times New Roman" w:cs="Times New Roman"/>
        </w:rPr>
        <w:t>This study has several important limitations that should be considered when interpreting the findings.</w:t>
      </w:r>
    </w:p>
    <w:p w14:paraId="4DC28E74" w14:textId="77777777" w:rsidR="00D34848" w:rsidRPr="00D34848" w:rsidRDefault="00D34848" w:rsidP="00D34848">
      <w:pPr>
        <w:jc w:val="both"/>
        <w:rPr>
          <w:rFonts w:ascii="Times New Roman" w:hAnsi="Times New Roman" w:cs="Times New Roman"/>
        </w:rPr>
      </w:pPr>
    </w:p>
    <w:p w14:paraId="5E8C3374" w14:textId="77777777" w:rsidR="00D34848" w:rsidRPr="00D34848" w:rsidRDefault="00D34848" w:rsidP="00D34848">
      <w:pPr>
        <w:pStyle w:val="Heading4"/>
        <w:rPr>
          <w:rFonts w:ascii="Times New Roman" w:hAnsi="Times New Roman" w:cs="Times New Roman"/>
        </w:rPr>
      </w:pPr>
      <w:r w:rsidRPr="00D34848">
        <w:rPr>
          <w:rFonts w:ascii="Times New Roman" w:hAnsi="Times New Roman" w:cs="Times New Roman"/>
        </w:rPr>
        <w:t>Proxy Variable Assumption and Measurement Error</w:t>
      </w:r>
    </w:p>
    <w:p w14:paraId="439EC5AD" w14:textId="77777777" w:rsidR="00D34848" w:rsidRPr="00D34848" w:rsidRDefault="00D34848" w:rsidP="00D34848">
      <w:pPr>
        <w:jc w:val="both"/>
        <w:rPr>
          <w:rFonts w:ascii="Times New Roman" w:hAnsi="Times New Roman" w:cs="Times New Roman"/>
        </w:rPr>
      </w:pPr>
      <w:r w:rsidRPr="00D34848">
        <w:rPr>
          <w:rFonts w:ascii="Times New Roman" w:hAnsi="Times New Roman" w:cs="Times New Roman"/>
        </w:rPr>
        <w:t>The most significant limitation is that this study does not use actual CDS alert logs. Instead, medication orders and laboratory events from MIMIC-IV were used as proxies for CDS-triggering activity. This proxy assumption, that clinical event counts approximate alert exposure, introduces measurement error into the analysis. Not every medication order or laboratory event generates an alert, and the number, type, and threshold of alerts generated may differ substantially depending on the EHR system, local CDS configuration, and institutional alerting policies. As a result, the event counts analyzed here likely overestimate the number of actual alerts fired and cannot capture the clinical relevance or actionability of individual alerts. While this approach is supported by prior research that uses clinical event frequency as a practical substitute for alert exposure when proprietary alert logs are unavailable (Kouri et al., 2023), it remains a meaningful source of measurement error that limits the precision of burden estimates.</w:t>
      </w:r>
    </w:p>
    <w:p w14:paraId="3D126433" w14:textId="77777777" w:rsidR="00D34848" w:rsidRPr="00D34848" w:rsidRDefault="00D34848" w:rsidP="00D34848">
      <w:pPr>
        <w:pStyle w:val="Heading4"/>
        <w:rPr>
          <w:rFonts w:ascii="Times New Roman" w:hAnsi="Times New Roman" w:cs="Times New Roman"/>
        </w:rPr>
      </w:pPr>
      <w:r w:rsidRPr="00D34848">
        <w:rPr>
          <w:rFonts w:ascii="Times New Roman" w:hAnsi="Times New Roman" w:cs="Times New Roman"/>
        </w:rPr>
        <w:lastRenderedPageBreak/>
        <w:t>Omitted Variable Bias</w:t>
      </w:r>
    </w:p>
    <w:p w14:paraId="059AD704" w14:textId="77777777" w:rsidR="00D34848" w:rsidRDefault="00D34848" w:rsidP="00D34848">
      <w:pPr>
        <w:jc w:val="both"/>
        <w:rPr>
          <w:rFonts w:ascii="Times New Roman" w:hAnsi="Times New Roman" w:cs="Times New Roman"/>
        </w:rPr>
      </w:pPr>
      <w:r w:rsidRPr="00D34848">
        <w:rPr>
          <w:rFonts w:ascii="Times New Roman" w:hAnsi="Times New Roman" w:cs="Times New Roman"/>
        </w:rPr>
        <w:t xml:space="preserve">A second limitation involves potential omitted variable bias. The regression models include ICU unit type, patient age, and gender as predictors, but do not account for several clinically important variables that may influence both clinical activity and alert exposure. Most notably, severity of illness, commonly measured using scores such as SOFA, APACHE II, or SAPS, and patient comorbidity burden were not included in the analytic dataset constructed for this study. While these measures are available in MIMIC-IV through the </w:t>
      </w:r>
      <w:proofErr w:type="spellStart"/>
      <w:r w:rsidRPr="00D34848">
        <w:rPr>
          <w:rFonts w:ascii="Times New Roman" w:hAnsi="Times New Roman" w:cs="Times New Roman"/>
        </w:rPr>
        <w:t>chartevents</w:t>
      </w:r>
      <w:proofErr w:type="spellEnd"/>
      <w:r w:rsidRPr="00D34848">
        <w:rPr>
          <w:rFonts w:ascii="Times New Roman" w:hAnsi="Times New Roman" w:cs="Times New Roman"/>
        </w:rPr>
        <w:t xml:space="preserve"> table, they were not extracted as part of the data pipeline used here. Patients with higher acuity or more complex comorbidity profiles are likely to generate more clinical events regardless of unit type, which means that some of the unit-level </w:t>
      </w:r>
      <w:proofErr w:type="gramStart"/>
      <w:r w:rsidRPr="00D34848">
        <w:rPr>
          <w:rFonts w:ascii="Times New Roman" w:hAnsi="Times New Roman" w:cs="Times New Roman"/>
        </w:rPr>
        <w:t>variation</w:t>
      </w:r>
      <w:proofErr w:type="gramEnd"/>
      <w:r w:rsidRPr="00D34848">
        <w:rPr>
          <w:rFonts w:ascii="Times New Roman" w:hAnsi="Times New Roman" w:cs="Times New Roman"/>
        </w:rPr>
        <w:t xml:space="preserve"> observed in this study may reflect differences in patient case mix rather than differences in care workflows alone. Future studies should incorporate severity scores and comorbidity indices available in MIMIC-IV to better isolate the independent effect of ICU unit type on alert burden.</w:t>
      </w:r>
    </w:p>
    <w:p w14:paraId="27CDBAFA" w14:textId="77777777" w:rsidR="00D34848" w:rsidRPr="00D34848" w:rsidRDefault="00D34848" w:rsidP="00D34848">
      <w:pPr>
        <w:jc w:val="both"/>
        <w:rPr>
          <w:rFonts w:ascii="Times New Roman" w:hAnsi="Times New Roman" w:cs="Times New Roman"/>
        </w:rPr>
      </w:pPr>
    </w:p>
    <w:p w14:paraId="203769CE" w14:textId="77777777" w:rsidR="00D34848" w:rsidRPr="00D34848" w:rsidRDefault="00D34848" w:rsidP="00D34848">
      <w:pPr>
        <w:pStyle w:val="Heading4"/>
        <w:rPr>
          <w:rFonts w:ascii="Times New Roman" w:hAnsi="Times New Roman" w:cs="Times New Roman"/>
        </w:rPr>
      </w:pPr>
      <w:r w:rsidRPr="00D34848">
        <w:rPr>
          <w:rFonts w:ascii="Times New Roman" w:hAnsi="Times New Roman" w:cs="Times New Roman"/>
        </w:rPr>
        <w:t>Model Specification Limitations</w:t>
      </w:r>
    </w:p>
    <w:p w14:paraId="08E2C3E7" w14:textId="77777777" w:rsidR="00D34848" w:rsidRDefault="00D34848" w:rsidP="00D34848">
      <w:pPr>
        <w:jc w:val="both"/>
        <w:rPr>
          <w:rFonts w:ascii="Times New Roman" w:hAnsi="Times New Roman" w:cs="Times New Roman"/>
        </w:rPr>
      </w:pPr>
      <w:r w:rsidRPr="00D34848">
        <w:rPr>
          <w:rFonts w:ascii="Times New Roman" w:hAnsi="Times New Roman" w:cs="Times New Roman"/>
        </w:rPr>
        <w:t>The regression models in this study do not include interaction terms or nonlinear effects, which represents a limitation in model specification completeness. For example, the relationship between patient age and clinical event rates may not be linear. Older patients may experience a threshold effect rather than a gradual linear decrease in event volume. Similarly, interaction effects between ICU unit type and patient age were not tested, meaning it is possible that the effect of unit type on alert burden differs across age groups. Exploring nonlinear age effects through spline terms and testing unit-by-age interaction terms are meaningful extensions that could improve model specification and provide more nuanced estimates in future work.</w:t>
      </w:r>
    </w:p>
    <w:p w14:paraId="57879758" w14:textId="77777777" w:rsidR="00D34848" w:rsidRPr="00D34848" w:rsidRDefault="00D34848" w:rsidP="00D34848">
      <w:pPr>
        <w:jc w:val="both"/>
        <w:rPr>
          <w:rFonts w:ascii="Times New Roman" w:hAnsi="Times New Roman" w:cs="Times New Roman"/>
        </w:rPr>
      </w:pPr>
    </w:p>
    <w:p w14:paraId="7E823401" w14:textId="77777777" w:rsidR="00D34848" w:rsidRPr="00D34848" w:rsidRDefault="00D34848" w:rsidP="00D34848">
      <w:pPr>
        <w:pStyle w:val="Heading4"/>
        <w:rPr>
          <w:rFonts w:ascii="Times New Roman" w:hAnsi="Times New Roman" w:cs="Times New Roman"/>
        </w:rPr>
      </w:pPr>
      <w:r w:rsidRPr="00D34848">
        <w:rPr>
          <w:rFonts w:ascii="Times New Roman" w:hAnsi="Times New Roman" w:cs="Times New Roman"/>
        </w:rPr>
        <w:t>Goodness-of-Fit and Model Diagnostics</w:t>
      </w:r>
    </w:p>
    <w:p w14:paraId="64120851" w14:textId="77777777" w:rsidR="00D34848" w:rsidRDefault="00D34848" w:rsidP="00D34848">
      <w:pPr>
        <w:jc w:val="both"/>
        <w:rPr>
          <w:rFonts w:ascii="Times New Roman" w:hAnsi="Times New Roman" w:cs="Times New Roman"/>
        </w:rPr>
      </w:pPr>
      <w:r w:rsidRPr="00D34848">
        <w:rPr>
          <w:rFonts w:ascii="Times New Roman" w:hAnsi="Times New Roman" w:cs="Times New Roman"/>
        </w:rPr>
        <w:t>Beyond the likelihood ratio test confirming the superiority of negative binomial over Poisson regression, this study does not include a full suite of model diagnostics. Residual analysis, deviance-based goodness-of-fit statistics, and pseudo-R² measures were not formally reported. While the likelihood ratio test result (χ² = 8,224,010, p &lt; 0.0001) and the dispersion parameter (θ = 1.063) provide strong evidence of model appropriateness, the absence of residual plots and predictive checks means that potential model misspecification, such as influential observations or systematic patterns in the residuals, cannot be fully ruled out. Future analyses should include diagnostic plots and formal goodness-of-fit assessments to strengthen confidence in the model estimates.</w:t>
      </w:r>
    </w:p>
    <w:p w14:paraId="51A6CC6C" w14:textId="77777777" w:rsidR="00D34848" w:rsidRPr="00D34848" w:rsidRDefault="00D34848" w:rsidP="00D34848">
      <w:pPr>
        <w:jc w:val="both"/>
        <w:rPr>
          <w:rFonts w:ascii="Times New Roman" w:hAnsi="Times New Roman" w:cs="Times New Roman"/>
        </w:rPr>
      </w:pPr>
    </w:p>
    <w:p w14:paraId="22D5F24E" w14:textId="77777777" w:rsidR="00D34848" w:rsidRPr="00D34848" w:rsidRDefault="00D34848" w:rsidP="00D34848">
      <w:pPr>
        <w:pStyle w:val="Heading4"/>
        <w:rPr>
          <w:rFonts w:ascii="Times New Roman" w:hAnsi="Times New Roman" w:cs="Times New Roman"/>
        </w:rPr>
      </w:pPr>
      <w:r w:rsidRPr="00D34848">
        <w:rPr>
          <w:rFonts w:ascii="Times New Roman" w:hAnsi="Times New Roman" w:cs="Times New Roman"/>
        </w:rPr>
        <w:t>Generalizability</w:t>
      </w:r>
    </w:p>
    <w:p w14:paraId="04BD5CE0" w14:textId="77777777" w:rsidR="00D34848" w:rsidRDefault="00D34848" w:rsidP="00D34848">
      <w:pPr>
        <w:jc w:val="both"/>
        <w:rPr>
          <w:rFonts w:ascii="Times New Roman" w:hAnsi="Times New Roman" w:cs="Times New Roman"/>
        </w:rPr>
      </w:pPr>
      <w:r w:rsidRPr="00D34848">
        <w:rPr>
          <w:rFonts w:ascii="Times New Roman" w:hAnsi="Times New Roman" w:cs="Times New Roman"/>
        </w:rPr>
        <w:t>Finally, MIMIC-IV represents data from a single academic medical center, which limits the generalizability of the findings. Alerting practices, workflow patterns, staffing models, and EHR configurations differ across institutions, so the burden patterns identified here may not apply equally in community hospitals, rural settings, or health systems using different clinical information systems. The findings should be interpreted as strong evidence of how alert burden can vary across unit types rather than as fixed estimates applicable to all ICU settings.</w:t>
      </w:r>
    </w:p>
    <w:p w14:paraId="6CD545FE" w14:textId="77777777" w:rsidR="00D34848" w:rsidRDefault="00D34848" w:rsidP="00D34848">
      <w:pPr>
        <w:jc w:val="both"/>
        <w:rPr>
          <w:rFonts w:ascii="Times New Roman" w:hAnsi="Times New Roman" w:cs="Times New Roman"/>
        </w:rPr>
      </w:pPr>
    </w:p>
    <w:p w14:paraId="71848D1B" w14:textId="77777777" w:rsidR="00D34848" w:rsidRPr="00D34848" w:rsidRDefault="00D34848" w:rsidP="00D34848">
      <w:pPr>
        <w:jc w:val="both"/>
        <w:rPr>
          <w:rFonts w:ascii="Times New Roman" w:hAnsi="Times New Roman" w:cs="Times New Roman"/>
        </w:rPr>
      </w:pPr>
    </w:p>
    <w:p w14:paraId="5CE6DF05" w14:textId="5B71E2CC" w:rsidR="004966E9" w:rsidRDefault="004966E9" w:rsidP="008E3E98">
      <w:pPr>
        <w:jc w:val="both"/>
        <w:rPr>
          <w:rFonts w:ascii="Times New Roman" w:hAnsi="Times New Roman" w:cs="Times New Roman"/>
        </w:rPr>
      </w:pPr>
    </w:p>
    <w:p w14:paraId="4879EE93" w14:textId="77777777" w:rsidR="00D14598" w:rsidRPr="008E3E98" w:rsidRDefault="00000000" w:rsidP="008E3E98">
      <w:pPr>
        <w:pStyle w:val="Heading2"/>
        <w:jc w:val="both"/>
        <w:rPr>
          <w:rFonts w:ascii="Times New Roman" w:hAnsi="Times New Roman" w:cs="Times New Roman"/>
          <w:sz w:val="24"/>
          <w:szCs w:val="24"/>
        </w:rPr>
      </w:pPr>
      <w:bookmarkStart w:id="34" w:name="_Toc228825831"/>
      <w:r w:rsidRPr="008E3E98">
        <w:rPr>
          <w:rFonts w:ascii="Times New Roman" w:hAnsi="Times New Roman" w:cs="Times New Roman"/>
          <w:sz w:val="24"/>
          <w:szCs w:val="24"/>
        </w:rPr>
        <w:lastRenderedPageBreak/>
        <w:t>6.3 Future Work</w:t>
      </w:r>
      <w:bookmarkEnd w:id="34"/>
    </w:p>
    <w:p w14:paraId="7B02CDC4" w14:textId="77777777" w:rsidR="00EE3D61" w:rsidRPr="008E3E98" w:rsidRDefault="00EE3D61" w:rsidP="008E3E98">
      <w:pPr>
        <w:jc w:val="both"/>
        <w:rPr>
          <w:rFonts w:ascii="Times New Roman" w:hAnsi="Times New Roman" w:cs="Times New Roman"/>
        </w:rPr>
      </w:pPr>
      <w:r w:rsidRPr="008E3E98">
        <w:rPr>
          <w:rFonts w:ascii="Times New Roman" w:hAnsi="Times New Roman" w:cs="Times New Roman"/>
        </w:rPr>
        <w:t>Future research should build on this work by connecting proxy measures of alert burden with actual alert-log data whenever possible. Doing so would allow researchers to test how closely medication and laboratory activity track with real alert exposure and to identify which types of alerts are most likely to contribute to fatigue (Wong et al., 2023). That would strengthen the practical value of this framework and make it easier to translate these findings into real CDS redesign efforts.</w:t>
      </w:r>
    </w:p>
    <w:p w14:paraId="1BEBF5CE" w14:textId="77777777" w:rsidR="00E74AB2" w:rsidRPr="008E3E98" w:rsidRDefault="00E74AB2" w:rsidP="008E3E98">
      <w:pPr>
        <w:jc w:val="both"/>
        <w:rPr>
          <w:rFonts w:ascii="Times New Roman" w:hAnsi="Times New Roman" w:cs="Times New Roman"/>
        </w:rPr>
      </w:pPr>
    </w:p>
    <w:p w14:paraId="359CE538" w14:textId="77777777" w:rsidR="00EE3D61" w:rsidRDefault="00EE3D61" w:rsidP="008E3E98">
      <w:pPr>
        <w:jc w:val="both"/>
        <w:rPr>
          <w:rFonts w:ascii="Times New Roman" w:hAnsi="Times New Roman" w:cs="Times New Roman"/>
        </w:rPr>
      </w:pPr>
      <w:r w:rsidRPr="008E3E98">
        <w:rPr>
          <w:rFonts w:ascii="Times New Roman" w:hAnsi="Times New Roman" w:cs="Times New Roman"/>
        </w:rPr>
        <w:t>It would also be valuable to expand the set of variables used in the analysis. Future studies could include clinician role, shift timing, patient severity, diagnosis categories, order urgency, and override behavior to better understand not just where burden is highest, but why it develops (Ancker et al., 2017). Looking across multiple institutions would also help determine whether the patterns found here are consistent across different hospital settings or whether alert burden is shaped mainly by local workflow and EHR design choices. As artificial intelligence and machine learning approaches become more integrated into CDS systems, future work should also explore whether these tools can be used to predict high-burden encounters in real time and proactively adjust alert delivery to reduce fatigue before it occurs.</w:t>
      </w:r>
    </w:p>
    <w:p w14:paraId="0A284360" w14:textId="77777777" w:rsidR="00D21F79" w:rsidRPr="008E3E98" w:rsidRDefault="00D21F79" w:rsidP="008E3E98">
      <w:pPr>
        <w:jc w:val="both"/>
        <w:rPr>
          <w:rFonts w:ascii="Times New Roman" w:hAnsi="Times New Roman" w:cs="Times New Roman"/>
        </w:rPr>
      </w:pPr>
    </w:p>
    <w:p w14:paraId="5F12697D" w14:textId="77777777" w:rsidR="00EE3D61" w:rsidRPr="008E3E98" w:rsidRDefault="00EE3D61" w:rsidP="008E3E98">
      <w:pPr>
        <w:jc w:val="both"/>
        <w:rPr>
          <w:rFonts w:ascii="Times New Roman" w:hAnsi="Times New Roman" w:cs="Times New Roman"/>
        </w:rPr>
      </w:pPr>
      <w:r w:rsidRPr="008E3E98">
        <w:rPr>
          <w:rFonts w:ascii="Times New Roman" w:hAnsi="Times New Roman" w:cs="Times New Roman"/>
        </w:rPr>
        <w:t xml:space="preserve">The next step beyond retrospective analysis is prospective and implementation-focused research. Hospitals could test unit-specific alert suppression rules, duplicate-alert reduction strategies, or less interruptive alert formats in real clinical settings and then evaluate their effects on clinician workload, alert acceptance, workflow efficiency, and patient safety outcomes (Bakker et al., 2024). That kind of implementation research is especially important because the </w:t>
      </w:r>
      <w:proofErr w:type="gramStart"/>
      <w:r w:rsidRPr="008E3E98">
        <w:rPr>
          <w:rFonts w:ascii="Times New Roman" w:hAnsi="Times New Roman" w:cs="Times New Roman"/>
        </w:rPr>
        <w:t>ultimate goal</w:t>
      </w:r>
      <w:proofErr w:type="gramEnd"/>
      <w:r w:rsidRPr="008E3E98">
        <w:rPr>
          <w:rFonts w:ascii="Times New Roman" w:hAnsi="Times New Roman" w:cs="Times New Roman"/>
        </w:rPr>
        <w:t xml:space="preserve"> is not only to describe alert fatigue, but to reduce it in a way that improves both usability and care quality. In that sense, future work should move from measuring the problem to testing and refining solutions in practice.</w:t>
      </w:r>
    </w:p>
    <w:p w14:paraId="6065B993" w14:textId="77777777" w:rsidR="00EE3D61" w:rsidRPr="008E3E98" w:rsidRDefault="00EE3D61" w:rsidP="008E3E98">
      <w:pPr>
        <w:jc w:val="both"/>
        <w:rPr>
          <w:rFonts w:ascii="Times New Roman" w:hAnsi="Times New Roman" w:cs="Times New Roman"/>
        </w:rPr>
      </w:pPr>
    </w:p>
    <w:p w14:paraId="206090CE" w14:textId="77777777" w:rsidR="00D14598" w:rsidRPr="008E3E98" w:rsidRDefault="00000000" w:rsidP="008E3E98">
      <w:pPr>
        <w:jc w:val="both"/>
        <w:rPr>
          <w:rFonts w:ascii="Times New Roman" w:hAnsi="Times New Roman" w:cs="Times New Roman"/>
        </w:rPr>
      </w:pPr>
      <w:r w:rsidRPr="008E3E98">
        <w:rPr>
          <w:rFonts w:ascii="Times New Roman" w:hAnsi="Times New Roman" w:cs="Times New Roman"/>
        </w:rPr>
        <w:br w:type="page"/>
      </w:r>
    </w:p>
    <w:p w14:paraId="339FEC34" w14:textId="77777777" w:rsidR="00D14598" w:rsidRPr="008E3E98" w:rsidRDefault="00000000" w:rsidP="008E3E98">
      <w:pPr>
        <w:pStyle w:val="Heading1"/>
        <w:jc w:val="both"/>
        <w:rPr>
          <w:rFonts w:ascii="Times New Roman" w:hAnsi="Times New Roman" w:cs="Times New Roman"/>
          <w:sz w:val="24"/>
          <w:szCs w:val="24"/>
        </w:rPr>
      </w:pPr>
      <w:bookmarkStart w:id="35" w:name="_Toc228825832"/>
      <w:r w:rsidRPr="008E3E98">
        <w:rPr>
          <w:rFonts w:ascii="Times New Roman" w:hAnsi="Times New Roman" w:cs="Times New Roman"/>
          <w:sz w:val="24"/>
          <w:szCs w:val="24"/>
        </w:rPr>
        <w:lastRenderedPageBreak/>
        <w:t>References</w:t>
      </w:r>
      <w:bookmarkEnd w:id="35"/>
    </w:p>
    <w:p w14:paraId="34632FE2"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Ancker, J. S., Edwards, A., Nosal, S., Hauser, D., Mauer, E., &amp; Kaushal, R. (2017). Effects of workload, work complexity, and repeated alerts on alert fatigue in a clinical decision support system. </w:t>
      </w:r>
      <w:r w:rsidRPr="008E3E98">
        <w:rPr>
          <w:rFonts w:ascii="Times New Roman" w:hAnsi="Times New Roman" w:cs="Times New Roman"/>
          <w:i/>
          <w:iCs/>
        </w:rPr>
        <w:t>BMC Medical Informatics and Decision Making, 17</w:t>
      </w:r>
      <w:r w:rsidRPr="008E3E98">
        <w:rPr>
          <w:rFonts w:ascii="Times New Roman" w:hAnsi="Times New Roman" w:cs="Times New Roman"/>
        </w:rPr>
        <w:t xml:space="preserve">(1), 36. </w:t>
      </w:r>
      <w:hyperlink r:id="rId17" w:history="1">
        <w:r w:rsidRPr="008E3E98">
          <w:rPr>
            <w:rStyle w:val="Hyperlink"/>
            <w:rFonts w:ascii="Times New Roman" w:hAnsi="Times New Roman" w:cs="Times New Roman"/>
          </w:rPr>
          <w:t>https://doi.org/10.1186/s12911-017-0430-8</w:t>
        </w:r>
      </w:hyperlink>
    </w:p>
    <w:p w14:paraId="226D1387" w14:textId="77777777" w:rsidR="008D0C09" w:rsidRPr="008E3E98" w:rsidRDefault="008D0C09" w:rsidP="008E3E98">
      <w:pPr>
        <w:jc w:val="both"/>
        <w:rPr>
          <w:rFonts w:ascii="Times New Roman" w:hAnsi="Times New Roman" w:cs="Times New Roman"/>
        </w:rPr>
      </w:pPr>
    </w:p>
    <w:p w14:paraId="5C30CADD"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Agency for Healthcare Research and Quality. (2019). </w:t>
      </w:r>
      <w:r w:rsidRPr="008E3E98">
        <w:rPr>
          <w:rFonts w:ascii="Times New Roman" w:hAnsi="Times New Roman" w:cs="Times New Roman"/>
          <w:i/>
          <w:iCs/>
        </w:rPr>
        <w:t>Alert fatigue</w:t>
      </w:r>
      <w:r w:rsidRPr="008E3E98">
        <w:rPr>
          <w:rFonts w:ascii="Times New Roman" w:hAnsi="Times New Roman" w:cs="Times New Roman"/>
        </w:rPr>
        <w:t xml:space="preserve">. </w:t>
      </w:r>
      <w:proofErr w:type="spellStart"/>
      <w:r w:rsidRPr="008E3E98">
        <w:rPr>
          <w:rFonts w:ascii="Times New Roman" w:hAnsi="Times New Roman" w:cs="Times New Roman"/>
        </w:rPr>
        <w:t>PSNet</w:t>
      </w:r>
      <w:proofErr w:type="spellEnd"/>
      <w:r w:rsidRPr="008E3E98">
        <w:rPr>
          <w:rFonts w:ascii="Times New Roman" w:hAnsi="Times New Roman" w:cs="Times New Roman"/>
        </w:rPr>
        <w:t xml:space="preserve">. </w:t>
      </w:r>
      <w:hyperlink r:id="rId18" w:history="1">
        <w:r w:rsidRPr="008E3E98">
          <w:rPr>
            <w:rStyle w:val="Hyperlink"/>
            <w:rFonts w:ascii="Times New Roman" w:hAnsi="Times New Roman" w:cs="Times New Roman"/>
          </w:rPr>
          <w:t>https://psnet.ahrq.gov/primer/alert-fatigue</w:t>
        </w:r>
      </w:hyperlink>
    </w:p>
    <w:p w14:paraId="14E26352" w14:textId="77777777" w:rsidR="008D0C09" w:rsidRPr="008E3E98" w:rsidRDefault="008D0C09" w:rsidP="008E3E98">
      <w:pPr>
        <w:jc w:val="both"/>
        <w:rPr>
          <w:rFonts w:ascii="Times New Roman" w:hAnsi="Times New Roman" w:cs="Times New Roman"/>
        </w:rPr>
      </w:pPr>
    </w:p>
    <w:p w14:paraId="56E3715A"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Bakker, T., </w:t>
      </w:r>
      <w:proofErr w:type="spellStart"/>
      <w:r w:rsidRPr="008E3E98">
        <w:rPr>
          <w:rFonts w:ascii="Times New Roman" w:hAnsi="Times New Roman" w:cs="Times New Roman"/>
        </w:rPr>
        <w:t>Klopotowska</w:t>
      </w:r>
      <w:proofErr w:type="spellEnd"/>
      <w:r w:rsidRPr="008E3E98">
        <w:rPr>
          <w:rFonts w:ascii="Times New Roman" w:hAnsi="Times New Roman" w:cs="Times New Roman"/>
        </w:rPr>
        <w:t xml:space="preserve">, J. E., &amp; </w:t>
      </w:r>
      <w:proofErr w:type="spellStart"/>
      <w:r w:rsidRPr="008E3E98">
        <w:rPr>
          <w:rFonts w:ascii="Times New Roman" w:hAnsi="Times New Roman" w:cs="Times New Roman"/>
        </w:rPr>
        <w:t>Dongelmans</w:t>
      </w:r>
      <w:proofErr w:type="spellEnd"/>
      <w:r w:rsidRPr="008E3E98">
        <w:rPr>
          <w:rFonts w:ascii="Times New Roman" w:hAnsi="Times New Roman" w:cs="Times New Roman"/>
        </w:rPr>
        <w:t xml:space="preserve">, D. A. (2024). The effect of </w:t>
      </w:r>
      <w:proofErr w:type="spellStart"/>
      <w:r w:rsidRPr="008E3E98">
        <w:rPr>
          <w:rFonts w:ascii="Times New Roman" w:hAnsi="Times New Roman" w:cs="Times New Roman"/>
        </w:rPr>
        <w:t>computerised</w:t>
      </w:r>
      <w:proofErr w:type="spellEnd"/>
      <w:r w:rsidRPr="008E3E98">
        <w:rPr>
          <w:rFonts w:ascii="Times New Roman" w:hAnsi="Times New Roman" w:cs="Times New Roman"/>
        </w:rPr>
        <w:t xml:space="preserve"> decision support alerts tailored to intensive care on the administration of high-risk drug combinations, and their monitoring: A cluster </w:t>
      </w:r>
      <w:proofErr w:type="spellStart"/>
      <w:r w:rsidRPr="008E3E98">
        <w:rPr>
          <w:rFonts w:ascii="Times New Roman" w:hAnsi="Times New Roman" w:cs="Times New Roman"/>
        </w:rPr>
        <w:t>randomised</w:t>
      </w:r>
      <w:proofErr w:type="spellEnd"/>
      <w:r w:rsidRPr="008E3E98">
        <w:rPr>
          <w:rFonts w:ascii="Times New Roman" w:hAnsi="Times New Roman" w:cs="Times New Roman"/>
        </w:rPr>
        <w:t xml:space="preserve"> stepped-wedge trial. </w:t>
      </w:r>
      <w:r w:rsidRPr="008E3E98">
        <w:rPr>
          <w:rFonts w:ascii="Times New Roman" w:hAnsi="Times New Roman" w:cs="Times New Roman"/>
          <w:i/>
          <w:iCs/>
        </w:rPr>
        <w:t>The Lancet, 403</w:t>
      </w:r>
      <w:r w:rsidRPr="008E3E98">
        <w:rPr>
          <w:rFonts w:ascii="Times New Roman" w:hAnsi="Times New Roman" w:cs="Times New Roman"/>
        </w:rPr>
        <w:t xml:space="preserve">(10425), 439–449. </w:t>
      </w:r>
      <w:hyperlink r:id="rId19" w:history="1">
        <w:r w:rsidRPr="008E3E98">
          <w:rPr>
            <w:rStyle w:val="Hyperlink"/>
            <w:rFonts w:ascii="Times New Roman" w:hAnsi="Times New Roman" w:cs="Times New Roman"/>
          </w:rPr>
          <w:t>https://doi.org/10.1016/S0140-6736(23)02465-0</w:t>
        </w:r>
      </w:hyperlink>
    </w:p>
    <w:p w14:paraId="5A0838E5" w14:textId="77777777" w:rsidR="00F62D0C" w:rsidRPr="008E3E98" w:rsidRDefault="00F62D0C" w:rsidP="008E3E98">
      <w:pPr>
        <w:jc w:val="both"/>
        <w:rPr>
          <w:rFonts w:ascii="Times New Roman" w:hAnsi="Times New Roman" w:cs="Times New Roman"/>
        </w:rPr>
      </w:pPr>
    </w:p>
    <w:p w14:paraId="308BF859" w14:textId="22AEDF54" w:rsidR="00F62D0C" w:rsidRPr="008E3E98" w:rsidRDefault="00F62D0C" w:rsidP="008E3E98">
      <w:pPr>
        <w:jc w:val="both"/>
        <w:rPr>
          <w:rFonts w:ascii="Times New Roman" w:hAnsi="Times New Roman" w:cs="Times New Roman"/>
        </w:rPr>
      </w:pPr>
      <w:r w:rsidRPr="008E3E98">
        <w:rPr>
          <w:rFonts w:ascii="Times New Roman" w:hAnsi="Times New Roman" w:cs="Times New Roman"/>
        </w:rPr>
        <w:t xml:space="preserve">Byers, A. L., Allore, H., Gill, T. M., &amp; Peduzzi, P. N. (2003). Application of negative binomial modeling for discrete outcomes: A case study in aging research. </w:t>
      </w:r>
      <w:r w:rsidRPr="008E3E98">
        <w:rPr>
          <w:rFonts w:ascii="Times New Roman" w:hAnsi="Times New Roman" w:cs="Times New Roman"/>
          <w:i/>
          <w:iCs/>
        </w:rPr>
        <w:t>Journal of Clinical Epidemiology, 56</w:t>
      </w:r>
      <w:r w:rsidRPr="008E3E98">
        <w:rPr>
          <w:rFonts w:ascii="Times New Roman" w:hAnsi="Times New Roman" w:cs="Times New Roman"/>
        </w:rPr>
        <w:t xml:space="preserve">(6), 559–564. </w:t>
      </w:r>
      <w:hyperlink r:id="rId20" w:history="1">
        <w:r w:rsidRPr="008E3E98">
          <w:rPr>
            <w:rStyle w:val="Hyperlink"/>
            <w:rFonts w:ascii="Times New Roman" w:hAnsi="Times New Roman" w:cs="Times New Roman"/>
          </w:rPr>
          <w:t>https://doi.org/10.1016/S0895-4356(03)00028-3</w:t>
        </w:r>
      </w:hyperlink>
    </w:p>
    <w:p w14:paraId="5E9A58D5" w14:textId="77777777" w:rsidR="00BF5DF8" w:rsidRPr="008E3E98" w:rsidRDefault="00BF5DF8" w:rsidP="008E3E98">
      <w:pPr>
        <w:jc w:val="both"/>
        <w:rPr>
          <w:rFonts w:ascii="Times New Roman" w:hAnsi="Times New Roman" w:cs="Times New Roman"/>
        </w:rPr>
      </w:pPr>
    </w:p>
    <w:p w14:paraId="0E1CAB8D" w14:textId="322C0526" w:rsidR="008D0C09" w:rsidRPr="008E3E98" w:rsidRDefault="00C8399C" w:rsidP="008E3E98">
      <w:pPr>
        <w:jc w:val="both"/>
        <w:rPr>
          <w:rFonts w:ascii="Times New Roman" w:hAnsi="Times New Roman" w:cs="Times New Roman"/>
        </w:rPr>
      </w:pPr>
      <w:proofErr w:type="spellStart"/>
      <w:r w:rsidRPr="008E3E98">
        <w:rPr>
          <w:rFonts w:ascii="Times New Roman" w:hAnsi="Times New Roman" w:cs="Times New Roman"/>
        </w:rPr>
        <w:t>Hilbe</w:t>
      </w:r>
      <w:proofErr w:type="spellEnd"/>
      <w:r w:rsidRPr="008E3E98">
        <w:rPr>
          <w:rFonts w:ascii="Times New Roman" w:hAnsi="Times New Roman" w:cs="Times New Roman"/>
        </w:rPr>
        <w:t xml:space="preserve">, J. M., de Souza, R. S., &amp; Ishida, E. E. O. (2022). A comparison of statistical methods for modeling count data with an application to hospital length of stay. </w:t>
      </w:r>
      <w:r w:rsidRPr="008E3E98">
        <w:rPr>
          <w:rFonts w:ascii="Times New Roman" w:hAnsi="Times New Roman" w:cs="Times New Roman"/>
          <w:i/>
          <w:iCs/>
        </w:rPr>
        <w:t>BMC Medical Research Methodology, 22</w:t>
      </w:r>
      <w:r w:rsidRPr="008E3E98">
        <w:rPr>
          <w:rFonts w:ascii="Times New Roman" w:hAnsi="Times New Roman" w:cs="Times New Roman"/>
        </w:rPr>
        <w:t xml:space="preserve">, Article 213. </w:t>
      </w:r>
      <w:hyperlink r:id="rId21" w:history="1">
        <w:r w:rsidRPr="008E3E98">
          <w:rPr>
            <w:rStyle w:val="Hyperlink"/>
            <w:rFonts w:ascii="Times New Roman" w:hAnsi="Times New Roman" w:cs="Times New Roman"/>
          </w:rPr>
          <w:t>https://doi.org/10.1186/s12874-022-01664-3</w:t>
        </w:r>
      </w:hyperlink>
    </w:p>
    <w:p w14:paraId="08ED7089" w14:textId="77777777" w:rsidR="00C8399C" w:rsidRPr="008E3E98" w:rsidRDefault="00C8399C" w:rsidP="008E3E98">
      <w:pPr>
        <w:jc w:val="both"/>
        <w:rPr>
          <w:rFonts w:ascii="Times New Roman" w:hAnsi="Times New Roman" w:cs="Times New Roman"/>
        </w:rPr>
      </w:pPr>
    </w:p>
    <w:p w14:paraId="6E806734" w14:textId="77777777" w:rsidR="008D0C09" w:rsidRDefault="008D0C09" w:rsidP="008E3E98">
      <w:pPr>
        <w:jc w:val="both"/>
        <w:rPr>
          <w:rFonts w:ascii="Times New Roman" w:hAnsi="Times New Roman" w:cs="Times New Roman"/>
        </w:rPr>
      </w:pPr>
      <w:r w:rsidRPr="008E3E98">
        <w:rPr>
          <w:rFonts w:ascii="Times New Roman" w:hAnsi="Times New Roman" w:cs="Times New Roman"/>
        </w:rPr>
        <w:t xml:space="preserve">Johnson, A. E. W., Bulgarelli, L., Shen, L., Gayles, A., </w:t>
      </w:r>
      <w:proofErr w:type="spellStart"/>
      <w:r w:rsidRPr="008E3E98">
        <w:rPr>
          <w:rFonts w:ascii="Times New Roman" w:hAnsi="Times New Roman" w:cs="Times New Roman"/>
        </w:rPr>
        <w:t>Shammout</w:t>
      </w:r>
      <w:proofErr w:type="spellEnd"/>
      <w:r w:rsidRPr="008E3E98">
        <w:rPr>
          <w:rFonts w:ascii="Times New Roman" w:hAnsi="Times New Roman" w:cs="Times New Roman"/>
        </w:rPr>
        <w:t xml:space="preserve">, A., Horng, S., Pollard, T. J., Hao, S., Moody, B., Gow, B., Lehman, L. H., Celi, L. A., &amp; Mark, R. G. (2023). MIMIC-IV, a freely accessible electronic health record dataset. </w:t>
      </w:r>
      <w:r w:rsidRPr="008E3E98">
        <w:rPr>
          <w:rFonts w:ascii="Times New Roman" w:hAnsi="Times New Roman" w:cs="Times New Roman"/>
          <w:i/>
          <w:iCs/>
        </w:rPr>
        <w:t>Scientific Data, 10</w:t>
      </w:r>
      <w:r w:rsidRPr="008E3E98">
        <w:rPr>
          <w:rFonts w:ascii="Times New Roman" w:hAnsi="Times New Roman" w:cs="Times New Roman"/>
        </w:rPr>
        <w:t xml:space="preserve">(1), 1. </w:t>
      </w:r>
      <w:hyperlink r:id="rId22" w:history="1">
        <w:r w:rsidRPr="008E3E98">
          <w:rPr>
            <w:rStyle w:val="Hyperlink"/>
            <w:rFonts w:ascii="Times New Roman" w:hAnsi="Times New Roman" w:cs="Times New Roman"/>
          </w:rPr>
          <w:t>https://doi.org/10.1038/s41597-022-01899-x</w:t>
        </w:r>
      </w:hyperlink>
    </w:p>
    <w:p w14:paraId="69726105" w14:textId="77777777" w:rsidR="008E3E98" w:rsidRDefault="008E3E98" w:rsidP="008E3E98">
      <w:pPr>
        <w:jc w:val="both"/>
        <w:rPr>
          <w:rFonts w:ascii="Times New Roman" w:hAnsi="Times New Roman" w:cs="Times New Roman"/>
        </w:rPr>
      </w:pPr>
    </w:p>
    <w:p w14:paraId="11A780A4" w14:textId="1D89D0E4" w:rsidR="008E3E98" w:rsidRPr="008E3E98" w:rsidRDefault="008E3E98" w:rsidP="008E3E98">
      <w:pPr>
        <w:jc w:val="both"/>
        <w:rPr>
          <w:rFonts w:ascii="Times New Roman" w:hAnsi="Times New Roman" w:cs="Times New Roman"/>
        </w:rPr>
      </w:pPr>
      <w:r w:rsidRPr="008E3E98">
        <w:rPr>
          <w:rFonts w:ascii="Times New Roman" w:hAnsi="Times New Roman" w:cs="Times New Roman"/>
        </w:rPr>
        <w:t xml:space="preserve">The Joint Commission. (2019). </w:t>
      </w:r>
      <w:r w:rsidRPr="008E3E98">
        <w:rPr>
          <w:rFonts w:ascii="Times New Roman" w:hAnsi="Times New Roman" w:cs="Times New Roman"/>
          <w:i/>
          <w:iCs/>
        </w:rPr>
        <w:t>Sentinel event alert: Alarm fatigue</w:t>
      </w:r>
      <w:r w:rsidRPr="008E3E98">
        <w:rPr>
          <w:rFonts w:ascii="Times New Roman" w:hAnsi="Times New Roman" w:cs="Times New Roman"/>
        </w:rPr>
        <w:t xml:space="preserve"> (Issue 50). </w:t>
      </w:r>
      <w:hyperlink r:id="rId23" w:history="1">
        <w:r w:rsidRPr="008E3E98">
          <w:rPr>
            <w:rStyle w:val="Hyperlink"/>
            <w:rFonts w:ascii="Times New Roman" w:hAnsi="Times New Roman" w:cs="Times New Roman"/>
          </w:rPr>
          <w:t>https://www.jointcommission.org/resources/patient-safety-topics/sentinel-event/sentinel-event-alert-newsletters/sentinel-event-alert-issue-50-medical-device-alarm-safety-in-hospitals/</w:t>
        </w:r>
      </w:hyperlink>
    </w:p>
    <w:p w14:paraId="514E98D1" w14:textId="77777777" w:rsidR="008D0C09" w:rsidRPr="008E3E98" w:rsidRDefault="008D0C09" w:rsidP="008E3E98">
      <w:pPr>
        <w:jc w:val="both"/>
        <w:rPr>
          <w:rFonts w:ascii="Times New Roman" w:hAnsi="Times New Roman" w:cs="Times New Roman"/>
        </w:rPr>
      </w:pPr>
    </w:p>
    <w:p w14:paraId="4F042A1B"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Kouri, A., Yamada, J., Lam Antflick, J., Harel, Z., Chan, C. T., Fralick, M., &amp; Ginsburg, L. (2023). Defining the problem of alert fatigue in healthcare: A scoping review protocol. </w:t>
      </w:r>
      <w:r w:rsidRPr="008E3E98">
        <w:rPr>
          <w:rFonts w:ascii="Times New Roman" w:hAnsi="Times New Roman" w:cs="Times New Roman"/>
          <w:i/>
          <w:iCs/>
        </w:rPr>
        <w:t>BMJ Open, 13</w:t>
      </w:r>
      <w:r w:rsidRPr="008E3E98">
        <w:rPr>
          <w:rFonts w:ascii="Times New Roman" w:hAnsi="Times New Roman" w:cs="Times New Roman"/>
        </w:rPr>
        <w:t xml:space="preserve">(4), e069416. </w:t>
      </w:r>
      <w:hyperlink r:id="rId24" w:history="1">
        <w:r w:rsidRPr="008E3E98">
          <w:rPr>
            <w:rStyle w:val="Hyperlink"/>
            <w:rFonts w:ascii="Times New Roman" w:hAnsi="Times New Roman" w:cs="Times New Roman"/>
          </w:rPr>
          <w:t>https://doi.org/10.1136/bmjopen-2022-069416</w:t>
        </w:r>
      </w:hyperlink>
    </w:p>
    <w:p w14:paraId="417B8EEE" w14:textId="77777777" w:rsidR="00D40A27" w:rsidRPr="008E3E98" w:rsidRDefault="00D40A27" w:rsidP="008E3E98">
      <w:pPr>
        <w:jc w:val="both"/>
        <w:rPr>
          <w:rFonts w:ascii="Times New Roman" w:hAnsi="Times New Roman" w:cs="Times New Roman"/>
        </w:rPr>
      </w:pPr>
    </w:p>
    <w:p w14:paraId="0CD62AE6" w14:textId="7D7F03C7" w:rsidR="00BF5DF8" w:rsidRPr="008E3E98" w:rsidRDefault="007C2995" w:rsidP="008E3E98">
      <w:pPr>
        <w:jc w:val="both"/>
        <w:rPr>
          <w:rFonts w:ascii="Times New Roman" w:hAnsi="Times New Roman" w:cs="Times New Roman"/>
        </w:rPr>
      </w:pPr>
      <w:r w:rsidRPr="008E3E98">
        <w:rPr>
          <w:rFonts w:ascii="Times New Roman" w:hAnsi="Times New Roman" w:cs="Times New Roman"/>
        </w:rPr>
        <w:t>Payne, E. H., Gebregziabher, M., Hardin, J. W., Ramakrishnan, V., &amp; Egede, L. E. (2018). An empirical approach to determine a threshold for assessing overdispersion in Poisson and negative binomial models for count data. </w:t>
      </w:r>
      <w:r w:rsidRPr="008E3E98">
        <w:rPr>
          <w:rFonts w:ascii="Times New Roman" w:hAnsi="Times New Roman" w:cs="Times New Roman"/>
          <w:i/>
          <w:iCs/>
        </w:rPr>
        <w:t>Communications in statistics: Simulation and computation</w:t>
      </w:r>
      <w:r w:rsidRPr="008E3E98">
        <w:rPr>
          <w:rFonts w:ascii="Times New Roman" w:hAnsi="Times New Roman" w:cs="Times New Roman"/>
        </w:rPr>
        <w:t>, </w:t>
      </w:r>
      <w:r w:rsidRPr="008E3E98">
        <w:rPr>
          <w:rFonts w:ascii="Times New Roman" w:hAnsi="Times New Roman" w:cs="Times New Roman"/>
          <w:i/>
          <w:iCs/>
        </w:rPr>
        <w:t>47</w:t>
      </w:r>
      <w:r w:rsidRPr="008E3E98">
        <w:rPr>
          <w:rFonts w:ascii="Times New Roman" w:hAnsi="Times New Roman" w:cs="Times New Roman"/>
        </w:rPr>
        <w:t xml:space="preserve">(6), 1722–1738. </w:t>
      </w:r>
      <w:hyperlink r:id="rId25" w:history="1">
        <w:r w:rsidRPr="008E3E98">
          <w:rPr>
            <w:rStyle w:val="Hyperlink"/>
            <w:rFonts w:ascii="Times New Roman" w:hAnsi="Times New Roman" w:cs="Times New Roman"/>
          </w:rPr>
          <w:t>https://doi.org/10.1080/03610918.2017.1323223</w:t>
        </w:r>
      </w:hyperlink>
    </w:p>
    <w:p w14:paraId="6E41FB52" w14:textId="77777777" w:rsidR="007C2995" w:rsidRPr="008E3E98" w:rsidRDefault="007C2995" w:rsidP="008E3E98">
      <w:pPr>
        <w:jc w:val="both"/>
        <w:rPr>
          <w:rFonts w:ascii="Times New Roman" w:hAnsi="Times New Roman" w:cs="Times New Roman"/>
        </w:rPr>
      </w:pPr>
    </w:p>
    <w:p w14:paraId="36588B99" w14:textId="1B1700D3" w:rsidR="00BF5DF8" w:rsidRPr="008E3E98" w:rsidRDefault="00C8399C" w:rsidP="008E3E98">
      <w:pPr>
        <w:jc w:val="both"/>
        <w:rPr>
          <w:rFonts w:ascii="Times New Roman" w:hAnsi="Times New Roman" w:cs="Times New Roman"/>
        </w:rPr>
      </w:pPr>
      <w:r w:rsidRPr="008E3E98">
        <w:rPr>
          <w:rFonts w:ascii="Times New Roman" w:hAnsi="Times New Roman" w:cs="Times New Roman"/>
        </w:rPr>
        <w:t xml:space="preserve">Perkins, N. J., Cole, S. R., Harel, O., </w:t>
      </w:r>
      <w:proofErr w:type="spellStart"/>
      <w:r w:rsidRPr="008E3E98">
        <w:rPr>
          <w:rFonts w:ascii="Times New Roman" w:hAnsi="Times New Roman" w:cs="Times New Roman"/>
        </w:rPr>
        <w:t>Tchetgen</w:t>
      </w:r>
      <w:proofErr w:type="spellEnd"/>
      <w:r w:rsidRPr="008E3E98">
        <w:rPr>
          <w:rFonts w:ascii="Times New Roman" w:hAnsi="Times New Roman" w:cs="Times New Roman"/>
        </w:rPr>
        <w:t xml:space="preserve"> </w:t>
      </w:r>
      <w:proofErr w:type="spellStart"/>
      <w:r w:rsidRPr="008E3E98">
        <w:rPr>
          <w:rFonts w:ascii="Times New Roman" w:hAnsi="Times New Roman" w:cs="Times New Roman"/>
        </w:rPr>
        <w:t>Tchetgen</w:t>
      </w:r>
      <w:proofErr w:type="spellEnd"/>
      <w:r w:rsidRPr="008E3E98">
        <w:rPr>
          <w:rFonts w:ascii="Times New Roman" w:hAnsi="Times New Roman" w:cs="Times New Roman"/>
        </w:rPr>
        <w:t xml:space="preserve">, E. J., Sun, B., Mitchell, E. M., &amp; Kaufman, J. S. (2021). Too many zeros and/or highly skewed? A tutorial on modelling health </w:t>
      </w:r>
      <w:proofErr w:type="spellStart"/>
      <w:r w:rsidRPr="008E3E98">
        <w:rPr>
          <w:rFonts w:ascii="Times New Roman" w:hAnsi="Times New Roman" w:cs="Times New Roman"/>
        </w:rPr>
        <w:t>behaviour</w:t>
      </w:r>
      <w:proofErr w:type="spellEnd"/>
      <w:r w:rsidRPr="008E3E98">
        <w:rPr>
          <w:rFonts w:ascii="Times New Roman" w:hAnsi="Times New Roman" w:cs="Times New Roman"/>
        </w:rPr>
        <w:t xml:space="preserve"> as count data with Poisson and negative binomial regression. </w:t>
      </w:r>
      <w:r w:rsidRPr="008E3E98">
        <w:rPr>
          <w:rFonts w:ascii="Times New Roman" w:hAnsi="Times New Roman" w:cs="Times New Roman"/>
          <w:i/>
          <w:iCs/>
        </w:rPr>
        <w:t>Health Psychology and Behavioral Medicine, 9</w:t>
      </w:r>
      <w:r w:rsidRPr="008E3E98">
        <w:rPr>
          <w:rFonts w:ascii="Times New Roman" w:hAnsi="Times New Roman" w:cs="Times New Roman"/>
        </w:rPr>
        <w:t xml:space="preserve">(1), 361–381. </w:t>
      </w:r>
      <w:hyperlink r:id="rId26" w:history="1">
        <w:r w:rsidRPr="008E3E98">
          <w:rPr>
            <w:rStyle w:val="Hyperlink"/>
            <w:rFonts w:ascii="Times New Roman" w:hAnsi="Times New Roman" w:cs="Times New Roman"/>
          </w:rPr>
          <w:t>https://doi.org/10.1080/21642850.2021.1920416</w:t>
        </w:r>
      </w:hyperlink>
    </w:p>
    <w:p w14:paraId="564E5E5B" w14:textId="2E1C74E6" w:rsidR="00BF5DF8" w:rsidRPr="008E3E98" w:rsidRDefault="00BF5DF8" w:rsidP="008E3E98">
      <w:pPr>
        <w:jc w:val="both"/>
        <w:rPr>
          <w:rFonts w:ascii="Times New Roman" w:hAnsi="Times New Roman" w:cs="Times New Roman"/>
        </w:rPr>
      </w:pPr>
      <w:r w:rsidRPr="008E3E98">
        <w:rPr>
          <w:rFonts w:ascii="Times New Roman" w:hAnsi="Times New Roman" w:cs="Times New Roman"/>
        </w:rPr>
        <w:lastRenderedPageBreak/>
        <w:t xml:space="preserve">Schober, P., &amp; Vetter, T. R. (2021). Count data in medical research: Poisson regression and negative binomial regression. </w:t>
      </w:r>
      <w:r w:rsidRPr="008E3E98">
        <w:rPr>
          <w:rFonts w:ascii="Times New Roman" w:hAnsi="Times New Roman" w:cs="Times New Roman"/>
          <w:i/>
          <w:iCs/>
        </w:rPr>
        <w:t>Anesthesia &amp; Analgesia, 132</w:t>
      </w:r>
      <w:r w:rsidRPr="008E3E98">
        <w:rPr>
          <w:rFonts w:ascii="Times New Roman" w:hAnsi="Times New Roman" w:cs="Times New Roman"/>
        </w:rPr>
        <w:t xml:space="preserve">(5), 1378–1379. </w:t>
      </w:r>
      <w:hyperlink r:id="rId27" w:history="1">
        <w:r w:rsidRPr="008E3E98">
          <w:rPr>
            <w:rStyle w:val="Hyperlink"/>
            <w:rFonts w:ascii="Times New Roman" w:hAnsi="Times New Roman" w:cs="Times New Roman"/>
          </w:rPr>
          <w:t>https://doi.org/10.1213/ANE.0000000000005398</w:t>
        </w:r>
      </w:hyperlink>
    </w:p>
    <w:p w14:paraId="4F4593B3" w14:textId="77777777" w:rsidR="008D0C09" w:rsidRPr="008E3E98" w:rsidRDefault="008D0C09" w:rsidP="008E3E98">
      <w:pPr>
        <w:jc w:val="both"/>
        <w:rPr>
          <w:rFonts w:ascii="Times New Roman" w:hAnsi="Times New Roman" w:cs="Times New Roman"/>
        </w:rPr>
      </w:pPr>
    </w:p>
    <w:p w14:paraId="6DD01D28"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Seto, E., </w:t>
      </w:r>
      <w:proofErr w:type="spellStart"/>
      <w:r w:rsidRPr="008E3E98">
        <w:rPr>
          <w:rFonts w:ascii="Times New Roman" w:hAnsi="Times New Roman" w:cs="Times New Roman"/>
        </w:rPr>
        <w:t>Cafazzo</w:t>
      </w:r>
      <w:proofErr w:type="spellEnd"/>
      <w:r w:rsidRPr="008E3E98">
        <w:rPr>
          <w:rFonts w:ascii="Times New Roman" w:hAnsi="Times New Roman" w:cs="Times New Roman"/>
        </w:rPr>
        <w:t xml:space="preserve">, J. A., &amp; </w:t>
      </w:r>
      <w:proofErr w:type="spellStart"/>
      <w:r w:rsidRPr="008E3E98">
        <w:rPr>
          <w:rFonts w:ascii="Times New Roman" w:hAnsi="Times New Roman" w:cs="Times New Roman"/>
        </w:rPr>
        <w:t>Farshchian</w:t>
      </w:r>
      <w:proofErr w:type="spellEnd"/>
      <w:r w:rsidRPr="008E3E98">
        <w:rPr>
          <w:rFonts w:ascii="Times New Roman" w:hAnsi="Times New Roman" w:cs="Times New Roman"/>
        </w:rPr>
        <w:t>, B. A. (2020). Reducing alert fatigue by sharing low-level alerts with patients and enhancing collaborative decision making using blockchain technology: Scoping review and proposed framework (</w:t>
      </w:r>
      <w:proofErr w:type="spellStart"/>
      <w:r w:rsidRPr="008E3E98">
        <w:rPr>
          <w:rFonts w:ascii="Times New Roman" w:hAnsi="Times New Roman" w:cs="Times New Roman"/>
        </w:rPr>
        <w:t>MedAlert</w:t>
      </w:r>
      <w:proofErr w:type="spellEnd"/>
      <w:r w:rsidRPr="008E3E98">
        <w:rPr>
          <w:rFonts w:ascii="Times New Roman" w:hAnsi="Times New Roman" w:cs="Times New Roman"/>
        </w:rPr>
        <w:t xml:space="preserve">). </w:t>
      </w:r>
      <w:r w:rsidRPr="008E3E98">
        <w:rPr>
          <w:rFonts w:ascii="Times New Roman" w:hAnsi="Times New Roman" w:cs="Times New Roman"/>
          <w:i/>
          <w:iCs/>
        </w:rPr>
        <w:t>Journal of Medical Internet Research, 22</w:t>
      </w:r>
      <w:r w:rsidRPr="008E3E98">
        <w:rPr>
          <w:rFonts w:ascii="Times New Roman" w:hAnsi="Times New Roman" w:cs="Times New Roman"/>
        </w:rPr>
        <w:t xml:space="preserve">(11), e18360. </w:t>
      </w:r>
      <w:hyperlink r:id="rId28" w:history="1">
        <w:r w:rsidRPr="008E3E98">
          <w:rPr>
            <w:rStyle w:val="Hyperlink"/>
            <w:rFonts w:ascii="Times New Roman" w:hAnsi="Times New Roman" w:cs="Times New Roman"/>
          </w:rPr>
          <w:t>https://doi.org/10.2196/18360</w:t>
        </w:r>
      </w:hyperlink>
    </w:p>
    <w:p w14:paraId="259A2E10" w14:textId="77777777" w:rsidR="008D0C09" w:rsidRPr="008E3E98" w:rsidRDefault="008D0C09" w:rsidP="008E3E98">
      <w:pPr>
        <w:jc w:val="both"/>
        <w:rPr>
          <w:rFonts w:ascii="Times New Roman" w:hAnsi="Times New Roman" w:cs="Times New Roman"/>
        </w:rPr>
      </w:pPr>
    </w:p>
    <w:p w14:paraId="63FB6F15"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Slight, S. P., Berner, E. S., Galanter, W., Huff, S., Lambert, B. L., Lannon, C., Lehmann, C. U., McCourt, B. J., McNamara, M., Menachemi, N., Payne, T. H., Spooner, S. A., Vandermeer, M. L., Wang, T. Y., </w:t>
      </w:r>
      <w:proofErr w:type="spellStart"/>
      <w:r w:rsidRPr="008E3E98">
        <w:rPr>
          <w:rFonts w:ascii="Times New Roman" w:hAnsi="Times New Roman" w:cs="Times New Roman"/>
        </w:rPr>
        <w:t>Akincigil</w:t>
      </w:r>
      <w:proofErr w:type="spellEnd"/>
      <w:r w:rsidRPr="008E3E98">
        <w:rPr>
          <w:rFonts w:ascii="Times New Roman" w:hAnsi="Times New Roman" w:cs="Times New Roman"/>
        </w:rPr>
        <w:t xml:space="preserve">, A., Crystal, S., Fortmann, S. P., &amp; </w:t>
      </w:r>
      <w:proofErr w:type="spellStart"/>
      <w:r w:rsidRPr="008E3E98">
        <w:rPr>
          <w:rFonts w:ascii="Times New Roman" w:hAnsi="Times New Roman" w:cs="Times New Roman"/>
        </w:rPr>
        <w:t>Bloomrosen</w:t>
      </w:r>
      <w:proofErr w:type="spellEnd"/>
      <w:r w:rsidRPr="008E3E98">
        <w:rPr>
          <w:rFonts w:ascii="Times New Roman" w:hAnsi="Times New Roman" w:cs="Times New Roman"/>
        </w:rPr>
        <w:t xml:space="preserve">, M. (2019). Meaningful use of electronic health records: Experiences from the field and future opportunities. </w:t>
      </w:r>
      <w:r w:rsidRPr="008E3E98">
        <w:rPr>
          <w:rFonts w:ascii="Times New Roman" w:hAnsi="Times New Roman" w:cs="Times New Roman"/>
          <w:i/>
          <w:iCs/>
        </w:rPr>
        <w:t>Journal of the American Medical Informatics Association, 26</w:t>
      </w:r>
      <w:r w:rsidRPr="008E3E98">
        <w:rPr>
          <w:rFonts w:ascii="Times New Roman" w:hAnsi="Times New Roman" w:cs="Times New Roman"/>
        </w:rPr>
        <w:t xml:space="preserve">(10), 1141–1148. </w:t>
      </w:r>
      <w:hyperlink r:id="rId29" w:history="1">
        <w:r w:rsidRPr="008E3E98">
          <w:rPr>
            <w:rStyle w:val="Hyperlink"/>
            <w:rFonts w:ascii="Times New Roman" w:hAnsi="Times New Roman" w:cs="Times New Roman"/>
          </w:rPr>
          <w:t>https://doi.org/10.1093/jamia/ocz095</w:t>
        </w:r>
      </w:hyperlink>
    </w:p>
    <w:p w14:paraId="5B1A06DC" w14:textId="77777777" w:rsidR="008D0C09" w:rsidRPr="008E3E98" w:rsidRDefault="008D0C09" w:rsidP="008E3E98">
      <w:pPr>
        <w:jc w:val="both"/>
        <w:rPr>
          <w:rFonts w:ascii="Times New Roman" w:hAnsi="Times New Roman" w:cs="Times New Roman"/>
        </w:rPr>
      </w:pPr>
    </w:p>
    <w:p w14:paraId="3FE153AB"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Sutton, R. T., Pincock, D., Baumgart, D. C., Sadowski, D. C., Fedorak, R. N., &amp; Kroeker, K. I. (2020). An overview of clinical decision support systems: Benefits, risks, and strategies for success. </w:t>
      </w:r>
      <w:proofErr w:type="spellStart"/>
      <w:r w:rsidRPr="008E3E98">
        <w:rPr>
          <w:rFonts w:ascii="Times New Roman" w:hAnsi="Times New Roman" w:cs="Times New Roman"/>
          <w:i/>
          <w:iCs/>
        </w:rPr>
        <w:t>npj</w:t>
      </w:r>
      <w:proofErr w:type="spellEnd"/>
      <w:r w:rsidRPr="008E3E98">
        <w:rPr>
          <w:rFonts w:ascii="Times New Roman" w:hAnsi="Times New Roman" w:cs="Times New Roman"/>
          <w:i/>
          <w:iCs/>
        </w:rPr>
        <w:t xml:space="preserve"> Digital Medicine, 3</w:t>
      </w:r>
      <w:r w:rsidRPr="008E3E98">
        <w:rPr>
          <w:rFonts w:ascii="Times New Roman" w:hAnsi="Times New Roman" w:cs="Times New Roman"/>
        </w:rPr>
        <w:t xml:space="preserve">(1), 17. </w:t>
      </w:r>
      <w:hyperlink r:id="rId30" w:history="1">
        <w:r w:rsidRPr="008E3E98">
          <w:rPr>
            <w:rStyle w:val="Hyperlink"/>
            <w:rFonts w:ascii="Times New Roman" w:hAnsi="Times New Roman" w:cs="Times New Roman"/>
          </w:rPr>
          <w:t>https://doi.org/10.1038/s41746-020-0221-y</w:t>
        </w:r>
      </w:hyperlink>
    </w:p>
    <w:p w14:paraId="3D4076CE" w14:textId="77777777" w:rsidR="005F2763" w:rsidRPr="008E3E98" w:rsidRDefault="005F2763" w:rsidP="008E3E98">
      <w:pPr>
        <w:jc w:val="both"/>
        <w:rPr>
          <w:rFonts w:ascii="Times New Roman" w:hAnsi="Times New Roman" w:cs="Times New Roman"/>
        </w:rPr>
      </w:pPr>
    </w:p>
    <w:p w14:paraId="42539532" w14:textId="77777777" w:rsidR="008D0C09" w:rsidRPr="008E3E98" w:rsidRDefault="008D0C09" w:rsidP="008E3E98">
      <w:pPr>
        <w:jc w:val="both"/>
        <w:rPr>
          <w:rFonts w:ascii="Times New Roman" w:hAnsi="Times New Roman" w:cs="Times New Roman"/>
        </w:rPr>
      </w:pPr>
      <w:r w:rsidRPr="008E3E98">
        <w:rPr>
          <w:rFonts w:ascii="Times New Roman" w:hAnsi="Times New Roman" w:cs="Times New Roman"/>
        </w:rPr>
        <w:t xml:space="preserve">Wong, A., Plasek, J. M., Montague, E., &amp; Seger, D. L. (2023). Facilitators and barriers to interacting with clinical decision support in the ICU: A mixed-methods approach. </w:t>
      </w:r>
      <w:r w:rsidRPr="008E3E98">
        <w:rPr>
          <w:rFonts w:ascii="Times New Roman" w:hAnsi="Times New Roman" w:cs="Times New Roman"/>
          <w:i/>
          <w:iCs/>
        </w:rPr>
        <w:t>Critical Care Explorations, 5</w:t>
      </w:r>
      <w:r w:rsidRPr="008E3E98">
        <w:rPr>
          <w:rFonts w:ascii="Times New Roman" w:hAnsi="Times New Roman" w:cs="Times New Roman"/>
        </w:rPr>
        <w:t xml:space="preserve">(9), e0967. </w:t>
      </w:r>
      <w:hyperlink r:id="rId31" w:history="1">
        <w:r w:rsidRPr="008E3E98">
          <w:rPr>
            <w:rStyle w:val="Hyperlink"/>
            <w:rFonts w:ascii="Times New Roman" w:hAnsi="Times New Roman" w:cs="Times New Roman"/>
          </w:rPr>
          <w:t>https://doi.org/10.1097/CCE.0000000000000967</w:t>
        </w:r>
      </w:hyperlink>
    </w:p>
    <w:p w14:paraId="2E70E741" w14:textId="77777777" w:rsidR="00D14598" w:rsidRPr="008E3E98" w:rsidRDefault="00000000" w:rsidP="008E3E98">
      <w:pPr>
        <w:jc w:val="both"/>
        <w:rPr>
          <w:rFonts w:ascii="Times New Roman" w:hAnsi="Times New Roman" w:cs="Times New Roman"/>
        </w:rPr>
      </w:pPr>
      <w:r w:rsidRPr="008E3E98">
        <w:rPr>
          <w:rFonts w:ascii="Times New Roman" w:hAnsi="Times New Roman" w:cs="Times New Roman"/>
        </w:rPr>
        <w:br w:type="page"/>
      </w:r>
    </w:p>
    <w:p w14:paraId="3C6481EE" w14:textId="77777777" w:rsidR="00D14598" w:rsidRPr="008E3E98" w:rsidRDefault="00000000" w:rsidP="008E3E98">
      <w:pPr>
        <w:pStyle w:val="Heading1"/>
        <w:jc w:val="both"/>
        <w:rPr>
          <w:rFonts w:ascii="Times New Roman" w:hAnsi="Times New Roman" w:cs="Times New Roman"/>
          <w:sz w:val="24"/>
          <w:szCs w:val="24"/>
        </w:rPr>
      </w:pPr>
      <w:bookmarkStart w:id="36" w:name="_Toc228825833"/>
      <w:r w:rsidRPr="008E3E98">
        <w:rPr>
          <w:rFonts w:ascii="Times New Roman" w:hAnsi="Times New Roman" w:cs="Times New Roman"/>
          <w:sz w:val="24"/>
          <w:szCs w:val="24"/>
        </w:rPr>
        <w:lastRenderedPageBreak/>
        <w:t>Appendices</w:t>
      </w:r>
      <w:bookmarkEnd w:id="36"/>
    </w:p>
    <w:p w14:paraId="76D94EB7" w14:textId="77777777" w:rsidR="00D14598" w:rsidRPr="008E3E98" w:rsidRDefault="00000000" w:rsidP="008E3E98">
      <w:pPr>
        <w:pStyle w:val="Heading2"/>
        <w:jc w:val="both"/>
        <w:rPr>
          <w:rFonts w:ascii="Times New Roman" w:hAnsi="Times New Roman" w:cs="Times New Roman"/>
          <w:sz w:val="24"/>
          <w:szCs w:val="24"/>
        </w:rPr>
      </w:pPr>
      <w:bookmarkStart w:id="37" w:name="_Toc228825834"/>
      <w:r w:rsidRPr="008E3E98">
        <w:rPr>
          <w:rFonts w:ascii="Times New Roman" w:hAnsi="Times New Roman" w:cs="Times New Roman"/>
          <w:sz w:val="24"/>
          <w:szCs w:val="24"/>
        </w:rPr>
        <w:t>Appendix A: Codebook</w:t>
      </w:r>
      <w:bookmarkEnd w:id="37"/>
    </w:p>
    <w:p w14:paraId="1ED191CB" w14:textId="77777777" w:rsidR="0056406F" w:rsidRPr="008E3E98" w:rsidRDefault="00000000" w:rsidP="008E3E98">
      <w:pPr>
        <w:spacing w:before="120" w:after="120"/>
        <w:jc w:val="both"/>
        <w:rPr>
          <w:rFonts w:ascii="Times New Roman" w:hAnsi="Times New Roman" w:cs="Times New Roman"/>
          <w:color w:val="000000"/>
        </w:rPr>
      </w:pPr>
      <w:r w:rsidRPr="008E3E98">
        <w:rPr>
          <w:rFonts w:ascii="Times New Roman" w:hAnsi="Times New Roman" w:cs="Times New Roman"/>
          <w:color w:val="000000"/>
        </w:rPr>
        <w:t>The full codebook is available at:</w:t>
      </w:r>
    </w:p>
    <w:p w14:paraId="09ADB8B9" w14:textId="68D2D523" w:rsidR="00D14598" w:rsidRPr="008E3E98" w:rsidRDefault="00000000" w:rsidP="008E3E98">
      <w:pPr>
        <w:spacing w:before="120" w:after="120"/>
        <w:jc w:val="both"/>
        <w:rPr>
          <w:rFonts w:ascii="Times New Roman" w:hAnsi="Times New Roman" w:cs="Times New Roman"/>
        </w:rPr>
      </w:pPr>
      <w:r w:rsidRPr="008E3E98">
        <w:rPr>
          <w:rFonts w:ascii="Times New Roman" w:hAnsi="Times New Roman" w:cs="Times New Roman"/>
          <w:color w:val="000000"/>
        </w:rPr>
        <w:t>Evaluating-Alert-Fatigue-in-Clinical-Decision-Support-Systems-Codebook.html</w:t>
      </w:r>
    </w:p>
    <w:p w14:paraId="68943698" w14:textId="76CD431C" w:rsidR="00D14598" w:rsidRPr="008E3E98" w:rsidRDefault="00D14598" w:rsidP="008E3E98">
      <w:pPr>
        <w:pBdr>
          <w:bottom w:val="dashed" w:sz="4" w:space="0" w:color="CCCCCC"/>
        </w:pBdr>
        <w:spacing w:before="120" w:after="120"/>
        <w:jc w:val="both"/>
        <w:rPr>
          <w:rFonts w:ascii="Times New Roman" w:hAnsi="Times New Roman" w:cs="Times New Roman"/>
        </w:rPr>
      </w:pPr>
    </w:p>
    <w:p w14:paraId="18FF5790" w14:textId="77777777" w:rsidR="00D14598" w:rsidRPr="008E3E98" w:rsidRDefault="00000000" w:rsidP="008E3E98">
      <w:pPr>
        <w:pStyle w:val="Heading2"/>
        <w:jc w:val="both"/>
        <w:rPr>
          <w:rFonts w:ascii="Times New Roman" w:hAnsi="Times New Roman" w:cs="Times New Roman"/>
          <w:sz w:val="24"/>
          <w:szCs w:val="24"/>
        </w:rPr>
      </w:pPr>
      <w:bookmarkStart w:id="38" w:name="_Toc228825835"/>
      <w:r w:rsidRPr="008E3E98">
        <w:rPr>
          <w:rFonts w:ascii="Times New Roman" w:hAnsi="Times New Roman" w:cs="Times New Roman"/>
          <w:sz w:val="24"/>
          <w:szCs w:val="24"/>
        </w:rPr>
        <w:t>Appendix B: Reproducible Code</w:t>
      </w:r>
      <w:bookmarkEnd w:id="38"/>
    </w:p>
    <w:p w14:paraId="519BF62B" w14:textId="130423C2" w:rsidR="00EF09DE" w:rsidRPr="008E3E98" w:rsidRDefault="00EF09DE" w:rsidP="008E3E98">
      <w:pPr>
        <w:jc w:val="both"/>
        <w:rPr>
          <w:rFonts w:ascii="Times New Roman" w:hAnsi="Times New Roman" w:cs="Times New Roman"/>
        </w:rPr>
      </w:pPr>
      <w:r w:rsidRPr="008E3E98">
        <w:rPr>
          <w:rFonts w:ascii="Times New Roman" w:hAnsi="Times New Roman" w:cs="Times New Roman"/>
        </w:rPr>
        <w:t xml:space="preserve">The complete R Markdown source code, rendered codebook, and final report are available at: </w:t>
      </w:r>
      <w:hyperlink r:id="rId32" w:history="1">
        <w:r w:rsidRPr="008E3E98">
          <w:rPr>
            <w:rStyle w:val="Hyperlink"/>
            <w:rFonts w:ascii="Times New Roman" w:hAnsi="Times New Roman" w:cs="Times New Roman"/>
          </w:rPr>
          <w:t>https://github.com/briannajackson1211-wq/alert-fatigue-mimic-iv</w:t>
        </w:r>
      </w:hyperlink>
    </w:p>
    <w:p w14:paraId="47111E89" w14:textId="77777777" w:rsidR="00EF09DE" w:rsidRPr="008E3E98" w:rsidRDefault="00EF09DE" w:rsidP="008E3E98">
      <w:pPr>
        <w:jc w:val="both"/>
        <w:rPr>
          <w:rFonts w:ascii="Times New Roman" w:hAnsi="Times New Roman" w:cs="Times New Roman"/>
        </w:rPr>
      </w:pPr>
    </w:p>
    <w:p w14:paraId="16CEE9D6" w14:textId="4BC32111" w:rsidR="00D14598" w:rsidRPr="008E3E98" w:rsidRDefault="00D14598" w:rsidP="008E3E98">
      <w:pPr>
        <w:pBdr>
          <w:bottom w:val="dashed" w:sz="4" w:space="0" w:color="CCCCCC"/>
        </w:pBdr>
        <w:spacing w:before="120" w:after="120"/>
        <w:jc w:val="both"/>
        <w:rPr>
          <w:rFonts w:ascii="Times New Roman" w:hAnsi="Times New Roman" w:cs="Times New Roman"/>
        </w:rPr>
      </w:pPr>
    </w:p>
    <w:p w14:paraId="1AED64E7" w14:textId="77777777" w:rsidR="00D14598" w:rsidRDefault="00000000" w:rsidP="008E3E98">
      <w:pPr>
        <w:pStyle w:val="Heading2"/>
        <w:jc w:val="both"/>
        <w:rPr>
          <w:rFonts w:ascii="Times New Roman" w:hAnsi="Times New Roman" w:cs="Times New Roman"/>
          <w:sz w:val="24"/>
          <w:szCs w:val="24"/>
        </w:rPr>
      </w:pPr>
      <w:bookmarkStart w:id="39" w:name="_Toc228825836"/>
      <w:r w:rsidRPr="008E3E98">
        <w:rPr>
          <w:rFonts w:ascii="Times New Roman" w:hAnsi="Times New Roman" w:cs="Times New Roman"/>
          <w:sz w:val="24"/>
          <w:szCs w:val="24"/>
        </w:rPr>
        <w:t>Appendix C: Additional Tables and Figures</w:t>
      </w:r>
      <w:bookmarkEnd w:id="39"/>
    </w:p>
    <w:p w14:paraId="1017D667"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2. Distribution of Total CDS-Triggering Events per ICU Admission</w:t>
      </w:r>
    </w:p>
    <w:p w14:paraId="7D88E084"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3. Daily CDS-Triggering Event Rate by ICU Unit Type</w:t>
      </w:r>
    </w:p>
    <w:p w14:paraId="071A2384"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4. Relationship Between Medication Orders and Laboratory Events per ICU Admission</w:t>
      </w:r>
    </w:p>
    <w:p w14:paraId="10D1204D"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5. Estimated CDS Event Burden Under Suppression Scenarios</w:t>
      </w:r>
    </w:p>
    <w:p w14:paraId="41D0D6EE"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6. ICU Length of Stay Distribution</w:t>
      </w:r>
    </w:p>
    <w:p w14:paraId="03D241B4"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7. Medication Order Activity by Hour of Day</w:t>
      </w:r>
    </w:p>
    <w:p w14:paraId="342F56AE"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8. Medication Order Volume by Clinical Shift</w:t>
      </w:r>
    </w:p>
    <w:p w14:paraId="171D2535"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9. Average Medication Orders per Admission by ICU Day of Stay</w:t>
      </w:r>
    </w:p>
    <w:p w14:paraId="54292D7B" w14:textId="482A910E" w:rsidR="00033446" w:rsidRPr="00033446" w:rsidRDefault="00033446" w:rsidP="00033446">
      <w:pPr>
        <w:rPr>
          <w:rFonts w:ascii="Times New Roman" w:hAnsi="Times New Roman" w:cs="Times New Roman"/>
        </w:rPr>
      </w:pPr>
      <w:r w:rsidRPr="00033446">
        <w:rPr>
          <w:rFonts w:ascii="Times New Roman" w:hAnsi="Times New Roman" w:cs="Times New Roman"/>
        </w:rPr>
        <w:t xml:space="preserve">Figure 10. Distribution of Maximum Medication Orders in Any 60-Minute Window per ICU </w:t>
      </w:r>
      <w:r>
        <w:rPr>
          <w:rFonts w:ascii="Times New Roman" w:hAnsi="Times New Roman" w:cs="Times New Roman"/>
        </w:rPr>
        <w:t xml:space="preserve">        </w:t>
      </w:r>
      <w:r w:rsidRPr="00033446">
        <w:rPr>
          <w:rFonts w:ascii="Times New Roman" w:hAnsi="Times New Roman" w:cs="Times New Roman"/>
        </w:rPr>
        <w:t>Admission</w:t>
      </w:r>
    </w:p>
    <w:p w14:paraId="4AC2AF9C" w14:textId="77777777" w:rsidR="00033446" w:rsidRPr="00033446" w:rsidRDefault="00033446" w:rsidP="00033446">
      <w:pPr>
        <w:rPr>
          <w:rFonts w:ascii="Times New Roman" w:hAnsi="Times New Roman" w:cs="Times New Roman"/>
        </w:rPr>
      </w:pPr>
      <w:r w:rsidRPr="00033446">
        <w:rPr>
          <w:rFonts w:ascii="Times New Roman" w:hAnsi="Times New Roman" w:cs="Times New Roman"/>
        </w:rPr>
        <w:t>Figure 11. ICU Admissions by 60-Minute Burst Intensity Category</w:t>
      </w:r>
    </w:p>
    <w:p w14:paraId="12BFAAE6" w14:textId="77777777" w:rsidR="00D21F79" w:rsidRPr="008E3E98" w:rsidRDefault="00D21F79" w:rsidP="008E3E98">
      <w:pPr>
        <w:pStyle w:val="Heading2"/>
        <w:jc w:val="both"/>
        <w:rPr>
          <w:rFonts w:ascii="Times New Roman" w:hAnsi="Times New Roman" w:cs="Times New Roman"/>
          <w:sz w:val="24"/>
          <w:szCs w:val="24"/>
        </w:rPr>
      </w:pPr>
    </w:p>
    <w:p w14:paraId="5352922A" w14:textId="77777777" w:rsidR="00297576" w:rsidRPr="008E3E98" w:rsidRDefault="00297576" w:rsidP="008E3E98">
      <w:pPr>
        <w:pStyle w:val="Heading2"/>
        <w:jc w:val="both"/>
        <w:rPr>
          <w:rFonts w:ascii="Times New Roman" w:hAnsi="Times New Roman" w:cs="Times New Roman"/>
          <w:sz w:val="24"/>
          <w:szCs w:val="24"/>
        </w:rPr>
      </w:pPr>
    </w:p>
    <w:p w14:paraId="32C0D606" w14:textId="21212DF2" w:rsidR="00446715" w:rsidRPr="008E3E98" w:rsidRDefault="00446715" w:rsidP="008E3E98">
      <w:pPr>
        <w:pBdr>
          <w:bottom w:val="dashed" w:sz="4" w:space="0" w:color="CCCCCC"/>
        </w:pBdr>
        <w:spacing w:before="120" w:after="120"/>
        <w:jc w:val="both"/>
        <w:rPr>
          <w:rFonts w:ascii="Times New Roman" w:hAnsi="Times New Roman" w:cs="Times New Roman"/>
          <w:i/>
          <w:iCs/>
          <w:color w:val="999999"/>
        </w:rPr>
      </w:pPr>
      <w:r w:rsidRPr="008E3E98">
        <w:rPr>
          <w:rFonts w:ascii="Times New Roman" w:hAnsi="Times New Roman" w:cs="Times New Roman"/>
          <w:i/>
          <w:iCs/>
          <w:noProof/>
          <w:color w:val="999999"/>
        </w:rPr>
        <w:lastRenderedPageBreak/>
        <w:drawing>
          <wp:inline distT="0" distB="0" distL="0" distR="0" wp14:anchorId="288F6851" wp14:editId="60EF3767">
            <wp:extent cx="6019800" cy="4771870"/>
            <wp:effectExtent l="0" t="0" r="0" b="0"/>
            <wp:docPr id="1319793921" name="Picture 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93921" name="Picture 1">
                      <a:hlinkClick r:id="rId33"/>
                    </pic:cNvPr>
                    <pic:cNvPicPr/>
                  </pic:nvPicPr>
                  <pic:blipFill>
                    <a:blip r:embed="rId34"/>
                    <a:stretch>
                      <a:fillRect/>
                    </a:stretch>
                  </pic:blipFill>
                  <pic:spPr>
                    <a:xfrm>
                      <a:off x="0" y="0"/>
                      <a:ext cx="6036205" cy="4784874"/>
                    </a:xfrm>
                    <a:prstGeom prst="rect">
                      <a:avLst/>
                    </a:prstGeom>
                  </pic:spPr>
                </pic:pic>
              </a:graphicData>
            </a:graphic>
          </wp:inline>
        </w:drawing>
      </w:r>
    </w:p>
    <w:p w14:paraId="7FB683EB" w14:textId="77777777" w:rsidR="00767F77" w:rsidRPr="00767F77" w:rsidRDefault="00767F77" w:rsidP="00767F77">
      <w:pPr>
        <w:pStyle w:val="Heading2"/>
        <w:ind w:left="720"/>
        <w:rPr>
          <w:rFonts w:ascii="Times New Roman" w:hAnsi="Times New Roman" w:cs="Times New Roman"/>
          <w:sz w:val="24"/>
          <w:szCs w:val="24"/>
        </w:rPr>
      </w:pPr>
      <w:bookmarkStart w:id="40" w:name="_Figure_2._Distribution_1"/>
      <w:bookmarkStart w:id="41" w:name="_Toc228825837"/>
      <w:bookmarkEnd w:id="40"/>
      <w:r w:rsidRPr="00767F77">
        <w:rPr>
          <w:rFonts w:ascii="Times New Roman" w:hAnsi="Times New Roman" w:cs="Times New Roman"/>
          <w:sz w:val="24"/>
          <w:szCs w:val="24"/>
        </w:rPr>
        <w:t>Figure 2. Distribution of Total CDS-Triggering Events per ICU Admission</w:t>
      </w:r>
      <w:bookmarkEnd w:id="41"/>
    </w:p>
    <w:p w14:paraId="6452920A"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3CF85ECA"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3C4BE9B4"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18B2814F"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04EF4BB8" w14:textId="47516593" w:rsidR="00446715" w:rsidRPr="008E3E98" w:rsidRDefault="00446715" w:rsidP="008E3E98">
      <w:pPr>
        <w:pBdr>
          <w:bottom w:val="dashed" w:sz="4" w:space="0" w:color="CCCCCC"/>
        </w:pBdr>
        <w:spacing w:before="120" w:after="120"/>
        <w:jc w:val="both"/>
        <w:rPr>
          <w:rFonts w:ascii="Times New Roman" w:hAnsi="Times New Roman" w:cs="Times New Roman"/>
          <w:i/>
          <w:iCs/>
          <w:color w:val="999999"/>
        </w:rPr>
      </w:pPr>
      <w:r w:rsidRPr="008E3E98">
        <w:rPr>
          <w:rFonts w:ascii="Times New Roman" w:hAnsi="Times New Roman" w:cs="Times New Roman"/>
          <w:i/>
          <w:iCs/>
          <w:noProof/>
          <w:color w:val="999999"/>
        </w:rPr>
        <w:lastRenderedPageBreak/>
        <w:drawing>
          <wp:inline distT="0" distB="0" distL="0" distR="0" wp14:anchorId="648EBE67" wp14:editId="7281D324">
            <wp:extent cx="5991225" cy="5072380"/>
            <wp:effectExtent l="0" t="0" r="9525" b="0"/>
            <wp:docPr id="1035971736" name="Picture 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1736" name="Picture 1">
                      <a:hlinkClick r:id="rId35"/>
                    </pic:cNvPr>
                    <pic:cNvPicPr/>
                  </pic:nvPicPr>
                  <pic:blipFill>
                    <a:blip r:embed="rId36"/>
                    <a:stretch>
                      <a:fillRect/>
                    </a:stretch>
                  </pic:blipFill>
                  <pic:spPr>
                    <a:xfrm>
                      <a:off x="0" y="0"/>
                      <a:ext cx="5998013" cy="5078127"/>
                    </a:xfrm>
                    <a:prstGeom prst="rect">
                      <a:avLst/>
                    </a:prstGeom>
                  </pic:spPr>
                </pic:pic>
              </a:graphicData>
            </a:graphic>
          </wp:inline>
        </w:drawing>
      </w:r>
    </w:p>
    <w:p w14:paraId="0819AA44" w14:textId="77777777" w:rsidR="00767F77" w:rsidRPr="00767F77" w:rsidRDefault="00767F77" w:rsidP="00767F77">
      <w:pPr>
        <w:pStyle w:val="Heading2"/>
        <w:ind w:left="720"/>
        <w:rPr>
          <w:rFonts w:ascii="Times New Roman" w:hAnsi="Times New Roman" w:cs="Times New Roman"/>
          <w:sz w:val="24"/>
          <w:szCs w:val="24"/>
        </w:rPr>
      </w:pPr>
      <w:bookmarkStart w:id="42" w:name="_Toc228825838"/>
      <w:r w:rsidRPr="00767F77">
        <w:rPr>
          <w:rFonts w:ascii="Times New Roman" w:hAnsi="Times New Roman" w:cs="Times New Roman"/>
          <w:sz w:val="24"/>
          <w:szCs w:val="24"/>
        </w:rPr>
        <w:t>Figure 3. Daily CDS-Triggering Event Rate by ICU Unit Type</w:t>
      </w:r>
      <w:bookmarkEnd w:id="42"/>
    </w:p>
    <w:p w14:paraId="34EB5E20" w14:textId="77777777" w:rsidR="00446715" w:rsidRPr="008E3E98" w:rsidRDefault="00446715" w:rsidP="008E3E98">
      <w:pPr>
        <w:pBdr>
          <w:bottom w:val="dashed" w:sz="4" w:space="0" w:color="CCCCCC"/>
        </w:pBdr>
        <w:spacing w:before="120" w:after="120"/>
        <w:jc w:val="both"/>
        <w:rPr>
          <w:rFonts w:ascii="Times New Roman" w:hAnsi="Times New Roman" w:cs="Times New Roman"/>
          <w:i/>
          <w:iCs/>
          <w:color w:val="999999"/>
        </w:rPr>
      </w:pPr>
    </w:p>
    <w:p w14:paraId="1F464AEB" w14:textId="77777777" w:rsidR="00446715" w:rsidRDefault="00446715" w:rsidP="008E3E98">
      <w:pPr>
        <w:pBdr>
          <w:bottom w:val="dashed" w:sz="4" w:space="0" w:color="CCCCCC"/>
        </w:pBdr>
        <w:spacing w:before="120" w:after="120"/>
        <w:jc w:val="both"/>
        <w:rPr>
          <w:rFonts w:ascii="Times New Roman" w:hAnsi="Times New Roman" w:cs="Times New Roman"/>
          <w:i/>
          <w:iCs/>
          <w:color w:val="999999"/>
        </w:rPr>
      </w:pPr>
      <w:r w:rsidRPr="008E3E98">
        <w:rPr>
          <w:rFonts w:ascii="Times New Roman" w:hAnsi="Times New Roman" w:cs="Times New Roman"/>
          <w:i/>
          <w:iCs/>
          <w:noProof/>
          <w:color w:val="999999"/>
        </w:rPr>
        <w:lastRenderedPageBreak/>
        <w:drawing>
          <wp:inline distT="0" distB="0" distL="0" distR="0" wp14:anchorId="3F7A9705" wp14:editId="72DE8441">
            <wp:extent cx="6096960" cy="4460682"/>
            <wp:effectExtent l="0" t="0" r="0" b="0"/>
            <wp:docPr id="981532333" name="Picture 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2333" name="Picture 1">
                      <a:hlinkClick r:id="rId37"/>
                    </pic:cNvPr>
                    <pic:cNvPicPr/>
                  </pic:nvPicPr>
                  <pic:blipFill>
                    <a:blip r:embed="rId38"/>
                    <a:stretch>
                      <a:fillRect/>
                    </a:stretch>
                  </pic:blipFill>
                  <pic:spPr>
                    <a:xfrm>
                      <a:off x="0" y="0"/>
                      <a:ext cx="6142286" cy="4493843"/>
                    </a:xfrm>
                    <a:prstGeom prst="rect">
                      <a:avLst/>
                    </a:prstGeom>
                    <a:blipFill>
                      <a:blip r:embed="rId39"/>
                      <a:tile tx="0" ty="0" sx="100000" sy="100000" flip="none" algn="tl"/>
                    </a:blipFill>
                  </pic:spPr>
                </pic:pic>
              </a:graphicData>
            </a:graphic>
          </wp:inline>
        </w:drawing>
      </w:r>
    </w:p>
    <w:p w14:paraId="79482F1B" w14:textId="77777777" w:rsidR="00767F77" w:rsidRPr="00767F77" w:rsidRDefault="00767F77" w:rsidP="00767F77">
      <w:pPr>
        <w:pStyle w:val="Heading2"/>
        <w:ind w:left="720"/>
        <w:rPr>
          <w:rFonts w:ascii="Times New Roman" w:hAnsi="Times New Roman" w:cs="Times New Roman"/>
          <w:sz w:val="24"/>
          <w:szCs w:val="24"/>
        </w:rPr>
      </w:pPr>
      <w:bookmarkStart w:id="43" w:name="_Toc228825839"/>
      <w:r w:rsidRPr="00767F77">
        <w:rPr>
          <w:rFonts w:ascii="Times New Roman" w:hAnsi="Times New Roman" w:cs="Times New Roman"/>
          <w:sz w:val="24"/>
          <w:szCs w:val="24"/>
        </w:rPr>
        <w:t>Figure 4. Relationship Between Medication Orders and Laboratory Events per ICU Admission</w:t>
      </w:r>
      <w:bookmarkEnd w:id="43"/>
    </w:p>
    <w:p w14:paraId="44E0A5DF" w14:textId="77777777" w:rsidR="00767F77" w:rsidRPr="008E3E98" w:rsidRDefault="00767F77" w:rsidP="008E3E98">
      <w:pPr>
        <w:pBdr>
          <w:bottom w:val="dashed" w:sz="4" w:space="0" w:color="CCCCCC"/>
        </w:pBdr>
        <w:spacing w:before="120" w:after="120"/>
        <w:jc w:val="both"/>
        <w:rPr>
          <w:rFonts w:ascii="Times New Roman" w:hAnsi="Times New Roman" w:cs="Times New Roman"/>
          <w:i/>
          <w:iCs/>
          <w:color w:val="999999"/>
        </w:rPr>
      </w:pPr>
    </w:p>
    <w:p w14:paraId="7D4076B5" w14:textId="1112FAAE" w:rsidR="00446715" w:rsidRDefault="00446715" w:rsidP="008E3E98">
      <w:pPr>
        <w:pBdr>
          <w:bottom w:val="dashed" w:sz="4" w:space="0" w:color="CCCCCC"/>
        </w:pBdr>
        <w:spacing w:before="120" w:after="120"/>
        <w:jc w:val="both"/>
        <w:rPr>
          <w:rFonts w:ascii="Times New Roman" w:hAnsi="Times New Roman" w:cs="Times New Roman"/>
          <w:i/>
          <w:iCs/>
          <w:color w:val="999999"/>
        </w:rPr>
      </w:pPr>
      <w:r w:rsidRPr="008E3E98">
        <w:rPr>
          <w:rFonts w:ascii="Times New Roman" w:hAnsi="Times New Roman" w:cs="Times New Roman"/>
          <w:i/>
          <w:iCs/>
          <w:noProof/>
          <w:color w:val="999999"/>
        </w:rPr>
        <w:lastRenderedPageBreak/>
        <w:drawing>
          <wp:inline distT="0" distB="0" distL="0" distR="0" wp14:anchorId="468AA926" wp14:editId="203969BE">
            <wp:extent cx="5990269" cy="4405023"/>
            <wp:effectExtent l="0" t="0" r="0" b="0"/>
            <wp:docPr id="1472386547" name="Pictur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86547" name="Picture 1">
                      <a:hlinkClick r:id="rId12"/>
                    </pic:cNvPr>
                    <pic:cNvPicPr/>
                  </pic:nvPicPr>
                  <pic:blipFill>
                    <a:blip r:embed="rId13"/>
                    <a:stretch>
                      <a:fillRect/>
                    </a:stretch>
                  </pic:blipFill>
                  <pic:spPr>
                    <a:xfrm>
                      <a:off x="0" y="0"/>
                      <a:ext cx="5995280" cy="4408708"/>
                    </a:xfrm>
                    <a:prstGeom prst="rect">
                      <a:avLst/>
                    </a:prstGeom>
                  </pic:spPr>
                </pic:pic>
              </a:graphicData>
            </a:graphic>
          </wp:inline>
        </w:drawing>
      </w:r>
    </w:p>
    <w:p w14:paraId="75A74476" w14:textId="77777777" w:rsidR="00767F77" w:rsidRPr="00767F77" w:rsidRDefault="00767F77" w:rsidP="00767F77">
      <w:pPr>
        <w:pStyle w:val="Heading2"/>
        <w:ind w:left="720"/>
        <w:rPr>
          <w:rFonts w:ascii="Times New Roman" w:hAnsi="Times New Roman" w:cs="Times New Roman"/>
          <w:sz w:val="24"/>
          <w:szCs w:val="24"/>
        </w:rPr>
      </w:pPr>
      <w:bookmarkStart w:id="44" w:name="_Toc228825840"/>
      <w:r w:rsidRPr="00767F77">
        <w:rPr>
          <w:rFonts w:ascii="Times New Roman" w:hAnsi="Times New Roman" w:cs="Times New Roman"/>
          <w:sz w:val="24"/>
          <w:szCs w:val="24"/>
        </w:rPr>
        <w:t>Figure 5. Estimated CDS Event Burden Under Suppression Scenarios</w:t>
      </w:r>
      <w:bookmarkEnd w:id="44"/>
    </w:p>
    <w:p w14:paraId="1082669D" w14:textId="77777777" w:rsidR="00767F77" w:rsidRPr="008E3E98" w:rsidRDefault="00767F77" w:rsidP="008E3E98">
      <w:pPr>
        <w:pBdr>
          <w:bottom w:val="dashed" w:sz="4" w:space="0" w:color="CCCCCC"/>
        </w:pBdr>
        <w:spacing w:before="120" w:after="120"/>
        <w:jc w:val="both"/>
        <w:rPr>
          <w:rFonts w:ascii="Times New Roman" w:hAnsi="Times New Roman" w:cs="Times New Roman"/>
          <w:i/>
          <w:iCs/>
          <w:color w:val="999999"/>
        </w:rPr>
      </w:pPr>
    </w:p>
    <w:p w14:paraId="08F81337"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68F22D55"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073B134F"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0E5E62F9"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7CDB3E84"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7A364A9E"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27CE968D" w14:textId="77777777" w:rsidR="00767F77" w:rsidRDefault="00767F77" w:rsidP="008E3E98">
      <w:pPr>
        <w:pBdr>
          <w:bottom w:val="dashed" w:sz="4" w:space="0" w:color="CCCCCC"/>
        </w:pBdr>
        <w:spacing w:before="120" w:after="120"/>
        <w:jc w:val="both"/>
        <w:rPr>
          <w:rFonts w:ascii="Times New Roman" w:hAnsi="Times New Roman" w:cs="Times New Roman"/>
          <w:i/>
          <w:iCs/>
          <w:noProof/>
          <w:color w:val="999999"/>
        </w:rPr>
      </w:pPr>
    </w:p>
    <w:p w14:paraId="5BB08BA3" w14:textId="0FD98BA3" w:rsidR="00446715" w:rsidRDefault="00446715" w:rsidP="008E3E98">
      <w:pPr>
        <w:pBdr>
          <w:bottom w:val="dashed" w:sz="4" w:space="0" w:color="CCCCCC"/>
        </w:pBdr>
        <w:spacing w:before="120" w:after="120"/>
        <w:jc w:val="both"/>
        <w:rPr>
          <w:rFonts w:ascii="Times New Roman" w:hAnsi="Times New Roman" w:cs="Times New Roman"/>
          <w:i/>
          <w:iCs/>
          <w:color w:val="999999"/>
        </w:rPr>
      </w:pPr>
      <w:r w:rsidRPr="008E3E98">
        <w:rPr>
          <w:rFonts w:ascii="Times New Roman" w:hAnsi="Times New Roman" w:cs="Times New Roman"/>
          <w:i/>
          <w:iCs/>
          <w:noProof/>
          <w:color w:val="999999"/>
        </w:rPr>
        <w:lastRenderedPageBreak/>
        <w:drawing>
          <wp:inline distT="0" distB="0" distL="0" distR="0" wp14:anchorId="1DE8D0B8" wp14:editId="3CC4FCFB">
            <wp:extent cx="5883465" cy="4381169"/>
            <wp:effectExtent l="0" t="0" r="3175" b="635"/>
            <wp:docPr id="1939579585" name="Picture 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79585" name="Picture 1">
                      <a:hlinkClick r:id="rId40"/>
                    </pic:cNvPr>
                    <pic:cNvPicPr/>
                  </pic:nvPicPr>
                  <pic:blipFill>
                    <a:blip r:embed="rId41"/>
                    <a:stretch>
                      <a:fillRect/>
                    </a:stretch>
                  </pic:blipFill>
                  <pic:spPr>
                    <a:xfrm>
                      <a:off x="0" y="0"/>
                      <a:ext cx="5893580" cy="4388702"/>
                    </a:xfrm>
                    <a:prstGeom prst="rect">
                      <a:avLst/>
                    </a:prstGeom>
                  </pic:spPr>
                </pic:pic>
              </a:graphicData>
            </a:graphic>
          </wp:inline>
        </w:drawing>
      </w:r>
    </w:p>
    <w:p w14:paraId="753701DB" w14:textId="77777777" w:rsidR="00767F77" w:rsidRPr="00767F77" w:rsidRDefault="00767F77" w:rsidP="00767F77">
      <w:pPr>
        <w:pStyle w:val="Heading2"/>
        <w:ind w:left="720"/>
        <w:rPr>
          <w:rFonts w:ascii="Times New Roman" w:hAnsi="Times New Roman" w:cs="Times New Roman"/>
          <w:sz w:val="24"/>
          <w:szCs w:val="24"/>
        </w:rPr>
      </w:pPr>
      <w:bookmarkStart w:id="45" w:name="_Toc228825841"/>
      <w:r w:rsidRPr="00767F77">
        <w:rPr>
          <w:rFonts w:ascii="Times New Roman" w:hAnsi="Times New Roman" w:cs="Times New Roman"/>
          <w:sz w:val="24"/>
          <w:szCs w:val="24"/>
        </w:rPr>
        <w:t>Figure 6. ICU Length of Stay Distribution</w:t>
      </w:r>
      <w:bookmarkEnd w:id="45"/>
      <w:r w:rsidRPr="00767F77">
        <w:rPr>
          <w:rFonts w:ascii="Times New Roman" w:hAnsi="Times New Roman" w:cs="Times New Roman"/>
          <w:sz w:val="24"/>
          <w:szCs w:val="24"/>
        </w:rPr>
        <w:t xml:space="preserve"> </w:t>
      </w:r>
    </w:p>
    <w:p w14:paraId="313FBCB4" w14:textId="77777777" w:rsidR="00767F77" w:rsidRPr="008E3E98" w:rsidRDefault="00767F77" w:rsidP="008E3E98">
      <w:pPr>
        <w:pBdr>
          <w:bottom w:val="dashed" w:sz="4" w:space="0" w:color="CCCCCC"/>
        </w:pBdr>
        <w:spacing w:before="120" w:after="120"/>
        <w:jc w:val="both"/>
        <w:rPr>
          <w:rFonts w:ascii="Times New Roman" w:hAnsi="Times New Roman" w:cs="Times New Roman"/>
          <w:i/>
          <w:iCs/>
          <w:color w:val="999999"/>
        </w:rPr>
      </w:pPr>
    </w:p>
    <w:p w14:paraId="4489513C" w14:textId="5F9A3699" w:rsidR="003A0A8A" w:rsidRPr="008E3E98" w:rsidRDefault="003A0A8A" w:rsidP="008E3E98">
      <w:pPr>
        <w:pBdr>
          <w:bottom w:val="dashed" w:sz="4" w:space="0" w:color="CCCCCC"/>
        </w:pBdr>
        <w:spacing w:before="120" w:after="120"/>
        <w:jc w:val="both"/>
        <w:rPr>
          <w:rFonts w:ascii="Times New Roman" w:hAnsi="Times New Roman" w:cs="Times New Roman"/>
          <w:i/>
          <w:iCs/>
          <w:color w:val="999999"/>
        </w:rPr>
      </w:pPr>
      <w:r w:rsidRPr="008E3E98">
        <w:rPr>
          <w:rFonts w:ascii="Times New Roman" w:hAnsi="Times New Roman" w:cs="Times New Roman"/>
          <w:i/>
          <w:iCs/>
          <w:noProof/>
          <w:color w:val="999999"/>
        </w:rPr>
        <w:lastRenderedPageBreak/>
        <w:drawing>
          <wp:inline distT="0" distB="0" distL="0" distR="0" wp14:anchorId="3A2D6B44" wp14:editId="6F0828CE">
            <wp:extent cx="6021271" cy="4436828"/>
            <wp:effectExtent l="0" t="0" r="0" b="1905"/>
            <wp:docPr id="549452716" name="Picture 1">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52716" name="Picture 1">
                      <a:hlinkClick r:id="rId42"/>
                    </pic:cNvPr>
                    <pic:cNvPicPr/>
                  </pic:nvPicPr>
                  <pic:blipFill>
                    <a:blip r:embed="rId43"/>
                    <a:stretch>
                      <a:fillRect/>
                    </a:stretch>
                  </pic:blipFill>
                  <pic:spPr>
                    <a:xfrm>
                      <a:off x="0" y="0"/>
                      <a:ext cx="6033198" cy="4445617"/>
                    </a:xfrm>
                    <a:prstGeom prst="rect">
                      <a:avLst/>
                    </a:prstGeom>
                  </pic:spPr>
                </pic:pic>
              </a:graphicData>
            </a:graphic>
          </wp:inline>
        </w:drawing>
      </w:r>
    </w:p>
    <w:p w14:paraId="3553EF2B" w14:textId="77777777" w:rsidR="00033446" w:rsidRPr="00767F77" w:rsidRDefault="00033446" w:rsidP="00033446">
      <w:pPr>
        <w:pStyle w:val="Heading2"/>
        <w:ind w:left="720"/>
        <w:rPr>
          <w:rFonts w:ascii="Times New Roman" w:hAnsi="Times New Roman" w:cs="Times New Roman"/>
          <w:sz w:val="24"/>
          <w:szCs w:val="24"/>
        </w:rPr>
      </w:pPr>
      <w:bookmarkStart w:id="46" w:name="_Toc228825842"/>
      <w:r w:rsidRPr="00767F77">
        <w:rPr>
          <w:rFonts w:ascii="Times New Roman" w:hAnsi="Times New Roman" w:cs="Times New Roman"/>
          <w:sz w:val="24"/>
          <w:szCs w:val="24"/>
        </w:rPr>
        <w:t>Figure 7. Medication Order Activity by Hour of Day</w:t>
      </w:r>
      <w:bookmarkEnd w:id="46"/>
    </w:p>
    <w:p w14:paraId="4ADAFAF7" w14:textId="13D68ACD" w:rsidR="003A0A8A" w:rsidRPr="008E3E98" w:rsidRDefault="003A0A8A" w:rsidP="008E3E98">
      <w:pPr>
        <w:pStyle w:val="Heading4"/>
        <w:jc w:val="both"/>
        <w:rPr>
          <w:rFonts w:ascii="Times New Roman" w:hAnsi="Times New Roman" w:cs="Times New Roman"/>
        </w:rPr>
      </w:pPr>
    </w:p>
    <w:p w14:paraId="52AD3FAE" w14:textId="5CA301A1" w:rsidR="003A0A8A" w:rsidRPr="008E3E98" w:rsidRDefault="003A0A8A" w:rsidP="008E3E98">
      <w:pPr>
        <w:pBdr>
          <w:bottom w:val="dashed" w:sz="4" w:space="0" w:color="CCCCCC"/>
        </w:pBdr>
        <w:spacing w:before="120" w:after="120"/>
        <w:jc w:val="both"/>
        <w:rPr>
          <w:rFonts w:ascii="Times New Roman" w:hAnsi="Times New Roman" w:cs="Times New Roman"/>
          <w:i/>
          <w:iCs/>
          <w:color w:val="999999"/>
        </w:rPr>
      </w:pPr>
      <w:r w:rsidRPr="008E3E98">
        <w:rPr>
          <w:rFonts w:ascii="Times New Roman" w:hAnsi="Times New Roman" w:cs="Times New Roman"/>
          <w:i/>
          <w:iCs/>
          <w:noProof/>
          <w:color w:val="999999"/>
        </w:rPr>
        <w:lastRenderedPageBreak/>
        <w:drawing>
          <wp:inline distT="0" distB="0" distL="0" distR="0" wp14:anchorId="3D3A8B1C" wp14:editId="5B36F5CB">
            <wp:extent cx="6029325" cy="4038851"/>
            <wp:effectExtent l="0" t="0" r="0" b="0"/>
            <wp:docPr id="1290791078" name="Picture 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91078" name="Picture 1">
                      <a:hlinkClick r:id="rId44"/>
                    </pic:cNvPr>
                    <pic:cNvPicPr/>
                  </pic:nvPicPr>
                  <pic:blipFill>
                    <a:blip r:embed="rId45"/>
                    <a:stretch>
                      <a:fillRect/>
                    </a:stretch>
                  </pic:blipFill>
                  <pic:spPr>
                    <a:xfrm>
                      <a:off x="0" y="0"/>
                      <a:ext cx="6080167" cy="4072908"/>
                    </a:xfrm>
                    <a:prstGeom prst="rect">
                      <a:avLst/>
                    </a:prstGeom>
                  </pic:spPr>
                </pic:pic>
              </a:graphicData>
            </a:graphic>
          </wp:inline>
        </w:drawing>
      </w:r>
    </w:p>
    <w:p w14:paraId="719D1494" w14:textId="77777777" w:rsidR="00033446" w:rsidRPr="00767F77" w:rsidRDefault="00033446" w:rsidP="00033446">
      <w:pPr>
        <w:pStyle w:val="Heading2"/>
        <w:ind w:left="720"/>
        <w:rPr>
          <w:rFonts w:ascii="Times New Roman" w:hAnsi="Times New Roman" w:cs="Times New Roman"/>
          <w:sz w:val="24"/>
          <w:szCs w:val="24"/>
        </w:rPr>
      </w:pPr>
      <w:bookmarkStart w:id="47" w:name="_Toc228825843"/>
      <w:r w:rsidRPr="00767F77">
        <w:rPr>
          <w:rFonts w:ascii="Times New Roman" w:hAnsi="Times New Roman" w:cs="Times New Roman"/>
          <w:sz w:val="24"/>
          <w:szCs w:val="24"/>
        </w:rPr>
        <w:t>Figure 8. Medication Order Volume by Clinical Shift</w:t>
      </w:r>
      <w:bookmarkEnd w:id="47"/>
    </w:p>
    <w:p w14:paraId="3805994A" w14:textId="64524976" w:rsidR="003A0A8A" w:rsidRPr="008E3E98" w:rsidRDefault="003A0A8A" w:rsidP="008E3E98">
      <w:pPr>
        <w:pStyle w:val="Heading4"/>
        <w:jc w:val="both"/>
        <w:rPr>
          <w:rFonts w:ascii="Times New Roman" w:hAnsi="Times New Roman" w:cs="Times New Roman"/>
        </w:rPr>
      </w:pPr>
    </w:p>
    <w:p w14:paraId="1DDAEB38" w14:textId="003A4399" w:rsidR="003A0A8A" w:rsidRPr="008E3E98" w:rsidRDefault="003A0A8A" w:rsidP="008E3E98">
      <w:pPr>
        <w:pStyle w:val="Heading4"/>
        <w:jc w:val="both"/>
        <w:rPr>
          <w:rFonts w:ascii="Times New Roman" w:hAnsi="Times New Roman" w:cs="Times New Roman"/>
        </w:rPr>
      </w:pPr>
      <w:r w:rsidRPr="008E3E98">
        <w:rPr>
          <w:rFonts w:ascii="Times New Roman" w:hAnsi="Times New Roman" w:cs="Times New Roman"/>
          <w:noProof/>
        </w:rPr>
        <w:lastRenderedPageBreak/>
        <w:drawing>
          <wp:inline distT="0" distB="0" distL="0" distR="0" wp14:anchorId="563FFE5A" wp14:editId="19A6F531">
            <wp:extent cx="6222760" cy="4373217"/>
            <wp:effectExtent l="0" t="0" r="6985" b="8890"/>
            <wp:docPr id="358766042" name="Picture 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66042" name="Picture 1">
                      <a:hlinkClick r:id="rId46"/>
                    </pic:cNvPr>
                    <pic:cNvPicPr/>
                  </pic:nvPicPr>
                  <pic:blipFill>
                    <a:blip r:embed="rId47"/>
                    <a:stretch>
                      <a:fillRect/>
                    </a:stretch>
                  </pic:blipFill>
                  <pic:spPr>
                    <a:xfrm>
                      <a:off x="0" y="0"/>
                      <a:ext cx="6229557" cy="4377994"/>
                    </a:xfrm>
                    <a:prstGeom prst="rect">
                      <a:avLst/>
                    </a:prstGeom>
                  </pic:spPr>
                </pic:pic>
              </a:graphicData>
            </a:graphic>
          </wp:inline>
        </w:drawing>
      </w:r>
    </w:p>
    <w:p w14:paraId="43593B89" w14:textId="77777777" w:rsidR="00033446" w:rsidRPr="00767F77" w:rsidRDefault="00033446" w:rsidP="00033446">
      <w:pPr>
        <w:pStyle w:val="Heading2"/>
        <w:ind w:left="720"/>
        <w:rPr>
          <w:rFonts w:ascii="Times New Roman" w:hAnsi="Times New Roman" w:cs="Times New Roman"/>
          <w:sz w:val="24"/>
          <w:szCs w:val="24"/>
        </w:rPr>
      </w:pPr>
      <w:bookmarkStart w:id="48" w:name="_Toc228825844"/>
      <w:r w:rsidRPr="00767F77">
        <w:rPr>
          <w:rFonts w:ascii="Times New Roman" w:hAnsi="Times New Roman" w:cs="Times New Roman"/>
          <w:sz w:val="24"/>
          <w:szCs w:val="24"/>
        </w:rPr>
        <w:t>Figure 9. Average Medication Orders per Admission by ICU Day of Stay</w:t>
      </w:r>
      <w:bookmarkEnd w:id="48"/>
    </w:p>
    <w:p w14:paraId="3005531F" w14:textId="77777777" w:rsidR="0056406F" w:rsidRPr="008E3E98" w:rsidRDefault="0056406F" w:rsidP="008E3E98">
      <w:pPr>
        <w:pStyle w:val="Heading4"/>
        <w:jc w:val="both"/>
        <w:rPr>
          <w:rFonts w:ascii="Times New Roman" w:hAnsi="Times New Roman" w:cs="Times New Roman"/>
        </w:rPr>
      </w:pPr>
    </w:p>
    <w:p w14:paraId="33AF4CF5" w14:textId="24D8D7D4" w:rsidR="0056406F" w:rsidRPr="008E3E98" w:rsidRDefault="0056406F" w:rsidP="008E3E98">
      <w:pPr>
        <w:pStyle w:val="Heading4"/>
        <w:jc w:val="both"/>
        <w:rPr>
          <w:rFonts w:ascii="Times New Roman" w:hAnsi="Times New Roman" w:cs="Times New Roman"/>
        </w:rPr>
      </w:pPr>
      <w:r w:rsidRPr="008E3E98">
        <w:rPr>
          <w:rFonts w:ascii="Times New Roman" w:hAnsi="Times New Roman" w:cs="Times New Roman"/>
          <w:noProof/>
        </w:rPr>
        <w:lastRenderedPageBreak/>
        <w:drawing>
          <wp:inline distT="0" distB="0" distL="0" distR="0" wp14:anchorId="6503CA84" wp14:editId="5ED66B9B">
            <wp:extent cx="6301768" cy="4805096"/>
            <wp:effectExtent l="0" t="0" r="3810" b="0"/>
            <wp:docPr id="845578716" name="Picture 1">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8716" name="Picture 1">
                      <a:hlinkClick r:id="rId48"/>
                    </pic:cNvPr>
                    <pic:cNvPicPr/>
                  </pic:nvPicPr>
                  <pic:blipFill>
                    <a:blip r:embed="rId49"/>
                    <a:stretch>
                      <a:fillRect/>
                    </a:stretch>
                  </pic:blipFill>
                  <pic:spPr>
                    <a:xfrm>
                      <a:off x="0" y="0"/>
                      <a:ext cx="6306958" cy="4809053"/>
                    </a:xfrm>
                    <a:prstGeom prst="rect">
                      <a:avLst/>
                    </a:prstGeom>
                  </pic:spPr>
                </pic:pic>
              </a:graphicData>
            </a:graphic>
          </wp:inline>
        </w:drawing>
      </w:r>
    </w:p>
    <w:p w14:paraId="32E3CFDA" w14:textId="77777777" w:rsidR="00033446" w:rsidRPr="00767F77" w:rsidRDefault="00033446" w:rsidP="00033446">
      <w:pPr>
        <w:pStyle w:val="Heading2"/>
        <w:ind w:left="720"/>
        <w:rPr>
          <w:rFonts w:ascii="Times New Roman" w:hAnsi="Times New Roman" w:cs="Times New Roman"/>
          <w:sz w:val="24"/>
          <w:szCs w:val="24"/>
        </w:rPr>
      </w:pPr>
      <w:bookmarkStart w:id="49" w:name="_Toc228825845"/>
      <w:r w:rsidRPr="00767F77">
        <w:rPr>
          <w:rFonts w:ascii="Times New Roman" w:hAnsi="Times New Roman" w:cs="Times New Roman"/>
          <w:sz w:val="24"/>
          <w:szCs w:val="24"/>
        </w:rPr>
        <w:t>Figure 10. Distribution of Maximum Medication Orders in Any 60-Minute Window per ICU Admission</w:t>
      </w:r>
      <w:bookmarkEnd w:id="49"/>
    </w:p>
    <w:p w14:paraId="2193FEE9" w14:textId="77777777" w:rsidR="0056406F" w:rsidRPr="008E3E98" w:rsidRDefault="0056406F" w:rsidP="008E3E98">
      <w:pPr>
        <w:pStyle w:val="Heading4"/>
        <w:jc w:val="both"/>
        <w:rPr>
          <w:rFonts w:ascii="Times New Roman" w:hAnsi="Times New Roman" w:cs="Times New Roman"/>
        </w:rPr>
      </w:pPr>
    </w:p>
    <w:p w14:paraId="1610D3D6" w14:textId="3EECD0C0" w:rsidR="0056406F" w:rsidRDefault="0056406F" w:rsidP="008E3E98">
      <w:pPr>
        <w:pStyle w:val="Heading4"/>
        <w:jc w:val="both"/>
        <w:rPr>
          <w:rFonts w:ascii="Times New Roman" w:hAnsi="Times New Roman" w:cs="Times New Roman"/>
          <w:noProof/>
        </w:rPr>
      </w:pPr>
      <w:r w:rsidRPr="008E3E98">
        <w:rPr>
          <w:rFonts w:ascii="Times New Roman" w:hAnsi="Times New Roman" w:cs="Times New Roman"/>
          <w:noProof/>
        </w:rPr>
        <w:lastRenderedPageBreak/>
        <w:drawing>
          <wp:inline distT="0" distB="0" distL="0" distR="0" wp14:anchorId="73C4261B" wp14:editId="432A9C6C">
            <wp:extent cx="6329108" cy="3959750"/>
            <wp:effectExtent l="0" t="0" r="0" b="3175"/>
            <wp:docPr id="1656781952" name="Picture 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1952" name="Picture 1">
                      <a:hlinkClick r:id="rId50"/>
                    </pic:cNvPr>
                    <pic:cNvPicPr/>
                  </pic:nvPicPr>
                  <pic:blipFill>
                    <a:blip r:embed="rId51"/>
                    <a:stretch>
                      <a:fillRect/>
                    </a:stretch>
                  </pic:blipFill>
                  <pic:spPr>
                    <a:xfrm>
                      <a:off x="0" y="0"/>
                      <a:ext cx="6337238" cy="3964837"/>
                    </a:xfrm>
                    <a:prstGeom prst="rect">
                      <a:avLst/>
                    </a:prstGeom>
                  </pic:spPr>
                </pic:pic>
              </a:graphicData>
            </a:graphic>
          </wp:inline>
        </w:drawing>
      </w:r>
    </w:p>
    <w:p w14:paraId="0522AFD4" w14:textId="77777777" w:rsidR="00033446" w:rsidRDefault="00033446" w:rsidP="00033446">
      <w:pPr>
        <w:rPr>
          <w:rFonts w:ascii="Times New Roman" w:hAnsi="Times New Roman" w:cs="Times New Roman"/>
          <w:i/>
          <w:iCs/>
          <w:noProof/>
          <w:color w:val="2E74B5"/>
        </w:rPr>
      </w:pPr>
    </w:p>
    <w:p w14:paraId="40740635" w14:textId="77777777" w:rsidR="00033446" w:rsidRPr="00767F77" w:rsidRDefault="00033446" w:rsidP="00033446">
      <w:pPr>
        <w:pStyle w:val="Heading2"/>
        <w:ind w:left="720"/>
        <w:rPr>
          <w:rFonts w:ascii="Times New Roman" w:hAnsi="Times New Roman" w:cs="Times New Roman"/>
          <w:sz w:val="24"/>
          <w:szCs w:val="24"/>
        </w:rPr>
      </w:pPr>
      <w:bookmarkStart w:id="50" w:name="_Toc228825846"/>
      <w:r w:rsidRPr="00767F77">
        <w:rPr>
          <w:rFonts w:ascii="Times New Roman" w:hAnsi="Times New Roman" w:cs="Times New Roman"/>
          <w:sz w:val="24"/>
          <w:szCs w:val="24"/>
        </w:rPr>
        <w:t>Figure 11. ICU Admissions by 60-Minute Burst Intensity Category</w:t>
      </w:r>
      <w:bookmarkEnd w:id="50"/>
    </w:p>
    <w:p w14:paraId="478E7D91" w14:textId="77777777" w:rsidR="00033446" w:rsidRPr="00033446" w:rsidRDefault="00033446" w:rsidP="00033446"/>
    <w:sectPr w:rsidR="00033446" w:rsidRPr="00033446">
      <w:footerReference w:type="default" r:id="rId5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331CA" w14:textId="77777777" w:rsidR="006B3FFC" w:rsidRDefault="006B3FFC" w:rsidP="008E3E98">
      <w:r>
        <w:separator/>
      </w:r>
    </w:p>
  </w:endnote>
  <w:endnote w:type="continuationSeparator" w:id="0">
    <w:p w14:paraId="444CD936" w14:textId="77777777" w:rsidR="006B3FFC" w:rsidRDefault="006B3FFC" w:rsidP="008E3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710758"/>
      <w:docPartObj>
        <w:docPartGallery w:val="Page Numbers (Bottom of Page)"/>
        <w:docPartUnique/>
      </w:docPartObj>
    </w:sdtPr>
    <w:sdtEndPr>
      <w:rPr>
        <w:noProof/>
      </w:rPr>
    </w:sdtEndPr>
    <w:sdtContent>
      <w:p w14:paraId="78AF8767" w14:textId="04CA07CE" w:rsidR="008E3E98" w:rsidRDefault="008E3E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EACEA6" w14:textId="77777777" w:rsidR="008E3E98" w:rsidRDefault="008E3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80F4" w14:textId="77777777" w:rsidR="006B3FFC" w:rsidRDefault="006B3FFC" w:rsidP="008E3E98">
      <w:r>
        <w:separator/>
      </w:r>
    </w:p>
  </w:footnote>
  <w:footnote w:type="continuationSeparator" w:id="0">
    <w:p w14:paraId="2F667D80" w14:textId="77777777" w:rsidR="006B3FFC" w:rsidRDefault="006B3FFC" w:rsidP="008E3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157"/>
    <w:multiLevelType w:val="hybridMultilevel"/>
    <w:tmpl w:val="F62824C0"/>
    <w:lvl w:ilvl="0" w:tplc="1C182E6C">
      <w:start w:val="1"/>
      <w:numFmt w:val="bullet"/>
      <w:lvlText w:val="•"/>
      <w:lvlJc w:val="left"/>
      <w:pPr>
        <w:ind w:left="720" w:hanging="360"/>
      </w:pPr>
    </w:lvl>
    <w:lvl w:ilvl="1" w:tplc="33AE1C58">
      <w:numFmt w:val="decimal"/>
      <w:lvlText w:val=""/>
      <w:lvlJc w:val="left"/>
    </w:lvl>
    <w:lvl w:ilvl="2" w:tplc="DB061B4E">
      <w:numFmt w:val="decimal"/>
      <w:lvlText w:val=""/>
      <w:lvlJc w:val="left"/>
    </w:lvl>
    <w:lvl w:ilvl="3" w:tplc="EEDAE90C">
      <w:numFmt w:val="decimal"/>
      <w:lvlText w:val=""/>
      <w:lvlJc w:val="left"/>
    </w:lvl>
    <w:lvl w:ilvl="4" w:tplc="1A1C2646">
      <w:numFmt w:val="decimal"/>
      <w:lvlText w:val=""/>
      <w:lvlJc w:val="left"/>
    </w:lvl>
    <w:lvl w:ilvl="5" w:tplc="C846AB3C">
      <w:numFmt w:val="decimal"/>
      <w:lvlText w:val=""/>
      <w:lvlJc w:val="left"/>
    </w:lvl>
    <w:lvl w:ilvl="6" w:tplc="A4003820">
      <w:numFmt w:val="decimal"/>
      <w:lvlText w:val=""/>
      <w:lvlJc w:val="left"/>
    </w:lvl>
    <w:lvl w:ilvl="7" w:tplc="7CAAEC8E">
      <w:numFmt w:val="decimal"/>
      <w:lvlText w:val=""/>
      <w:lvlJc w:val="left"/>
    </w:lvl>
    <w:lvl w:ilvl="8" w:tplc="AC167D7A">
      <w:numFmt w:val="decimal"/>
      <w:lvlText w:val=""/>
      <w:lvlJc w:val="left"/>
    </w:lvl>
  </w:abstractNum>
  <w:abstractNum w:abstractNumId="1" w15:restartNumberingAfterBreak="0">
    <w:nsid w:val="0F95685E"/>
    <w:multiLevelType w:val="hybridMultilevel"/>
    <w:tmpl w:val="7A56D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60C99"/>
    <w:multiLevelType w:val="hybridMultilevel"/>
    <w:tmpl w:val="D9E4B122"/>
    <w:lvl w:ilvl="0" w:tplc="FA40FD14">
      <w:start w:val="1"/>
      <w:numFmt w:val="bullet"/>
      <w:lvlText w:val="●"/>
      <w:lvlJc w:val="left"/>
      <w:pPr>
        <w:ind w:left="720" w:hanging="360"/>
      </w:pPr>
    </w:lvl>
    <w:lvl w:ilvl="1" w:tplc="80584762">
      <w:start w:val="1"/>
      <w:numFmt w:val="bullet"/>
      <w:lvlText w:val="○"/>
      <w:lvlJc w:val="left"/>
      <w:pPr>
        <w:ind w:left="1440" w:hanging="360"/>
      </w:pPr>
    </w:lvl>
    <w:lvl w:ilvl="2" w:tplc="0E0C3FFE">
      <w:start w:val="1"/>
      <w:numFmt w:val="bullet"/>
      <w:lvlText w:val="■"/>
      <w:lvlJc w:val="left"/>
      <w:pPr>
        <w:ind w:left="2160" w:hanging="360"/>
      </w:pPr>
    </w:lvl>
    <w:lvl w:ilvl="3" w:tplc="8218488C">
      <w:start w:val="1"/>
      <w:numFmt w:val="bullet"/>
      <w:lvlText w:val="●"/>
      <w:lvlJc w:val="left"/>
      <w:pPr>
        <w:ind w:left="2880" w:hanging="360"/>
      </w:pPr>
    </w:lvl>
    <w:lvl w:ilvl="4" w:tplc="B14AF4A8">
      <w:start w:val="1"/>
      <w:numFmt w:val="bullet"/>
      <w:lvlText w:val="○"/>
      <w:lvlJc w:val="left"/>
      <w:pPr>
        <w:ind w:left="3600" w:hanging="360"/>
      </w:pPr>
    </w:lvl>
    <w:lvl w:ilvl="5" w:tplc="817E5198">
      <w:start w:val="1"/>
      <w:numFmt w:val="bullet"/>
      <w:lvlText w:val="■"/>
      <w:lvlJc w:val="left"/>
      <w:pPr>
        <w:ind w:left="4320" w:hanging="360"/>
      </w:pPr>
    </w:lvl>
    <w:lvl w:ilvl="6" w:tplc="AC8E4734">
      <w:start w:val="1"/>
      <w:numFmt w:val="bullet"/>
      <w:lvlText w:val="●"/>
      <w:lvlJc w:val="left"/>
      <w:pPr>
        <w:ind w:left="5040" w:hanging="360"/>
      </w:pPr>
    </w:lvl>
    <w:lvl w:ilvl="7" w:tplc="F2CABED0">
      <w:start w:val="1"/>
      <w:numFmt w:val="bullet"/>
      <w:lvlText w:val="●"/>
      <w:lvlJc w:val="left"/>
      <w:pPr>
        <w:ind w:left="5760" w:hanging="360"/>
      </w:pPr>
    </w:lvl>
    <w:lvl w:ilvl="8" w:tplc="E8F80240">
      <w:start w:val="1"/>
      <w:numFmt w:val="bullet"/>
      <w:lvlText w:val="●"/>
      <w:lvlJc w:val="left"/>
      <w:pPr>
        <w:ind w:left="6480" w:hanging="360"/>
      </w:pPr>
    </w:lvl>
  </w:abstractNum>
  <w:abstractNum w:abstractNumId="3" w15:restartNumberingAfterBreak="0">
    <w:nsid w:val="6C385C02"/>
    <w:multiLevelType w:val="multilevel"/>
    <w:tmpl w:val="252ED4DC"/>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82758926">
    <w:abstractNumId w:val="2"/>
    <w:lvlOverride w:ilvl="0">
      <w:startOverride w:val="1"/>
    </w:lvlOverride>
  </w:num>
  <w:num w:numId="2" w16cid:durableId="1040587530">
    <w:abstractNumId w:val="3"/>
  </w:num>
  <w:num w:numId="3" w16cid:durableId="1725715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598"/>
    <w:rsid w:val="00033446"/>
    <w:rsid w:val="00085616"/>
    <w:rsid w:val="000E6432"/>
    <w:rsid w:val="001267B5"/>
    <w:rsid w:val="00132AEC"/>
    <w:rsid w:val="00147D22"/>
    <w:rsid w:val="00173F2D"/>
    <w:rsid w:val="00190581"/>
    <w:rsid w:val="001D04C5"/>
    <w:rsid w:val="002003CB"/>
    <w:rsid w:val="0022204D"/>
    <w:rsid w:val="002348E7"/>
    <w:rsid w:val="00255A55"/>
    <w:rsid w:val="00267C50"/>
    <w:rsid w:val="00297576"/>
    <w:rsid w:val="002B7C67"/>
    <w:rsid w:val="002D1AE8"/>
    <w:rsid w:val="002D254D"/>
    <w:rsid w:val="002E259A"/>
    <w:rsid w:val="0032527B"/>
    <w:rsid w:val="00355D66"/>
    <w:rsid w:val="003869EF"/>
    <w:rsid w:val="003A0A8A"/>
    <w:rsid w:val="003A37AE"/>
    <w:rsid w:val="004041B8"/>
    <w:rsid w:val="004275E1"/>
    <w:rsid w:val="00433837"/>
    <w:rsid w:val="00446715"/>
    <w:rsid w:val="004966E9"/>
    <w:rsid w:val="004A51BE"/>
    <w:rsid w:val="004F167C"/>
    <w:rsid w:val="00521D70"/>
    <w:rsid w:val="0056406F"/>
    <w:rsid w:val="00582E0B"/>
    <w:rsid w:val="005935BD"/>
    <w:rsid w:val="00597AF9"/>
    <w:rsid w:val="005F2763"/>
    <w:rsid w:val="006B3FFC"/>
    <w:rsid w:val="006C7014"/>
    <w:rsid w:val="006D1A18"/>
    <w:rsid w:val="006D39D9"/>
    <w:rsid w:val="007505FF"/>
    <w:rsid w:val="007515DF"/>
    <w:rsid w:val="00767F77"/>
    <w:rsid w:val="007B13F5"/>
    <w:rsid w:val="007C2995"/>
    <w:rsid w:val="00803239"/>
    <w:rsid w:val="00863000"/>
    <w:rsid w:val="008647B4"/>
    <w:rsid w:val="00871F7B"/>
    <w:rsid w:val="00875E6E"/>
    <w:rsid w:val="00895DD8"/>
    <w:rsid w:val="008D0C09"/>
    <w:rsid w:val="008E3E98"/>
    <w:rsid w:val="008F71EF"/>
    <w:rsid w:val="00921A59"/>
    <w:rsid w:val="009512DD"/>
    <w:rsid w:val="0098554D"/>
    <w:rsid w:val="00986DBE"/>
    <w:rsid w:val="009A2363"/>
    <w:rsid w:val="00A34AD9"/>
    <w:rsid w:val="00A65957"/>
    <w:rsid w:val="00A91DFD"/>
    <w:rsid w:val="00AA26F3"/>
    <w:rsid w:val="00AB1D5F"/>
    <w:rsid w:val="00B07184"/>
    <w:rsid w:val="00B56889"/>
    <w:rsid w:val="00BB26C7"/>
    <w:rsid w:val="00BC127F"/>
    <w:rsid w:val="00BF5DF8"/>
    <w:rsid w:val="00C8399C"/>
    <w:rsid w:val="00CA33E2"/>
    <w:rsid w:val="00CB5636"/>
    <w:rsid w:val="00CD72CF"/>
    <w:rsid w:val="00CF6087"/>
    <w:rsid w:val="00D14598"/>
    <w:rsid w:val="00D21F79"/>
    <w:rsid w:val="00D34848"/>
    <w:rsid w:val="00D40A27"/>
    <w:rsid w:val="00D4224F"/>
    <w:rsid w:val="00D5454F"/>
    <w:rsid w:val="00D86550"/>
    <w:rsid w:val="00DB16F0"/>
    <w:rsid w:val="00DC3FB8"/>
    <w:rsid w:val="00E22B04"/>
    <w:rsid w:val="00E60DF2"/>
    <w:rsid w:val="00E634CD"/>
    <w:rsid w:val="00E74AB2"/>
    <w:rsid w:val="00E85C69"/>
    <w:rsid w:val="00EB50E8"/>
    <w:rsid w:val="00EC4389"/>
    <w:rsid w:val="00ED2E33"/>
    <w:rsid w:val="00EE3D61"/>
    <w:rsid w:val="00EF09DE"/>
    <w:rsid w:val="00EF318E"/>
    <w:rsid w:val="00EF548A"/>
    <w:rsid w:val="00F116C8"/>
    <w:rsid w:val="00F1176A"/>
    <w:rsid w:val="00F24F92"/>
    <w:rsid w:val="00F62D0C"/>
    <w:rsid w:val="00F65019"/>
    <w:rsid w:val="00FD0D74"/>
    <w:rsid w:val="00FD558E"/>
    <w:rsid w:val="00FE7FEC"/>
    <w:rsid w:val="00FF5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DC7D"/>
  <w15:docId w15:val="{6E4FF1FB-FDD9-4ECD-A207-7E73526C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4444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41B8"/>
    <w:pPr>
      <w:spacing w:after="100"/>
    </w:pPr>
  </w:style>
  <w:style w:type="paragraph" w:styleId="TOC2">
    <w:name w:val="toc 2"/>
    <w:basedOn w:val="Normal"/>
    <w:next w:val="Normal"/>
    <w:autoRedefine/>
    <w:uiPriority w:val="39"/>
    <w:unhideWhenUsed/>
    <w:rsid w:val="004041B8"/>
    <w:pPr>
      <w:spacing w:after="100"/>
      <w:ind w:left="240"/>
    </w:pPr>
  </w:style>
  <w:style w:type="table" w:styleId="TableGrid">
    <w:name w:val="Table Grid"/>
    <w:basedOn w:val="TableNormal"/>
    <w:uiPriority w:val="39"/>
    <w:rsid w:val="00085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0C09"/>
    <w:rPr>
      <w:color w:val="605E5C"/>
      <w:shd w:val="clear" w:color="auto" w:fill="E1DFDD"/>
    </w:rPr>
  </w:style>
  <w:style w:type="character" w:styleId="FollowedHyperlink">
    <w:name w:val="FollowedHyperlink"/>
    <w:basedOn w:val="DefaultParagraphFont"/>
    <w:uiPriority w:val="99"/>
    <w:semiHidden/>
    <w:unhideWhenUsed/>
    <w:rsid w:val="007C2995"/>
    <w:rPr>
      <w:color w:val="96607D" w:themeColor="followedHyperlink"/>
      <w:u w:val="single"/>
    </w:rPr>
  </w:style>
  <w:style w:type="paragraph" w:styleId="Header">
    <w:name w:val="header"/>
    <w:basedOn w:val="Normal"/>
    <w:link w:val="HeaderChar"/>
    <w:uiPriority w:val="99"/>
    <w:unhideWhenUsed/>
    <w:rsid w:val="008E3E98"/>
    <w:pPr>
      <w:tabs>
        <w:tab w:val="center" w:pos="4680"/>
        <w:tab w:val="right" w:pos="9360"/>
      </w:tabs>
    </w:pPr>
  </w:style>
  <w:style w:type="character" w:customStyle="1" w:styleId="HeaderChar">
    <w:name w:val="Header Char"/>
    <w:basedOn w:val="DefaultParagraphFont"/>
    <w:link w:val="Header"/>
    <w:uiPriority w:val="99"/>
    <w:rsid w:val="008E3E98"/>
  </w:style>
  <w:style w:type="paragraph" w:styleId="Footer">
    <w:name w:val="footer"/>
    <w:basedOn w:val="Normal"/>
    <w:link w:val="FooterChar"/>
    <w:uiPriority w:val="99"/>
    <w:unhideWhenUsed/>
    <w:rsid w:val="008E3E98"/>
    <w:pPr>
      <w:tabs>
        <w:tab w:val="center" w:pos="4680"/>
        <w:tab w:val="right" w:pos="9360"/>
      </w:tabs>
    </w:pPr>
  </w:style>
  <w:style w:type="character" w:customStyle="1" w:styleId="FooterChar">
    <w:name w:val="Footer Char"/>
    <w:basedOn w:val="DefaultParagraphFont"/>
    <w:link w:val="Footer"/>
    <w:uiPriority w:val="99"/>
    <w:rsid w:val="008E3E98"/>
  </w:style>
  <w:style w:type="paragraph" w:styleId="Caption">
    <w:name w:val="caption"/>
    <w:basedOn w:val="Normal"/>
    <w:next w:val="Normal"/>
    <w:uiPriority w:val="35"/>
    <w:unhideWhenUsed/>
    <w:qFormat/>
    <w:rsid w:val="00767F7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psnet.ahrq.gov/primer/alert-fatigue" TargetMode="External"/><Relationship Id="rId26" Type="http://schemas.openxmlformats.org/officeDocument/2006/relationships/hyperlink" Target="https://doi.org/10.1080/21642850.2021.1920416" TargetMode="External"/><Relationship Id="rId39" Type="http://schemas.openxmlformats.org/officeDocument/2006/relationships/image" Target="media/image9.jpeg"/><Relationship Id="rId21" Type="http://schemas.openxmlformats.org/officeDocument/2006/relationships/hyperlink" Target="https://doi.org/10.1186/s12874-022-01664-3" TargetMode="External"/><Relationship Id="rId34" Type="http://schemas.openxmlformats.org/officeDocument/2006/relationships/image" Target="media/image6.png"/><Relationship Id="rId42" Type="http://schemas.openxmlformats.org/officeDocument/2006/relationships/hyperlink" Target="#_Figure_7._Medication"/><Relationship Id="rId47" Type="http://schemas.openxmlformats.org/officeDocument/2006/relationships/image" Target="media/image13.png"/><Relationship Id="rId50" Type="http://schemas.openxmlformats.org/officeDocument/2006/relationships/hyperlink" Target="#_Figure_11._ICU"/><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oi.org/10.1093/jamia/ocz095" TargetMode="External"/><Relationship Id="rId11" Type="http://schemas.openxmlformats.org/officeDocument/2006/relationships/image" Target="media/image1.png"/><Relationship Id="rId24" Type="http://schemas.openxmlformats.org/officeDocument/2006/relationships/hyperlink" Target="https://doi.org/10.1136/bmjopen-2022-069416" TargetMode="External"/><Relationship Id="rId32" Type="http://schemas.openxmlformats.org/officeDocument/2006/relationships/hyperlink" Target="https://github.com/briannajackson1211-wq/alert-fatigue-mimic-iv" TargetMode="External"/><Relationship Id="rId37" Type="http://schemas.openxmlformats.org/officeDocument/2006/relationships/hyperlink" Target="#_Figure_4._Relationship"/><Relationship Id="rId40" Type="http://schemas.openxmlformats.org/officeDocument/2006/relationships/hyperlink" Target="#_Figure_6._ICU"/><Relationship Id="rId45" Type="http://schemas.openxmlformats.org/officeDocument/2006/relationships/image" Target="media/image1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oi.org/10.1016/S0140-6736(23)02465-0" TargetMode="External"/><Relationship Id="rId31" Type="http://schemas.openxmlformats.org/officeDocument/2006/relationships/hyperlink" Target="https://doi.org/10.1097/CCE.0000000000000967" TargetMode="External"/><Relationship Id="rId44" Type="http://schemas.openxmlformats.org/officeDocument/2006/relationships/hyperlink" Target="#_Figure_8._Medication"/><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1038/s41597-022-01899-x" TargetMode="External"/><Relationship Id="rId27" Type="http://schemas.openxmlformats.org/officeDocument/2006/relationships/hyperlink" Target="https://doi.org/10.1213/ANE.0000000000005398" TargetMode="External"/><Relationship Id="rId30" Type="http://schemas.openxmlformats.org/officeDocument/2006/relationships/hyperlink" Target="https://doi.org/10.1038/s41746-020-0221-y" TargetMode="External"/><Relationship Id="rId35" Type="http://schemas.openxmlformats.org/officeDocument/2006/relationships/hyperlink" Target="#_Figure_3._Daily"/><Relationship Id="rId43" Type="http://schemas.openxmlformats.org/officeDocument/2006/relationships/image" Target="media/image11.png"/><Relationship Id="rId48" Type="http://schemas.openxmlformats.org/officeDocument/2006/relationships/hyperlink" Target="#_Figure_10._Distribution"/><Relationship Id="rId8" Type="http://schemas.openxmlformats.org/officeDocument/2006/relationships/webSettings" Target="webSettings.xml"/><Relationship Id="rId51" Type="http://schemas.openxmlformats.org/officeDocument/2006/relationships/image" Target="media/image15.png"/><Relationship Id="rId3" Type="http://schemas.openxmlformats.org/officeDocument/2006/relationships/customXml" Target="../customXml/item3.xml"/><Relationship Id="rId12" Type="http://schemas.openxmlformats.org/officeDocument/2006/relationships/hyperlink" Target="#_Figure_5._Estimated"/><Relationship Id="rId17" Type="http://schemas.openxmlformats.org/officeDocument/2006/relationships/hyperlink" Target="https://doi.org/10.1186/s12911-017-0430-8" TargetMode="External"/><Relationship Id="rId25" Type="http://schemas.openxmlformats.org/officeDocument/2006/relationships/hyperlink" Target="https://doi.org/10.1080/03610918.2017.1323223" TargetMode="External"/><Relationship Id="rId33" Type="http://schemas.openxmlformats.org/officeDocument/2006/relationships/hyperlink" Target="#_Figure_2._Distribution"/><Relationship Id="rId38" Type="http://schemas.openxmlformats.org/officeDocument/2006/relationships/image" Target="media/image8.png"/><Relationship Id="rId46" Type="http://schemas.openxmlformats.org/officeDocument/2006/relationships/hyperlink" Target="#_Figure_9._Average"/><Relationship Id="rId20" Type="http://schemas.openxmlformats.org/officeDocument/2006/relationships/hyperlink" Target="https://doi.org/10.1016/S0895-4356(03)00028-3" TargetMode="External"/><Relationship Id="rId41" Type="http://schemas.openxmlformats.org/officeDocument/2006/relationships/image" Target="media/image1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www.jointcommission.org/resources/patient-safety-topics/sentinel-event/sentinel-event-alert-newsletters/sentinel-event-alert-issue-50-medical-device-alarm-safety-in-hospitals/" TargetMode="External"/><Relationship Id="rId28" Type="http://schemas.openxmlformats.org/officeDocument/2006/relationships/hyperlink" Target="https://doi.org/10.2196/18360" TargetMode="External"/><Relationship Id="rId36" Type="http://schemas.openxmlformats.org/officeDocument/2006/relationships/image" Target="media/image7.png"/><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453239c-3de8-4514-ba73-36af19a2b20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4BF5A5073066C4180292A3E87CAE463" ma:contentTypeVersion="6" ma:contentTypeDescription="Create a new document." ma:contentTypeScope="" ma:versionID="5f0901d931f0c4dd6bd6e0f4a55a4912">
  <xsd:schema xmlns:xsd="http://www.w3.org/2001/XMLSchema" xmlns:xs="http://www.w3.org/2001/XMLSchema" xmlns:p="http://schemas.microsoft.com/office/2006/metadata/properties" xmlns:ns3="7453239c-3de8-4514-ba73-36af19a2b20c" targetNamespace="http://schemas.microsoft.com/office/2006/metadata/properties" ma:root="true" ma:fieldsID="60656fc087b6db8079e2a28f40b0a609" ns3:_="">
    <xsd:import namespace="7453239c-3de8-4514-ba73-36af19a2b2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53239c-3de8-4514-ba73-36af19a2b2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54B0A4-B72E-4F4C-9B5E-F684BEE7D46C}">
  <ds:schemaRefs>
    <ds:schemaRef ds:uri="http://schemas.microsoft.com/sharepoint/v3/contenttype/forms"/>
  </ds:schemaRefs>
</ds:datastoreItem>
</file>

<file path=customXml/itemProps2.xml><?xml version="1.0" encoding="utf-8"?>
<ds:datastoreItem xmlns:ds="http://schemas.openxmlformats.org/officeDocument/2006/customXml" ds:itemID="{5DA842D9-070A-40D0-86F1-4686907E45C8}">
  <ds:schemaRefs>
    <ds:schemaRef ds:uri="http://schemas.openxmlformats.org/officeDocument/2006/bibliography"/>
  </ds:schemaRefs>
</ds:datastoreItem>
</file>

<file path=customXml/itemProps3.xml><?xml version="1.0" encoding="utf-8"?>
<ds:datastoreItem xmlns:ds="http://schemas.openxmlformats.org/officeDocument/2006/customXml" ds:itemID="{F7E156B1-A525-4E69-A2FC-0304BE2A79A2}">
  <ds:schemaRefs>
    <ds:schemaRef ds:uri="http://schemas.microsoft.com/office/2006/metadata/properties"/>
    <ds:schemaRef ds:uri="http://schemas.microsoft.com/office/infopath/2007/PartnerControls"/>
    <ds:schemaRef ds:uri="7453239c-3de8-4514-ba73-36af19a2b20c"/>
  </ds:schemaRefs>
</ds:datastoreItem>
</file>

<file path=customXml/itemProps4.xml><?xml version="1.0" encoding="utf-8"?>
<ds:datastoreItem xmlns:ds="http://schemas.openxmlformats.org/officeDocument/2006/customXml" ds:itemID="{76B9F3FB-A8E2-45E9-A025-BB253E988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53239c-3de8-4514-ba73-36af19a2b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13533</Words>
  <Characters>77144</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Brianna Jackson</cp:lastModifiedBy>
  <cp:revision>2</cp:revision>
  <dcterms:created xsi:type="dcterms:W3CDTF">2026-05-05T02:23:00Z</dcterms:created>
  <dcterms:modified xsi:type="dcterms:W3CDTF">2026-05-05T02:23:00Z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162877de-c781-4b4f-8b7d-1005e667628e</vt:lpwstr>
  </property>
  <property fmtid="{D5CDD505-2E9C-101B-9397-08002B2CF9AE}" pid="3" name="ContentTypeId">
    <vt:lpwstr>0x01010084BF5A5073066C4180292A3E87CAE463</vt:lpwstr>
  </property>
</Properties>
</file>