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C3F7" w14:textId="77777777" w:rsidR="00D14598" w:rsidRDefault="00D14598">
      <w:pPr>
        <w:spacing w:before="1440"/>
      </w:pPr>
    </w:p>
    <w:p w14:paraId="7AB5A009" w14:textId="77777777" w:rsidR="00D14598" w:rsidRDefault="00000000">
      <w:pPr>
        <w:spacing w:after="400"/>
        <w:jc w:val="center"/>
      </w:pPr>
      <w:r>
        <w:rPr>
          <w:b/>
          <w:bCs/>
          <w:color w:val="1F3864"/>
          <w:sz w:val="52"/>
          <w:szCs w:val="52"/>
        </w:rPr>
        <w:t>Evaluating Alert Fatigue in Clinical Decision Support Systems</w:t>
      </w:r>
    </w:p>
    <w:p w14:paraId="24C97A26" w14:textId="77777777" w:rsidR="00D14598" w:rsidRDefault="00D14598">
      <w:pPr>
        <w:pBdr>
          <w:bottom w:val="single" w:sz="6" w:space="1" w:color="2E75B6"/>
        </w:pBdr>
        <w:spacing w:before="200" w:after="200"/>
      </w:pPr>
    </w:p>
    <w:p w14:paraId="605FC777" w14:textId="77777777" w:rsidR="00D14598" w:rsidRDefault="00000000">
      <w:pPr>
        <w:spacing w:before="200" w:after="200"/>
        <w:jc w:val="center"/>
      </w:pPr>
      <w:r>
        <w:rPr>
          <w:i/>
          <w:iCs/>
          <w:color w:val="555555"/>
          <w:sz w:val="28"/>
          <w:szCs w:val="28"/>
        </w:rPr>
        <w:t>DAAN 784 — Final Project Report</w:t>
      </w:r>
    </w:p>
    <w:p w14:paraId="5573FAE5" w14:textId="2DB30D02" w:rsidR="00D14598" w:rsidRDefault="004041B8">
      <w:pPr>
        <w:spacing w:before="200" w:after="120"/>
        <w:jc w:val="center"/>
      </w:pPr>
      <w:r>
        <w:rPr>
          <w:color w:val="000000"/>
          <w:sz w:val="26"/>
          <w:szCs w:val="26"/>
        </w:rPr>
        <w:t xml:space="preserve">Brianna D. Jackson </w:t>
      </w:r>
    </w:p>
    <w:p w14:paraId="5D6CF4C9" w14:textId="69FAC1EF" w:rsidR="00D14598" w:rsidRDefault="004041B8">
      <w:pPr>
        <w:spacing w:after="120"/>
        <w:jc w:val="center"/>
      </w:pPr>
      <w:r>
        <w:rPr>
          <w:color w:val="555555"/>
        </w:rPr>
        <w:t xml:space="preserve">North Carolina Agricultural and Technical State University  </w:t>
      </w:r>
    </w:p>
    <w:p w14:paraId="37F7BBCE" w14:textId="593DF489" w:rsidR="00D14598" w:rsidRDefault="004041B8">
      <w:pPr>
        <w:spacing w:after="120"/>
        <w:jc w:val="center"/>
      </w:pPr>
      <w:r>
        <w:rPr>
          <w:color w:val="555555"/>
        </w:rPr>
        <w:t xml:space="preserve">Dr. </w:t>
      </w:r>
      <w:proofErr w:type="spellStart"/>
      <w:r>
        <w:rPr>
          <w:color w:val="555555"/>
        </w:rPr>
        <w:t>Seongtae</w:t>
      </w:r>
      <w:proofErr w:type="spellEnd"/>
      <w:r>
        <w:rPr>
          <w:color w:val="555555"/>
        </w:rPr>
        <w:t xml:space="preserve"> Kim</w:t>
      </w:r>
    </w:p>
    <w:p w14:paraId="35ECA02F" w14:textId="77777777" w:rsidR="00D14598" w:rsidRDefault="00000000">
      <w:pPr>
        <w:jc w:val="center"/>
      </w:pPr>
      <w:r>
        <w:rPr>
          <w:color w:val="555555"/>
        </w:rPr>
        <w:t>April 2026</w:t>
      </w:r>
    </w:p>
    <w:p w14:paraId="51C9F674" w14:textId="77777777" w:rsidR="00D14598" w:rsidRDefault="00000000">
      <w:r>
        <w:br w:type="page"/>
      </w:r>
    </w:p>
    <w:p w14:paraId="4C008FA4" w14:textId="77777777" w:rsidR="00D14598" w:rsidRDefault="00000000" w:rsidP="00E74AB2">
      <w:pPr>
        <w:pStyle w:val="Heading1"/>
      </w:pPr>
      <w:bookmarkStart w:id="0" w:name="_Toc226492984"/>
      <w:r>
        <w:lastRenderedPageBreak/>
        <w:t>Abstract</w:t>
      </w:r>
      <w:bookmarkEnd w:id="0"/>
    </w:p>
    <w:p w14:paraId="572F9D81" w14:textId="77777777" w:rsidR="00FD558E" w:rsidRDefault="00FD558E" w:rsidP="00E74AB2">
      <w:r w:rsidRPr="00FD558E">
        <w:t>Alert fatigue is a significant challenge in clinical decision support (CDS) systems, arising when clinicians become desensitized to excessive volumes of automated alerts. This desensitization can lead to frequent overrides, including dismissal of clinically important warnings, ultimately compromising patient safety. Although safety alerts are designed to improve care, their high frequency and often low clinical relevance can unexpectedly increase the risk of patient harm. With the widespread adoption of electronic health records, alert fatigue has emerged as a major unintended consequence of healthcare computerization and a recognized patient safety hazard.</w:t>
      </w:r>
    </w:p>
    <w:p w14:paraId="3CADAB35" w14:textId="77777777" w:rsidR="00FD558E" w:rsidRPr="00FD558E" w:rsidRDefault="00FD558E" w:rsidP="00E74AB2"/>
    <w:p w14:paraId="58BA451D" w14:textId="77777777" w:rsidR="00FD558E" w:rsidRDefault="00FD558E" w:rsidP="00E74AB2">
      <w:r w:rsidRPr="00FD558E">
        <w:t>This study leverages MIMIC-IV, a large publicly available intensive care unit (ICU) database, to examine patterns of CDS-triggering events, including medication orders and laboratory tests, across ICU unit types, patient demographics, and lengths of stay. Negative binomial regression was employed due to substantial overdispersion in count-based outcomes, supported by variance-to-mean ratios ranging from 119 to 1,178 and a likelihood ratio test (χ² = 8,224,010, p &lt; 0.0001). ICU unit type emerged as the strongest predictor of daily event burden. Compared to the cardiovascular ICU (CVICU) reference group, medical and surgical ICU (MICU/SICU) patients generated approximately 20% more CDS-triggering events per day (IRR = 1.20), while Neuro Intermediate patients generated approximately 81% fewer (IRR = 0.19). Temporal analyses further revealed that alert burden is not evenly distributed across the day or across units.</w:t>
      </w:r>
    </w:p>
    <w:p w14:paraId="7674A23E" w14:textId="77777777" w:rsidR="00FD558E" w:rsidRPr="00FD558E" w:rsidRDefault="00FD558E" w:rsidP="00E74AB2"/>
    <w:p w14:paraId="7CFA4EE9" w14:textId="77777777" w:rsidR="00FD558E" w:rsidRPr="00FD558E" w:rsidRDefault="00FD558E" w:rsidP="00E74AB2">
      <w:r w:rsidRPr="00FD558E">
        <w:t>These findings support the use of targeted, unit-specific alert management strategies, including shift-aware suppression protocols and burst-threshold calibration, as practical approaches to reducing clinically irrelevant alerts. Simulated suppression scenarios further suggest that targeted reductions in duplicate medication orders and redundant laboratory tests could meaningfully lower high-burden encounters. Overall, this study demonstrates that alert burden varies substantially across ICU settings and that targeted optimization strategies, rather than uniform system-wide interventions, offer a more effective path toward improving CDS performance and patient safety.</w:t>
      </w:r>
    </w:p>
    <w:p w14:paraId="313A1986" w14:textId="77777777" w:rsidR="00D14598" w:rsidRDefault="00000000" w:rsidP="00E74AB2">
      <w:r>
        <w:br w:type="page"/>
      </w:r>
    </w:p>
    <w:p w14:paraId="1CF1E8B2" w14:textId="77777777" w:rsidR="00D14598" w:rsidRDefault="00000000" w:rsidP="00E74AB2">
      <w:pPr>
        <w:pStyle w:val="Heading1"/>
      </w:pPr>
      <w:bookmarkStart w:id="1" w:name="_Toc226492985"/>
      <w:r>
        <w:lastRenderedPageBreak/>
        <w:t>Acknowledgements</w:t>
      </w:r>
      <w:bookmarkEnd w:id="1"/>
    </w:p>
    <w:p w14:paraId="0778C54A" w14:textId="77777777" w:rsidR="00D14598" w:rsidRDefault="00000000" w:rsidP="00E74AB2">
      <w:pPr>
        <w:pBdr>
          <w:bottom w:val="dashed" w:sz="4" w:space="0" w:color="CCCCCC"/>
        </w:pBdr>
        <w:spacing w:before="120" w:after="120"/>
      </w:pPr>
      <w:r>
        <w:rPr>
          <w:i/>
          <w:iCs/>
          <w:color w:val="999999"/>
        </w:rPr>
        <w:t>[Add acknowledgements — advisor, institution, data sources, collaborators]</w:t>
      </w:r>
    </w:p>
    <w:p w14:paraId="3F356C71" w14:textId="77777777" w:rsidR="00D14598" w:rsidRDefault="00000000" w:rsidP="00E74AB2">
      <w:r>
        <w:br w:type="page"/>
      </w:r>
    </w:p>
    <w:p w14:paraId="7F8E0C9B" w14:textId="77777777" w:rsidR="00D14598" w:rsidRDefault="00000000" w:rsidP="00E74AB2">
      <w:pPr>
        <w:pStyle w:val="Heading1"/>
      </w:pPr>
      <w:bookmarkStart w:id="2" w:name="_Toc226492986"/>
      <w:r>
        <w:lastRenderedPageBreak/>
        <w:t>Table of Contents</w:t>
      </w:r>
      <w:bookmarkEnd w:id="2"/>
    </w:p>
    <w:sdt>
      <w:sdtPr>
        <w:alias w:val="Table of Contents"/>
        <w:id w:val="1867939222"/>
      </w:sdtPr>
      <w:sdtContent>
        <w:p w14:paraId="0786832F" w14:textId="77777777" w:rsidR="004041B8" w:rsidRDefault="00000000" w:rsidP="00E74AB2">
          <w:pPr>
            <w:pStyle w:val="TOC1"/>
            <w:tabs>
              <w:tab w:val="right" w:leader="dot" w:pos="9350"/>
            </w:tabs>
            <w:rPr>
              <w:noProof/>
            </w:rPr>
          </w:pPr>
          <w:r>
            <w:fldChar w:fldCharType="begin"/>
          </w:r>
          <w:r>
            <w:instrText>TOC \h \o "1-3" \t "undefined,1,undefined,2,undefined,3"</w:instrText>
          </w:r>
          <w:r>
            <w:fldChar w:fldCharType="separate"/>
          </w:r>
          <w:hyperlink w:anchor="_Toc226492984" w:history="1">
            <w:r w:rsidR="004041B8" w:rsidRPr="00845975">
              <w:rPr>
                <w:rStyle w:val="Hyperlink"/>
                <w:noProof/>
              </w:rPr>
              <w:t>Abstract</w:t>
            </w:r>
            <w:r w:rsidR="004041B8">
              <w:rPr>
                <w:noProof/>
              </w:rPr>
              <w:tab/>
            </w:r>
            <w:r w:rsidR="004041B8">
              <w:rPr>
                <w:noProof/>
              </w:rPr>
              <w:fldChar w:fldCharType="begin"/>
            </w:r>
            <w:r w:rsidR="004041B8">
              <w:rPr>
                <w:noProof/>
              </w:rPr>
              <w:instrText xml:space="preserve"> PAGEREF _Toc226492984 \h </w:instrText>
            </w:r>
            <w:r w:rsidR="004041B8">
              <w:rPr>
                <w:noProof/>
              </w:rPr>
            </w:r>
            <w:r w:rsidR="004041B8">
              <w:rPr>
                <w:noProof/>
              </w:rPr>
              <w:fldChar w:fldCharType="separate"/>
            </w:r>
            <w:r w:rsidR="004041B8">
              <w:rPr>
                <w:noProof/>
              </w:rPr>
              <w:t>1</w:t>
            </w:r>
            <w:r w:rsidR="004041B8">
              <w:rPr>
                <w:noProof/>
              </w:rPr>
              <w:fldChar w:fldCharType="end"/>
            </w:r>
          </w:hyperlink>
        </w:p>
        <w:p w14:paraId="4E6352B4" w14:textId="77777777" w:rsidR="004041B8" w:rsidRDefault="004041B8" w:rsidP="00E74AB2">
          <w:pPr>
            <w:pStyle w:val="TOC1"/>
            <w:tabs>
              <w:tab w:val="right" w:leader="dot" w:pos="9350"/>
            </w:tabs>
            <w:rPr>
              <w:noProof/>
            </w:rPr>
          </w:pPr>
          <w:hyperlink w:anchor="_Toc226492985" w:history="1">
            <w:r w:rsidRPr="00845975">
              <w:rPr>
                <w:rStyle w:val="Hyperlink"/>
                <w:noProof/>
              </w:rPr>
              <w:t>Acknowledgements</w:t>
            </w:r>
            <w:r>
              <w:rPr>
                <w:noProof/>
              </w:rPr>
              <w:tab/>
            </w:r>
            <w:r>
              <w:rPr>
                <w:noProof/>
              </w:rPr>
              <w:fldChar w:fldCharType="begin"/>
            </w:r>
            <w:r>
              <w:rPr>
                <w:noProof/>
              </w:rPr>
              <w:instrText xml:space="preserve"> PAGEREF _Toc226492985 \h </w:instrText>
            </w:r>
            <w:r>
              <w:rPr>
                <w:noProof/>
              </w:rPr>
            </w:r>
            <w:r>
              <w:rPr>
                <w:noProof/>
              </w:rPr>
              <w:fldChar w:fldCharType="separate"/>
            </w:r>
            <w:r>
              <w:rPr>
                <w:noProof/>
              </w:rPr>
              <w:t>1</w:t>
            </w:r>
            <w:r>
              <w:rPr>
                <w:noProof/>
              </w:rPr>
              <w:fldChar w:fldCharType="end"/>
            </w:r>
          </w:hyperlink>
        </w:p>
        <w:p w14:paraId="536898CF" w14:textId="77777777" w:rsidR="004041B8" w:rsidRDefault="004041B8" w:rsidP="00E74AB2">
          <w:pPr>
            <w:pStyle w:val="TOC1"/>
            <w:tabs>
              <w:tab w:val="right" w:leader="dot" w:pos="9350"/>
            </w:tabs>
            <w:rPr>
              <w:noProof/>
            </w:rPr>
          </w:pPr>
          <w:hyperlink w:anchor="_Toc226492986" w:history="1">
            <w:r w:rsidRPr="00845975">
              <w:rPr>
                <w:rStyle w:val="Hyperlink"/>
                <w:noProof/>
              </w:rPr>
              <w:t>Table of Contents</w:t>
            </w:r>
            <w:r>
              <w:rPr>
                <w:noProof/>
              </w:rPr>
              <w:tab/>
            </w:r>
            <w:r>
              <w:rPr>
                <w:noProof/>
              </w:rPr>
              <w:fldChar w:fldCharType="begin"/>
            </w:r>
            <w:r>
              <w:rPr>
                <w:noProof/>
              </w:rPr>
              <w:instrText xml:space="preserve"> PAGEREF _Toc226492986 \h </w:instrText>
            </w:r>
            <w:r>
              <w:rPr>
                <w:noProof/>
              </w:rPr>
            </w:r>
            <w:r>
              <w:rPr>
                <w:noProof/>
              </w:rPr>
              <w:fldChar w:fldCharType="separate"/>
            </w:r>
            <w:r>
              <w:rPr>
                <w:noProof/>
              </w:rPr>
              <w:t>1</w:t>
            </w:r>
            <w:r>
              <w:rPr>
                <w:noProof/>
              </w:rPr>
              <w:fldChar w:fldCharType="end"/>
            </w:r>
          </w:hyperlink>
        </w:p>
        <w:p w14:paraId="6EBB19BC" w14:textId="77777777" w:rsidR="004041B8" w:rsidRDefault="004041B8" w:rsidP="00E74AB2">
          <w:pPr>
            <w:pStyle w:val="TOC1"/>
            <w:tabs>
              <w:tab w:val="right" w:leader="dot" w:pos="9350"/>
            </w:tabs>
            <w:rPr>
              <w:noProof/>
            </w:rPr>
          </w:pPr>
          <w:hyperlink w:anchor="_Toc226492987" w:history="1">
            <w:r w:rsidRPr="00845975">
              <w:rPr>
                <w:rStyle w:val="Hyperlink"/>
                <w:noProof/>
              </w:rPr>
              <w:t>1. Introduction and Background</w:t>
            </w:r>
            <w:r>
              <w:rPr>
                <w:noProof/>
              </w:rPr>
              <w:tab/>
            </w:r>
            <w:r>
              <w:rPr>
                <w:noProof/>
              </w:rPr>
              <w:fldChar w:fldCharType="begin"/>
            </w:r>
            <w:r>
              <w:rPr>
                <w:noProof/>
              </w:rPr>
              <w:instrText xml:space="preserve"> PAGEREF _Toc226492987 \h </w:instrText>
            </w:r>
            <w:r>
              <w:rPr>
                <w:noProof/>
              </w:rPr>
            </w:r>
            <w:r>
              <w:rPr>
                <w:noProof/>
              </w:rPr>
              <w:fldChar w:fldCharType="separate"/>
            </w:r>
            <w:r>
              <w:rPr>
                <w:noProof/>
              </w:rPr>
              <w:t>1</w:t>
            </w:r>
            <w:r>
              <w:rPr>
                <w:noProof/>
              </w:rPr>
              <w:fldChar w:fldCharType="end"/>
            </w:r>
          </w:hyperlink>
        </w:p>
        <w:p w14:paraId="1AD727A7" w14:textId="77777777" w:rsidR="004041B8" w:rsidRDefault="004041B8" w:rsidP="00E74AB2">
          <w:pPr>
            <w:pStyle w:val="TOC2"/>
            <w:tabs>
              <w:tab w:val="right" w:leader="dot" w:pos="9350"/>
            </w:tabs>
            <w:rPr>
              <w:noProof/>
            </w:rPr>
          </w:pPr>
          <w:hyperlink w:anchor="_Toc226492988" w:history="1">
            <w:r w:rsidRPr="00845975">
              <w:rPr>
                <w:rStyle w:val="Hyperlink"/>
                <w:noProof/>
              </w:rPr>
              <w:t>1.1 Problem Statement</w:t>
            </w:r>
            <w:r>
              <w:rPr>
                <w:noProof/>
              </w:rPr>
              <w:tab/>
            </w:r>
            <w:r>
              <w:rPr>
                <w:noProof/>
              </w:rPr>
              <w:fldChar w:fldCharType="begin"/>
            </w:r>
            <w:r>
              <w:rPr>
                <w:noProof/>
              </w:rPr>
              <w:instrText xml:space="preserve"> PAGEREF _Toc226492988 \h </w:instrText>
            </w:r>
            <w:r>
              <w:rPr>
                <w:noProof/>
              </w:rPr>
            </w:r>
            <w:r>
              <w:rPr>
                <w:noProof/>
              </w:rPr>
              <w:fldChar w:fldCharType="separate"/>
            </w:r>
            <w:r>
              <w:rPr>
                <w:noProof/>
              </w:rPr>
              <w:t>1</w:t>
            </w:r>
            <w:r>
              <w:rPr>
                <w:noProof/>
              </w:rPr>
              <w:fldChar w:fldCharType="end"/>
            </w:r>
          </w:hyperlink>
        </w:p>
        <w:p w14:paraId="4B18E9F0" w14:textId="77777777" w:rsidR="004041B8" w:rsidRDefault="004041B8" w:rsidP="00E74AB2">
          <w:pPr>
            <w:pStyle w:val="TOC2"/>
            <w:tabs>
              <w:tab w:val="right" w:leader="dot" w:pos="9350"/>
            </w:tabs>
            <w:rPr>
              <w:noProof/>
            </w:rPr>
          </w:pPr>
          <w:hyperlink w:anchor="_Toc226492989" w:history="1">
            <w:r w:rsidRPr="00845975">
              <w:rPr>
                <w:rStyle w:val="Hyperlink"/>
                <w:noProof/>
              </w:rPr>
              <w:t>1.2 Research Objectives</w:t>
            </w:r>
            <w:r>
              <w:rPr>
                <w:noProof/>
              </w:rPr>
              <w:tab/>
            </w:r>
            <w:r>
              <w:rPr>
                <w:noProof/>
              </w:rPr>
              <w:fldChar w:fldCharType="begin"/>
            </w:r>
            <w:r>
              <w:rPr>
                <w:noProof/>
              </w:rPr>
              <w:instrText xml:space="preserve"> PAGEREF _Toc226492989 \h </w:instrText>
            </w:r>
            <w:r>
              <w:rPr>
                <w:noProof/>
              </w:rPr>
            </w:r>
            <w:r>
              <w:rPr>
                <w:noProof/>
              </w:rPr>
              <w:fldChar w:fldCharType="separate"/>
            </w:r>
            <w:r>
              <w:rPr>
                <w:noProof/>
              </w:rPr>
              <w:t>1</w:t>
            </w:r>
            <w:r>
              <w:rPr>
                <w:noProof/>
              </w:rPr>
              <w:fldChar w:fldCharType="end"/>
            </w:r>
          </w:hyperlink>
        </w:p>
        <w:p w14:paraId="15D385D7" w14:textId="77777777" w:rsidR="004041B8" w:rsidRDefault="004041B8" w:rsidP="00E74AB2">
          <w:pPr>
            <w:pStyle w:val="TOC2"/>
            <w:tabs>
              <w:tab w:val="right" w:leader="dot" w:pos="9350"/>
            </w:tabs>
            <w:rPr>
              <w:noProof/>
            </w:rPr>
          </w:pPr>
          <w:hyperlink w:anchor="_Toc226492990" w:history="1">
            <w:r w:rsidRPr="00845975">
              <w:rPr>
                <w:rStyle w:val="Hyperlink"/>
                <w:noProof/>
              </w:rPr>
              <w:t>1.3 Significance of the Study</w:t>
            </w:r>
            <w:r>
              <w:rPr>
                <w:noProof/>
              </w:rPr>
              <w:tab/>
            </w:r>
            <w:r>
              <w:rPr>
                <w:noProof/>
              </w:rPr>
              <w:fldChar w:fldCharType="begin"/>
            </w:r>
            <w:r>
              <w:rPr>
                <w:noProof/>
              </w:rPr>
              <w:instrText xml:space="preserve"> PAGEREF _Toc226492990 \h </w:instrText>
            </w:r>
            <w:r>
              <w:rPr>
                <w:noProof/>
              </w:rPr>
            </w:r>
            <w:r>
              <w:rPr>
                <w:noProof/>
              </w:rPr>
              <w:fldChar w:fldCharType="separate"/>
            </w:r>
            <w:r>
              <w:rPr>
                <w:noProof/>
              </w:rPr>
              <w:t>1</w:t>
            </w:r>
            <w:r>
              <w:rPr>
                <w:noProof/>
              </w:rPr>
              <w:fldChar w:fldCharType="end"/>
            </w:r>
          </w:hyperlink>
        </w:p>
        <w:p w14:paraId="6EC240ED" w14:textId="77777777" w:rsidR="004041B8" w:rsidRDefault="004041B8" w:rsidP="00E74AB2">
          <w:pPr>
            <w:pStyle w:val="TOC1"/>
            <w:tabs>
              <w:tab w:val="right" w:leader="dot" w:pos="9350"/>
            </w:tabs>
            <w:rPr>
              <w:noProof/>
            </w:rPr>
          </w:pPr>
          <w:hyperlink w:anchor="_Toc226492991" w:history="1">
            <w:r w:rsidRPr="00845975">
              <w:rPr>
                <w:rStyle w:val="Hyperlink"/>
                <w:noProof/>
              </w:rPr>
              <w:t>2. Literature Review</w:t>
            </w:r>
            <w:r>
              <w:rPr>
                <w:noProof/>
              </w:rPr>
              <w:tab/>
            </w:r>
            <w:r>
              <w:rPr>
                <w:noProof/>
              </w:rPr>
              <w:fldChar w:fldCharType="begin"/>
            </w:r>
            <w:r>
              <w:rPr>
                <w:noProof/>
              </w:rPr>
              <w:instrText xml:space="preserve"> PAGEREF _Toc226492991 \h </w:instrText>
            </w:r>
            <w:r>
              <w:rPr>
                <w:noProof/>
              </w:rPr>
            </w:r>
            <w:r>
              <w:rPr>
                <w:noProof/>
              </w:rPr>
              <w:fldChar w:fldCharType="separate"/>
            </w:r>
            <w:r>
              <w:rPr>
                <w:noProof/>
              </w:rPr>
              <w:t>1</w:t>
            </w:r>
            <w:r>
              <w:rPr>
                <w:noProof/>
              </w:rPr>
              <w:fldChar w:fldCharType="end"/>
            </w:r>
          </w:hyperlink>
        </w:p>
        <w:p w14:paraId="2D41AA4D" w14:textId="77777777" w:rsidR="004041B8" w:rsidRDefault="004041B8" w:rsidP="00E74AB2">
          <w:pPr>
            <w:pStyle w:val="TOC2"/>
            <w:tabs>
              <w:tab w:val="right" w:leader="dot" w:pos="9350"/>
            </w:tabs>
            <w:rPr>
              <w:noProof/>
            </w:rPr>
          </w:pPr>
          <w:hyperlink w:anchor="_Toc226492992" w:history="1">
            <w:r w:rsidRPr="00845975">
              <w:rPr>
                <w:rStyle w:val="Hyperlink"/>
                <w:noProof/>
              </w:rPr>
              <w:t>2.1 Alert Fatigue in Clinical Settings</w:t>
            </w:r>
            <w:r>
              <w:rPr>
                <w:noProof/>
              </w:rPr>
              <w:tab/>
            </w:r>
            <w:r>
              <w:rPr>
                <w:noProof/>
              </w:rPr>
              <w:fldChar w:fldCharType="begin"/>
            </w:r>
            <w:r>
              <w:rPr>
                <w:noProof/>
              </w:rPr>
              <w:instrText xml:space="preserve"> PAGEREF _Toc226492992 \h </w:instrText>
            </w:r>
            <w:r>
              <w:rPr>
                <w:noProof/>
              </w:rPr>
            </w:r>
            <w:r>
              <w:rPr>
                <w:noProof/>
              </w:rPr>
              <w:fldChar w:fldCharType="separate"/>
            </w:r>
            <w:r>
              <w:rPr>
                <w:noProof/>
              </w:rPr>
              <w:t>1</w:t>
            </w:r>
            <w:r>
              <w:rPr>
                <w:noProof/>
              </w:rPr>
              <w:fldChar w:fldCharType="end"/>
            </w:r>
          </w:hyperlink>
        </w:p>
        <w:p w14:paraId="4B2F1C85" w14:textId="77777777" w:rsidR="004041B8" w:rsidRDefault="004041B8" w:rsidP="00E74AB2">
          <w:pPr>
            <w:pStyle w:val="TOC2"/>
            <w:tabs>
              <w:tab w:val="right" w:leader="dot" w:pos="9350"/>
            </w:tabs>
            <w:rPr>
              <w:noProof/>
            </w:rPr>
          </w:pPr>
          <w:hyperlink w:anchor="_Toc226492993" w:history="1">
            <w:r w:rsidRPr="00845975">
              <w:rPr>
                <w:rStyle w:val="Hyperlink"/>
                <w:noProof/>
              </w:rPr>
              <w:t>2.2 Clinical Decision Support Systems in the ICU</w:t>
            </w:r>
            <w:r>
              <w:rPr>
                <w:noProof/>
              </w:rPr>
              <w:tab/>
            </w:r>
            <w:r>
              <w:rPr>
                <w:noProof/>
              </w:rPr>
              <w:fldChar w:fldCharType="begin"/>
            </w:r>
            <w:r>
              <w:rPr>
                <w:noProof/>
              </w:rPr>
              <w:instrText xml:space="preserve"> PAGEREF _Toc226492993 \h </w:instrText>
            </w:r>
            <w:r>
              <w:rPr>
                <w:noProof/>
              </w:rPr>
            </w:r>
            <w:r>
              <w:rPr>
                <w:noProof/>
              </w:rPr>
              <w:fldChar w:fldCharType="separate"/>
            </w:r>
            <w:r>
              <w:rPr>
                <w:noProof/>
              </w:rPr>
              <w:t>1</w:t>
            </w:r>
            <w:r>
              <w:rPr>
                <w:noProof/>
              </w:rPr>
              <w:fldChar w:fldCharType="end"/>
            </w:r>
          </w:hyperlink>
        </w:p>
        <w:p w14:paraId="6965FE45" w14:textId="77777777" w:rsidR="004041B8" w:rsidRDefault="004041B8" w:rsidP="00E74AB2">
          <w:pPr>
            <w:pStyle w:val="TOC2"/>
            <w:tabs>
              <w:tab w:val="right" w:leader="dot" w:pos="9350"/>
            </w:tabs>
            <w:rPr>
              <w:noProof/>
            </w:rPr>
          </w:pPr>
          <w:hyperlink w:anchor="_Toc226492994" w:history="1">
            <w:r w:rsidRPr="00845975">
              <w:rPr>
                <w:rStyle w:val="Hyperlink"/>
                <w:noProof/>
              </w:rPr>
              <w:t>2.3 Statistical Approaches to Clinical Event Modeling</w:t>
            </w:r>
            <w:r>
              <w:rPr>
                <w:noProof/>
              </w:rPr>
              <w:tab/>
            </w:r>
            <w:r>
              <w:rPr>
                <w:noProof/>
              </w:rPr>
              <w:fldChar w:fldCharType="begin"/>
            </w:r>
            <w:r>
              <w:rPr>
                <w:noProof/>
              </w:rPr>
              <w:instrText xml:space="preserve"> PAGEREF _Toc226492994 \h </w:instrText>
            </w:r>
            <w:r>
              <w:rPr>
                <w:noProof/>
              </w:rPr>
            </w:r>
            <w:r>
              <w:rPr>
                <w:noProof/>
              </w:rPr>
              <w:fldChar w:fldCharType="separate"/>
            </w:r>
            <w:r>
              <w:rPr>
                <w:noProof/>
              </w:rPr>
              <w:t>1</w:t>
            </w:r>
            <w:r>
              <w:rPr>
                <w:noProof/>
              </w:rPr>
              <w:fldChar w:fldCharType="end"/>
            </w:r>
          </w:hyperlink>
        </w:p>
        <w:p w14:paraId="08D882BF" w14:textId="77777777" w:rsidR="004041B8" w:rsidRDefault="004041B8" w:rsidP="00E74AB2">
          <w:pPr>
            <w:pStyle w:val="TOC2"/>
            <w:tabs>
              <w:tab w:val="right" w:leader="dot" w:pos="9350"/>
            </w:tabs>
            <w:rPr>
              <w:noProof/>
            </w:rPr>
          </w:pPr>
          <w:hyperlink w:anchor="_Toc226492995" w:history="1">
            <w:r w:rsidRPr="00845975">
              <w:rPr>
                <w:rStyle w:val="Hyperlink"/>
                <w:noProof/>
              </w:rPr>
              <w:t>2.4 Gaps in Existing Research</w:t>
            </w:r>
            <w:r>
              <w:rPr>
                <w:noProof/>
              </w:rPr>
              <w:tab/>
            </w:r>
            <w:r>
              <w:rPr>
                <w:noProof/>
              </w:rPr>
              <w:fldChar w:fldCharType="begin"/>
            </w:r>
            <w:r>
              <w:rPr>
                <w:noProof/>
              </w:rPr>
              <w:instrText xml:space="preserve"> PAGEREF _Toc226492995 \h </w:instrText>
            </w:r>
            <w:r>
              <w:rPr>
                <w:noProof/>
              </w:rPr>
            </w:r>
            <w:r>
              <w:rPr>
                <w:noProof/>
              </w:rPr>
              <w:fldChar w:fldCharType="separate"/>
            </w:r>
            <w:r>
              <w:rPr>
                <w:noProof/>
              </w:rPr>
              <w:t>1</w:t>
            </w:r>
            <w:r>
              <w:rPr>
                <w:noProof/>
              </w:rPr>
              <w:fldChar w:fldCharType="end"/>
            </w:r>
          </w:hyperlink>
        </w:p>
        <w:p w14:paraId="751C9F84" w14:textId="77777777" w:rsidR="004041B8" w:rsidRDefault="004041B8" w:rsidP="00E74AB2">
          <w:pPr>
            <w:pStyle w:val="TOC1"/>
            <w:tabs>
              <w:tab w:val="right" w:leader="dot" w:pos="9350"/>
            </w:tabs>
            <w:rPr>
              <w:noProof/>
            </w:rPr>
          </w:pPr>
          <w:hyperlink w:anchor="_Toc226492996" w:history="1">
            <w:r w:rsidRPr="00845975">
              <w:rPr>
                <w:rStyle w:val="Hyperlink"/>
                <w:noProof/>
              </w:rPr>
              <w:t>3. Methodology and Analytical Process</w:t>
            </w:r>
            <w:r>
              <w:rPr>
                <w:noProof/>
              </w:rPr>
              <w:tab/>
            </w:r>
            <w:r>
              <w:rPr>
                <w:noProof/>
              </w:rPr>
              <w:fldChar w:fldCharType="begin"/>
            </w:r>
            <w:r>
              <w:rPr>
                <w:noProof/>
              </w:rPr>
              <w:instrText xml:space="preserve"> PAGEREF _Toc226492996 \h </w:instrText>
            </w:r>
            <w:r>
              <w:rPr>
                <w:noProof/>
              </w:rPr>
            </w:r>
            <w:r>
              <w:rPr>
                <w:noProof/>
              </w:rPr>
              <w:fldChar w:fldCharType="separate"/>
            </w:r>
            <w:r>
              <w:rPr>
                <w:noProof/>
              </w:rPr>
              <w:t>1</w:t>
            </w:r>
            <w:r>
              <w:rPr>
                <w:noProof/>
              </w:rPr>
              <w:fldChar w:fldCharType="end"/>
            </w:r>
          </w:hyperlink>
        </w:p>
        <w:p w14:paraId="66208BC1" w14:textId="77777777" w:rsidR="004041B8" w:rsidRDefault="004041B8" w:rsidP="00E74AB2">
          <w:pPr>
            <w:pStyle w:val="TOC2"/>
            <w:tabs>
              <w:tab w:val="right" w:leader="dot" w:pos="9350"/>
            </w:tabs>
            <w:rPr>
              <w:noProof/>
            </w:rPr>
          </w:pPr>
          <w:hyperlink w:anchor="_Toc226492997" w:history="1">
            <w:r w:rsidRPr="00845975">
              <w:rPr>
                <w:rStyle w:val="Hyperlink"/>
                <w:noProof/>
              </w:rPr>
              <w:t>3.1 Data Source</w:t>
            </w:r>
            <w:r>
              <w:rPr>
                <w:noProof/>
              </w:rPr>
              <w:tab/>
            </w:r>
            <w:r>
              <w:rPr>
                <w:noProof/>
              </w:rPr>
              <w:fldChar w:fldCharType="begin"/>
            </w:r>
            <w:r>
              <w:rPr>
                <w:noProof/>
              </w:rPr>
              <w:instrText xml:space="preserve"> PAGEREF _Toc226492997 \h </w:instrText>
            </w:r>
            <w:r>
              <w:rPr>
                <w:noProof/>
              </w:rPr>
            </w:r>
            <w:r>
              <w:rPr>
                <w:noProof/>
              </w:rPr>
              <w:fldChar w:fldCharType="separate"/>
            </w:r>
            <w:r>
              <w:rPr>
                <w:noProof/>
              </w:rPr>
              <w:t>1</w:t>
            </w:r>
            <w:r>
              <w:rPr>
                <w:noProof/>
              </w:rPr>
              <w:fldChar w:fldCharType="end"/>
            </w:r>
          </w:hyperlink>
        </w:p>
        <w:p w14:paraId="099E4E3F" w14:textId="77777777" w:rsidR="004041B8" w:rsidRDefault="004041B8" w:rsidP="00E74AB2">
          <w:pPr>
            <w:pStyle w:val="TOC2"/>
            <w:tabs>
              <w:tab w:val="right" w:leader="dot" w:pos="9350"/>
            </w:tabs>
            <w:rPr>
              <w:noProof/>
            </w:rPr>
          </w:pPr>
          <w:hyperlink w:anchor="_Toc226492998" w:history="1">
            <w:r w:rsidRPr="00845975">
              <w:rPr>
                <w:rStyle w:val="Hyperlink"/>
                <w:noProof/>
              </w:rPr>
              <w:t>3.2 Data Processing Pipeline</w:t>
            </w:r>
            <w:r>
              <w:rPr>
                <w:noProof/>
              </w:rPr>
              <w:tab/>
            </w:r>
            <w:r>
              <w:rPr>
                <w:noProof/>
              </w:rPr>
              <w:fldChar w:fldCharType="begin"/>
            </w:r>
            <w:r>
              <w:rPr>
                <w:noProof/>
              </w:rPr>
              <w:instrText xml:space="preserve"> PAGEREF _Toc226492998 \h </w:instrText>
            </w:r>
            <w:r>
              <w:rPr>
                <w:noProof/>
              </w:rPr>
            </w:r>
            <w:r>
              <w:rPr>
                <w:noProof/>
              </w:rPr>
              <w:fldChar w:fldCharType="separate"/>
            </w:r>
            <w:r>
              <w:rPr>
                <w:noProof/>
              </w:rPr>
              <w:t>1</w:t>
            </w:r>
            <w:r>
              <w:rPr>
                <w:noProof/>
              </w:rPr>
              <w:fldChar w:fldCharType="end"/>
            </w:r>
          </w:hyperlink>
        </w:p>
        <w:p w14:paraId="192C8647" w14:textId="77777777" w:rsidR="004041B8" w:rsidRDefault="004041B8" w:rsidP="00E74AB2">
          <w:pPr>
            <w:pStyle w:val="TOC2"/>
            <w:tabs>
              <w:tab w:val="right" w:leader="dot" w:pos="9350"/>
            </w:tabs>
            <w:rPr>
              <w:noProof/>
            </w:rPr>
          </w:pPr>
          <w:hyperlink w:anchor="_Toc226492999" w:history="1">
            <w:r w:rsidRPr="00845975">
              <w:rPr>
                <w:rStyle w:val="Hyperlink"/>
                <w:noProof/>
              </w:rPr>
              <w:t>3.3 Variables</w:t>
            </w:r>
            <w:r>
              <w:rPr>
                <w:noProof/>
              </w:rPr>
              <w:tab/>
            </w:r>
            <w:r>
              <w:rPr>
                <w:noProof/>
              </w:rPr>
              <w:fldChar w:fldCharType="begin"/>
            </w:r>
            <w:r>
              <w:rPr>
                <w:noProof/>
              </w:rPr>
              <w:instrText xml:space="preserve"> PAGEREF _Toc226492999 \h </w:instrText>
            </w:r>
            <w:r>
              <w:rPr>
                <w:noProof/>
              </w:rPr>
            </w:r>
            <w:r>
              <w:rPr>
                <w:noProof/>
              </w:rPr>
              <w:fldChar w:fldCharType="separate"/>
            </w:r>
            <w:r>
              <w:rPr>
                <w:noProof/>
              </w:rPr>
              <w:t>1</w:t>
            </w:r>
            <w:r>
              <w:rPr>
                <w:noProof/>
              </w:rPr>
              <w:fldChar w:fldCharType="end"/>
            </w:r>
          </w:hyperlink>
        </w:p>
        <w:p w14:paraId="5C281EE5" w14:textId="77777777" w:rsidR="004041B8" w:rsidRDefault="004041B8" w:rsidP="00E74AB2">
          <w:pPr>
            <w:pStyle w:val="TOC2"/>
            <w:tabs>
              <w:tab w:val="right" w:leader="dot" w:pos="9350"/>
            </w:tabs>
            <w:rPr>
              <w:noProof/>
            </w:rPr>
          </w:pPr>
          <w:hyperlink w:anchor="_Toc226493000" w:history="1">
            <w:r w:rsidRPr="00845975">
              <w:rPr>
                <w:rStyle w:val="Hyperlink"/>
                <w:noProof/>
              </w:rPr>
              <w:t>3.4 Statistical Approach</w:t>
            </w:r>
            <w:r>
              <w:rPr>
                <w:noProof/>
              </w:rPr>
              <w:tab/>
            </w:r>
            <w:r>
              <w:rPr>
                <w:noProof/>
              </w:rPr>
              <w:fldChar w:fldCharType="begin"/>
            </w:r>
            <w:r>
              <w:rPr>
                <w:noProof/>
              </w:rPr>
              <w:instrText xml:space="preserve"> PAGEREF _Toc226493000 \h </w:instrText>
            </w:r>
            <w:r>
              <w:rPr>
                <w:noProof/>
              </w:rPr>
            </w:r>
            <w:r>
              <w:rPr>
                <w:noProof/>
              </w:rPr>
              <w:fldChar w:fldCharType="separate"/>
            </w:r>
            <w:r>
              <w:rPr>
                <w:noProof/>
              </w:rPr>
              <w:t>1</w:t>
            </w:r>
            <w:r>
              <w:rPr>
                <w:noProof/>
              </w:rPr>
              <w:fldChar w:fldCharType="end"/>
            </w:r>
          </w:hyperlink>
        </w:p>
        <w:p w14:paraId="0A360D83" w14:textId="77777777" w:rsidR="004041B8" w:rsidRDefault="004041B8" w:rsidP="00E74AB2">
          <w:pPr>
            <w:pStyle w:val="TOC1"/>
            <w:tabs>
              <w:tab w:val="right" w:leader="dot" w:pos="9350"/>
            </w:tabs>
            <w:rPr>
              <w:noProof/>
            </w:rPr>
          </w:pPr>
          <w:hyperlink w:anchor="_Toc226493001" w:history="1">
            <w:r w:rsidRPr="00845975">
              <w:rPr>
                <w:rStyle w:val="Hyperlink"/>
                <w:noProof/>
              </w:rPr>
              <w:t>4. Results and Discussion</w:t>
            </w:r>
            <w:r>
              <w:rPr>
                <w:noProof/>
              </w:rPr>
              <w:tab/>
            </w:r>
            <w:r>
              <w:rPr>
                <w:noProof/>
              </w:rPr>
              <w:fldChar w:fldCharType="begin"/>
            </w:r>
            <w:r>
              <w:rPr>
                <w:noProof/>
              </w:rPr>
              <w:instrText xml:space="preserve"> PAGEREF _Toc226493001 \h </w:instrText>
            </w:r>
            <w:r>
              <w:rPr>
                <w:noProof/>
              </w:rPr>
            </w:r>
            <w:r>
              <w:rPr>
                <w:noProof/>
              </w:rPr>
              <w:fldChar w:fldCharType="separate"/>
            </w:r>
            <w:r>
              <w:rPr>
                <w:noProof/>
              </w:rPr>
              <w:t>1</w:t>
            </w:r>
            <w:r>
              <w:rPr>
                <w:noProof/>
              </w:rPr>
              <w:fldChar w:fldCharType="end"/>
            </w:r>
          </w:hyperlink>
        </w:p>
        <w:p w14:paraId="56B117A8" w14:textId="77777777" w:rsidR="004041B8" w:rsidRDefault="004041B8" w:rsidP="00E74AB2">
          <w:pPr>
            <w:pStyle w:val="TOC2"/>
            <w:tabs>
              <w:tab w:val="right" w:leader="dot" w:pos="9350"/>
            </w:tabs>
            <w:rPr>
              <w:noProof/>
            </w:rPr>
          </w:pPr>
          <w:hyperlink w:anchor="_Toc226493002" w:history="1">
            <w:r w:rsidRPr="00845975">
              <w:rPr>
                <w:rStyle w:val="Hyperlink"/>
                <w:noProof/>
              </w:rPr>
              <w:t>4.1 Descriptive Statistics</w:t>
            </w:r>
            <w:r>
              <w:rPr>
                <w:noProof/>
              </w:rPr>
              <w:tab/>
            </w:r>
            <w:r>
              <w:rPr>
                <w:noProof/>
              </w:rPr>
              <w:fldChar w:fldCharType="begin"/>
            </w:r>
            <w:r>
              <w:rPr>
                <w:noProof/>
              </w:rPr>
              <w:instrText xml:space="preserve"> PAGEREF _Toc226493002 \h </w:instrText>
            </w:r>
            <w:r>
              <w:rPr>
                <w:noProof/>
              </w:rPr>
            </w:r>
            <w:r>
              <w:rPr>
                <w:noProof/>
              </w:rPr>
              <w:fldChar w:fldCharType="separate"/>
            </w:r>
            <w:r>
              <w:rPr>
                <w:noProof/>
              </w:rPr>
              <w:t>1</w:t>
            </w:r>
            <w:r>
              <w:rPr>
                <w:noProof/>
              </w:rPr>
              <w:fldChar w:fldCharType="end"/>
            </w:r>
          </w:hyperlink>
        </w:p>
        <w:p w14:paraId="62E5634B" w14:textId="77777777" w:rsidR="004041B8" w:rsidRDefault="004041B8" w:rsidP="00E74AB2">
          <w:pPr>
            <w:pStyle w:val="TOC2"/>
            <w:tabs>
              <w:tab w:val="right" w:leader="dot" w:pos="9350"/>
            </w:tabs>
            <w:rPr>
              <w:noProof/>
            </w:rPr>
          </w:pPr>
          <w:hyperlink w:anchor="_Toc226493003" w:history="1">
            <w:r w:rsidRPr="00845975">
              <w:rPr>
                <w:rStyle w:val="Hyperlink"/>
                <w:noProof/>
              </w:rPr>
              <w:t>4.2 Model Results — Medication Orders (rx_per_day)</w:t>
            </w:r>
            <w:r>
              <w:rPr>
                <w:noProof/>
              </w:rPr>
              <w:tab/>
            </w:r>
            <w:r>
              <w:rPr>
                <w:noProof/>
              </w:rPr>
              <w:fldChar w:fldCharType="begin"/>
            </w:r>
            <w:r>
              <w:rPr>
                <w:noProof/>
              </w:rPr>
              <w:instrText xml:space="preserve"> PAGEREF _Toc226493003 \h </w:instrText>
            </w:r>
            <w:r>
              <w:rPr>
                <w:noProof/>
              </w:rPr>
            </w:r>
            <w:r>
              <w:rPr>
                <w:noProof/>
              </w:rPr>
              <w:fldChar w:fldCharType="separate"/>
            </w:r>
            <w:r>
              <w:rPr>
                <w:noProof/>
              </w:rPr>
              <w:t>1</w:t>
            </w:r>
            <w:r>
              <w:rPr>
                <w:noProof/>
              </w:rPr>
              <w:fldChar w:fldCharType="end"/>
            </w:r>
          </w:hyperlink>
        </w:p>
        <w:p w14:paraId="151F173B" w14:textId="77777777" w:rsidR="004041B8" w:rsidRDefault="004041B8" w:rsidP="00E74AB2">
          <w:pPr>
            <w:pStyle w:val="TOC2"/>
            <w:tabs>
              <w:tab w:val="right" w:leader="dot" w:pos="9350"/>
            </w:tabs>
            <w:rPr>
              <w:noProof/>
            </w:rPr>
          </w:pPr>
          <w:hyperlink w:anchor="_Toc226493004" w:history="1">
            <w:r w:rsidRPr="00845975">
              <w:rPr>
                <w:rStyle w:val="Hyperlink"/>
                <w:noProof/>
              </w:rPr>
              <w:t>4.3 Model Results — Laboratory Events (labs_per_day)</w:t>
            </w:r>
            <w:r>
              <w:rPr>
                <w:noProof/>
              </w:rPr>
              <w:tab/>
            </w:r>
            <w:r>
              <w:rPr>
                <w:noProof/>
              </w:rPr>
              <w:fldChar w:fldCharType="begin"/>
            </w:r>
            <w:r>
              <w:rPr>
                <w:noProof/>
              </w:rPr>
              <w:instrText xml:space="preserve"> PAGEREF _Toc226493004 \h </w:instrText>
            </w:r>
            <w:r>
              <w:rPr>
                <w:noProof/>
              </w:rPr>
            </w:r>
            <w:r>
              <w:rPr>
                <w:noProof/>
              </w:rPr>
              <w:fldChar w:fldCharType="separate"/>
            </w:r>
            <w:r>
              <w:rPr>
                <w:noProof/>
              </w:rPr>
              <w:t>1</w:t>
            </w:r>
            <w:r>
              <w:rPr>
                <w:noProof/>
              </w:rPr>
              <w:fldChar w:fldCharType="end"/>
            </w:r>
          </w:hyperlink>
        </w:p>
        <w:p w14:paraId="64CAE3E2" w14:textId="77777777" w:rsidR="004041B8" w:rsidRDefault="004041B8" w:rsidP="00E74AB2">
          <w:pPr>
            <w:pStyle w:val="TOC2"/>
            <w:tabs>
              <w:tab w:val="right" w:leader="dot" w:pos="9350"/>
            </w:tabs>
            <w:rPr>
              <w:noProof/>
            </w:rPr>
          </w:pPr>
          <w:hyperlink w:anchor="_Toc226493005" w:history="1">
            <w:r w:rsidRPr="00845975">
              <w:rPr>
                <w:rStyle w:val="Hyperlink"/>
                <w:noProof/>
              </w:rPr>
              <w:t>4.4 Model Results — Total CDS Events (total_events_per_day)</w:t>
            </w:r>
            <w:r>
              <w:rPr>
                <w:noProof/>
              </w:rPr>
              <w:tab/>
            </w:r>
            <w:r>
              <w:rPr>
                <w:noProof/>
              </w:rPr>
              <w:fldChar w:fldCharType="begin"/>
            </w:r>
            <w:r>
              <w:rPr>
                <w:noProof/>
              </w:rPr>
              <w:instrText xml:space="preserve"> PAGEREF _Toc226493005 \h </w:instrText>
            </w:r>
            <w:r>
              <w:rPr>
                <w:noProof/>
              </w:rPr>
            </w:r>
            <w:r>
              <w:rPr>
                <w:noProof/>
              </w:rPr>
              <w:fldChar w:fldCharType="separate"/>
            </w:r>
            <w:r>
              <w:rPr>
                <w:noProof/>
              </w:rPr>
              <w:t>1</w:t>
            </w:r>
            <w:r>
              <w:rPr>
                <w:noProof/>
              </w:rPr>
              <w:fldChar w:fldCharType="end"/>
            </w:r>
          </w:hyperlink>
        </w:p>
        <w:p w14:paraId="569550CF" w14:textId="77777777" w:rsidR="004041B8" w:rsidRDefault="004041B8" w:rsidP="00E74AB2">
          <w:pPr>
            <w:pStyle w:val="TOC2"/>
            <w:tabs>
              <w:tab w:val="right" w:leader="dot" w:pos="9350"/>
            </w:tabs>
            <w:rPr>
              <w:noProof/>
            </w:rPr>
          </w:pPr>
          <w:hyperlink w:anchor="_Toc226493006" w:history="1">
            <w:r w:rsidRPr="00845975">
              <w:rPr>
                <w:rStyle w:val="Hyperlink"/>
                <w:noProof/>
              </w:rPr>
              <w:t>4.5 Discussion</w:t>
            </w:r>
            <w:r>
              <w:rPr>
                <w:noProof/>
              </w:rPr>
              <w:tab/>
            </w:r>
            <w:r>
              <w:rPr>
                <w:noProof/>
              </w:rPr>
              <w:fldChar w:fldCharType="begin"/>
            </w:r>
            <w:r>
              <w:rPr>
                <w:noProof/>
              </w:rPr>
              <w:instrText xml:space="preserve"> PAGEREF _Toc226493006 \h </w:instrText>
            </w:r>
            <w:r>
              <w:rPr>
                <w:noProof/>
              </w:rPr>
            </w:r>
            <w:r>
              <w:rPr>
                <w:noProof/>
              </w:rPr>
              <w:fldChar w:fldCharType="separate"/>
            </w:r>
            <w:r>
              <w:rPr>
                <w:noProof/>
              </w:rPr>
              <w:t>1</w:t>
            </w:r>
            <w:r>
              <w:rPr>
                <w:noProof/>
              </w:rPr>
              <w:fldChar w:fldCharType="end"/>
            </w:r>
          </w:hyperlink>
        </w:p>
        <w:p w14:paraId="3949EAC5" w14:textId="77777777" w:rsidR="004041B8" w:rsidRDefault="004041B8" w:rsidP="00E74AB2">
          <w:pPr>
            <w:pStyle w:val="TOC1"/>
            <w:tabs>
              <w:tab w:val="right" w:leader="dot" w:pos="9350"/>
            </w:tabs>
            <w:rPr>
              <w:noProof/>
            </w:rPr>
          </w:pPr>
          <w:hyperlink w:anchor="_Toc226493007" w:history="1">
            <w:r w:rsidRPr="00845975">
              <w:rPr>
                <w:rStyle w:val="Hyperlink"/>
                <w:noProof/>
              </w:rPr>
              <w:t>5. Conclusions</w:t>
            </w:r>
            <w:r>
              <w:rPr>
                <w:noProof/>
              </w:rPr>
              <w:tab/>
            </w:r>
            <w:r>
              <w:rPr>
                <w:noProof/>
              </w:rPr>
              <w:fldChar w:fldCharType="begin"/>
            </w:r>
            <w:r>
              <w:rPr>
                <w:noProof/>
              </w:rPr>
              <w:instrText xml:space="preserve"> PAGEREF _Toc226493007 \h </w:instrText>
            </w:r>
            <w:r>
              <w:rPr>
                <w:noProof/>
              </w:rPr>
            </w:r>
            <w:r>
              <w:rPr>
                <w:noProof/>
              </w:rPr>
              <w:fldChar w:fldCharType="separate"/>
            </w:r>
            <w:r>
              <w:rPr>
                <w:noProof/>
              </w:rPr>
              <w:t>1</w:t>
            </w:r>
            <w:r>
              <w:rPr>
                <w:noProof/>
              </w:rPr>
              <w:fldChar w:fldCharType="end"/>
            </w:r>
          </w:hyperlink>
        </w:p>
        <w:p w14:paraId="63C04BAD" w14:textId="77777777" w:rsidR="004041B8" w:rsidRDefault="004041B8" w:rsidP="00E74AB2">
          <w:pPr>
            <w:pStyle w:val="TOC1"/>
            <w:tabs>
              <w:tab w:val="right" w:leader="dot" w:pos="9350"/>
            </w:tabs>
            <w:rPr>
              <w:noProof/>
            </w:rPr>
          </w:pPr>
          <w:hyperlink w:anchor="_Toc226493008" w:history="1">
            <w:r w:rsidRPr="00845975">
              <w:rPr>
                <w:rStyle w:val="Hyperlink"/>
                <w:noProof/>
              </w:rPr>
              <w:t>6. Recommendations and Future Work</w:t>
            </w:r>
            <w:r>
              <w:rPr>
                <w:noProof/>
              </w:rPr>
              <w:tab/>
            </w:r>
            <w:r>
              <w:rPr>
                <w:noProof/>
              </w:rPr>
              <w:fldChar w:fldCharType="begin"/>
            </w:r>
            <w:r>
              <w:rPr>
                <w:noProof/>
              </w:rPr>
              <w:instrText xml:space="preserve"> PAGEREF _Toc226493008 \h </w:instrText>
            </w:r>
            <w:r>
              <w:rPr>
                <w:noProof/>
              </w:rPr>
            </w:r>
            <w:r>
              <w:rPr>
                <w:noProof/>
              </w:rPr>
              <w:fldChar w:fldCharType="separate"/>
            </w:r>
            <w:r>
              <w:rPr>
                <w:noProof/>
              </w:rPr>
              <w:t>1</w:t>
            </w:r>
            <w:r>
              <w:rPr>
                <w:noProof/>
              </w:rPr>
              <w:fldChar w:fldCharType="end"/>
            </w:r>
          </w:hyperlink>
        </w:p>
        <w:p w14:paraId="632409F5" w14:textId="77777777" w:rsidR="004041B8" w:rsidRDefault="004041B8" w:rsidP="00E74AB2">
          <w:pPr>
            <w:pStyle w:val="TOC2"/>
            <w:tabs>
              <w:tab w:val="right" w:leader="dot" w:pos="9350"/>
            </w:tabs>
            <w:rPr>
              <w:noProof/>
            </w:rPr>
          </w:pPr>
          <w:hyperlink w:anchor="_Toc226493009" w:history="1">
            <w:r w:rsidRPr="00845975">
              <w:rPr>
                <w:rStyle w:val="Hyperlink"/>
                <w:noProof/>
              </w:rPr>
              <w:t>6.1 Practical Recommendations</w:t>
            </w:r>
            <w:r>
              <w:rPr>
                <w:noProof/>
              </w:rPr>
              <w:tab/>
            </w:r>
            <w:r>
              <w:rPr>
                <w:noProof/>
              </w:rPr>
              <w:fldChar w:fldCharType="begin"/>
            </w:r>
            <w:r>
              <w:rPr>
                <w:noProof/>
              </w:rPr>
              <w:instrText xml:space="preserve"> PAGEREF _Toc226493009 \h </w:instrText>
            </w:r>
            <w:r>
              <w:rPr>
                <w:noProof/>
              </w:rPr>
            </w:r>
            <w:r>
              <w:rPr>
                <w:noProof/>
              </w:rPr>
              <w:fldChar w:fldCharType="separate"/>
            </w:r>
            <w:r>
              <w:rPr>
                <w:noProof/>
              </w:rPr>
              <w:t>1</w:t>
            </w:r>
            <w:r>
              <w:rPr>
                <w:noProof/>
              </w:rPr>
              <w:fldChar w:fldCharType="end"/>
            </w:r>
          </w:hyperlink>
        </w:p>
        <w:p w14:paraId="789EDB3C" w14:textId="77777777" w:rsidR="004041B8" w:rsidRDefault="004041B8" w:rsidP="00E74AB2">
          <w:pPr>
            <w:pStyle w:val="TOC2"/>
            <w:tabs>
              <w:tab w:val="right" w:leader="dot" w:pos="9350"/>
            </w:tabs>
            <w:rPr>
              <w:noProof/>
            </w:rPr>
          </w:pPr>
          <w:hyperlink w:anchor="_Toc226493010" w:history="1">
            <w:r w:rsidRPr="00845975">
              <w:rPr>
                <w:rStyle w:val="Hyperlink"/>
                <w:noProof/>
              </w:rPr>
              <w:t>6.2 Limitations</w:t>
            </w:r>
            <w:r>
              <w:rPr>
                <w:noProof/>
              </w:rPr>
              <w:tab/>
            </w:r>
            <w:r>
              <w:rPr>
                <w:noProof/>
              </w:rPr>
              <w:fldChar w:fldCharType="begin"/>
            </w:r>
            <w:r>
              <w:rPr>
                <w:noProof/>
              </w:rPr>
              <w:instrText xml:space="preserve"> PAGEREF _Toc226493010 \h </w:instrText>
            </w:r>
            <w:r>
              <w:rPr>
                <w:noProof/>
              </w:rPr>
            </w:r>
            <w:r>
              <w:rPr>
                <w:noProof/>
              </w:rPr>
              <w:fldChar w:fldCharType="separate"/>
            </w:r>
            <w:r>
              <w:rPr>
                <w:noProof/>
              </w:rPr>
              <w:t>1</w:t>
            </w:r>
            <w:r>
              <w:rPr>
                <w:noProof/>
              </w:rPr>
              <w:fldChar w:fldCharType="end"/>
            </w:r>
          </w:hyperlink>
        </w:p>
        <w:p w14:paraId="014D87D5" w14:textId="77777777" w:rsidR="004041B8" w:rsidRDefault="004041B8" w:rsidP="00E74AB2">
          <w:pPr>
            <w:pStyle w:val="TOC2"/>
            <w:tabs>
              <w:tab w:val="right" w:leader="dot" w:pos="9350"/>
            </w:tabs>
            <w:rPr>
              <w:noProof/>
            </w:rPr>
          </w:pPr>
          <w:hyperlink w:anchor="_Toc226493011" w:history="1">
            <w:r w:rsidRPr="00845975">
              <w:rPr>
                <w:rStyle w:val="Hyperlink"/>
                <w:noProof/>
              </w:rPr>
              <w:t>6.3 Future Work</w:t>
            </w:r>
            <w:r>
              <w:rPr>
                <w:noProof/>
              </w:rPr>
              <w:tab/>
            </w:r>
            <w:r>
              <w:rPr>
                <w:noProof/>
              </w:rPr>
              <w:fldChar w:fldCharType="begin"/>
            </w:r>
            <w:r>
              <w:rPr>
                <w:noProof/>
              </w:rPr>
              <w:instrText xml:space="preserve"> PAGEREF _Toc226493011 \h </w:instrText>
            </w:r>
            <w:r>
              <w:rPr>
                <w:noProof/>
              </w:rPr>
            </w:r>
            <w:r>
              <w:rPr>
                <w:noProof/>
              </w:rPr>
              <w:fldChar w:fldCharType="separate"/>
            </w:r>
            <w:r>
              <w:rPr>
                <w:noProof/>
              </w:rPr>
              <w:t>1</w:t>
            </w:r>
            <w:r>
              <w:rPr>
                <w:noProof/>
              </w:rPr>
              <w:fldChar w:fldCharType="end"/>
            </w:r>
          </w:hyperlink>
        </w:p>
        <w:p w14:paraId="1660B3BF" w14:textId="77777777" w:rsidR="004041B8" w:rsidRDefault="004041B8" w:rsidP="00E74AB2">
          <w:pPr>
            <w:pStyle w:val="TOC1"/>
            <w:tabs>
              <w:tab w:val="right" w:leader="dot" w:pos="9350"/>
            </w:tabs>
            <w:rPr>
              <w:noProof/>
            </w:rPr>
          </w:pPr>
          <w:hyperlink w:anchor="_Toc226493012" w:history="1">
            <w:r w:rsidRPr="00845975">
              <w:rPr>
                <w:rStyle w:val="Hyperlink"/>
                <w:noProof/>
              </w:rPr>
              <w:t>References</w:t>
            </w:r>
            <w:r>
              <w:rPr>
                <w:noProof/>
              </w:rPr>
              <w:tab/>
            </w:r>
            <w:r>
              <w:rPr>
                <w:noProof/>
              </w:rPr>
              <w:fldChar w:fldCharType="begin"/>
            </w:r>
            <w:r>
              <w:rPr>
                <w:noProof/>
              </w:rPr>
              <w:instrText xml:space="preserve"> PAGEREF _Toc226493012 \h </w:instrText>
            </w:r>
            <w:r>
              <w:rPr>
                <w:noProof/>
              </w:rPr>
            </w:r>
            <w:r>
              <w:rPr>
                <w:noProof/>
              </w:rPr>
              <w:fldChar w:fldCharType="separate"/>
            </w:r>
            <w:r>
              <w:rPr>
                <w:noProof/>
              </w:rPr>
              <w:t>1</w:t>
            </w:r>
            <w:r>
              <w:rPr>
                <w:noProof/>
              </w:rPr>
              <w:fldChar w:fldCharType="end"/>
            </w:r>
          </w:hyperlink>
        </w:p>
        <w:p w14:paraId="16DC772A" w14:textId="77777777" w:rsidR="004041B8" w:rsidRDefault="004041B8" w:rsidP="00E74AB2">
          <w:pPr>
            <w:pStyle w:val="TOC1"/>
            <w:tabs>
              <w:tab w:val="right" w:leader="dot" w:pos="9350"/>
            </w:tabs>
            <w:rPr>
              <w:noProof/>
            </w:rPr>
          </w:pPr>
          <w:hyperlink w:anchor="_Toc226493013" w:history="1">
            <w:r w:rsidRPr="00845975">
              <w:rPr>
                <w:rStyle w:val="Hyperlink"/>
                <w:noProof/>
              </w:rPr>
              <w:t>Appendices</w:t>
            </w:r>
            <w:r>
              <w:rPr>
                <w:noProof/>
              </w:rPr>
              <w:tab/>
            </w:r>
            <w:r>
              <w:rPr>
                <w:noProof/>
              </w:rPr>
              <w:fldChar w:fldCharType="begin"/>
            </w:r>
            <w:r>
              <w:rPr>
                <w:noProof/>
              </w:rPr>
              <w:instrText xml:space="preserve"> PAGEREF _Toc226493013 \h </w:instrText>
            </w:r>
            <w:r>
              <w:rPr>
                <w:noProof/>
              </w:rPr>
            </w:r>
            <w:r>
              <w:rPr>
                <w:noProof/>
              </w:rPr>
              <w:fldChar w:fldCharType="separate"/>
            </w:r>
            <w:r>
              <w:rPr>
                <w:noProof/>
              </w:rPr>
              <w:t>1</w:t>
            </w:r>
            <w:r>
              <w:rPr>
                <w:noProof/>
              </w:rPr>
              <w:fldChar w:fldCharType="end"/>
            </w:r>
          </w:hyperlink>
        </w:p>
        <w:p w14:paraId="22D43DE5" w14:textId="77777777" w:rsidR="004041B8" w:rsidRDefault="004041B8" w:rsidP="00E74AB2">
          <w:pPr>
            <w:pStyle w:val="TOC2"/>
            <w:tabs>
              <w:tab w:val="right" w:leader="dot" w:pos="9350"/>
            </w:tabs>
            <w:rPr>
              <w:noProof/>
            </w:rPr>
          </w:pPr>
          <w:hyperlink w:anchor="_Toc226493014" w:history="1">
            <w:r w:rsidRPr="00845975">
              <w:rPr>
                <w:rStyle w:val="Hyperlink"/>
                <w:noProof/>
              </w:rPr>
              <w:t>Appendix A: Codebook</w:t>
            </w:r>
            <w:r>
              <w:rPr>
                <w:noProof/>
              </w:rPr>
              <w:tab/>
            </w:r>
            <w:r>
              <w:rPr>
                <w:noProof/>
              </w:rPr>
              <w:fldChar w:fldCharType="begin"/>
            </w:r>
            <w:r>
              <w:rPr>
                <w:noProof/>
              </w:rPr>
              <w:instrText xml:space="preserve"> PAGEREF _Toc226493014 \h </w:instrText>
            </w:r>
            <w:r>
              <w:rPr>
                <w:noProof/>
              </w:rPr>
            </w:r>
            <w:r>
              <w:rPr>
                <w:noProof/>
              </w:rPr>
              <w:fldChar w:fldCharType="separate"/>
            </w:r>
            <w:r>
              <w:rPr>
                <w:noProof/>
              </w:rPr>
              <w:t>1</w:t>
            </w:r>
            <w:r>
              <w:rPr>
                <w:noProof/>
              </w:rPr>
              <w:fldChar w:fldCharType="end"/>
            </w:r>
          </w:hyperlink>
        </w:p>
        <w:p w14:paraId="43573BCB" w14:textId="77777777" w:rsidR="004041B8" w:rsidRDefault="004041B8" w:rsidP="00E74AB2">
          <w:pPr>
            <w:pStyle w:val="TOC2"/>
            <w:tabs>
              <w:tab w:val="right" w:leader="dot" w:pos="9350"/>
            </w:tabs>
            <w:rPr>
              <w:noProof/>
            </w:rPr>
          </w:pPr>
          <w:hyperlink w:anchor="_Toc226493015" w:history="1">
            <w:r w:rsidRPr="00845975">
              <w:rPr>
                <w:rStyle w:val="Hyperlink"/>
                <w:noProof/>
              </w:rPr>
              <w:t>Appendix B: Reproducible Code</w:t>
            </w:r>
            <w:r>
              <w:rPr>
                <w:noProof/>
              </w:rPr>
              <w:tab/>
            </w:r>
            <w:r>
              <w:rPr>
                <w:noProof/>
              </w:rPr>
              <w:fldChar w:fldCharType="begin"/>
            </w:r>
            <w:r>
              <w:rPr>
                <w:noProof/>
              </w:rPr>
              <w:instrText xml:space="preserve"> PAGEREF _Toc226493015 \h </w:instrText>
            </w:r>
            <w:r>
              <w:rPr>
                <w:noProof/>
              </w:rPr>
            </w:r>
            <w:r>
              <w:rPr>
                <w:noProof/>
              </w:rPr>
              <w:fldChar w:fldCharType="separate"/>
            </w:r>
            <w:r>
              <w:rPr>
                <w:noProof/>
              </w:rPr>
              <w:t>1</w:t>
            </w:r>
            <w:r>
              <w:rPr>
                <w:noProof/>
              </w:rPr>
              <w:fldChar w:fldCharType="end"/>
            </w:r>
          </w:hyperlink>
        </w:p>
        <w:p w14:paraId="049DA26B" w14:textId="77777777" w:rsidR="004041B8" w:rsidRDefault="004041B8" w:rsidP="00E74AB2">
          <w:pPr>
            <w:pStyle w:val="TOC2"/>
            <w:tabs>
              <w:tab w:val="right" w:leader="dot" w:pos="9350"/>
            </w:tabs>
            <w:rPr>
              <w:noProof/>
            </w:rPr>
          </w:pPr>
          <w:hyperlink w:anchor="_Toc226493016" w:history="1">
            <w:r w:rsidRPr="00845975">
              <w:rPr>
                <w:rStyle w:val="Hyperlink"/>
                <w:noProof/>
              </w:rPr>
              <w:t>Appendix C: Additional Tables and Figures</w:t>
            </w:r>
            <w:r>
              <w:rPr>
                <w:noProof/>
              </w:rPr>
              <w:tab/>
            </w:r>
            <w:r>
              <w:rPr>
                <w:noProof/>
              </w:rPr>
              <w:fldChar w:fldCharType="begin"/>
            </w:r>
            <w:r>
              <w:rPr>
                <w:noProof/>
              </w:rPr>
              <w:instrText xml:space="preserve"> PAGEREF _Toc226493016 \h </w:instrText>
            </w:r>
            <w:r>
              <w:rPr>
                <w:noProof/>
              </w:rPr>
            </w:r>
            <w:r>
              <w:rPr>
                <w:noProof/>
              </w:rPr>
              <w:fldChar w:fldCharType="separate"/>
            </w:r>
            <w:r>
              <w:rPr>
                <w:noProof/>
              </w:rPr>
              <w:t>1</w:t>
            </w:r>
            <w:r>
              <w:rPr>
                <w:noProof/>
              </w:rPr>
              <w:fldChar w:fldCharType="end"/>
            </w:r>
          </w:hyperlink>
        </w:p>
        <w:p w14:paraId="2E6C9F90" w14:textId="77777777" w:rsidR="00D14598" w:rsidRDefault="00000000" w:rsidP="00E74AB2">
          <w:r>
            <w:lastRenderedPageBreak/>
            <w:fldChar w:fldCharType="end"/>
          </w:r>
        </w:p>
      </w:sdtContent>
    </w:sdt>
    <w:p w14:paraId="18323619" w14:textId="77777777" w:rsidR="00D14598" w:rsidRDefault="00000000" w:rsidP="00E74AB2">
      <w:r>
        <w:br w:type="page"/>
      </w:r>
    </w:p>
    <w:p w14:paraId="59522E4E" w14:textId="77777777" w:rsidR="00D14598" w:rsidRDefault="00000000" w:rsidP="00E74AB2">
      <w:pPr>
        <w:pStyle w:val="Heading1"/>
      </w:pPr>
      <w:bookmarkStart w:id="3" w:name="_Toc226492987"/>
      <w:r>
        <w:lastRenderedPageBreak/>
        <w:t>1. Introduction and Background</w:t>
      </w:r>
      <w:bookmarkEnd w:id="3"/>
    </w:p>
    <w:p w14:paraId="40C73C47" w14:textId="730EC59D" w:rsidR="00D14598" w:rsidRDefault="00000000" w:rsidP="00E74AB2">
      <w:pPr>
        <w:spacing w:before="120" w:after="120"/>
      </w:pPr>
      <w:r>
        <w:rPr>
          <w:color w:val="000000"/>
        </w:rPr>
        <w:t>Clinical decision support (CDS) systems are widely deployed in hospital settings to assist clinicians with evidence-based recommendations, drug interaction alerts, and diagnostic guidance. However, the effectiveness of these systems is increasingly undermined by alert fatigue</w:t>
      </w:r>
      <w:r w:rsidR="00803239">
        <w:rPr>
          <w:color w:val="000000"/>
        </w:rPr>
        <w:t xml:space="preserve">, </w:t>
      </w:r>
      <w:r>
        <w:rPr>
          <w:color w:val="000000"/>
        </w:rPr>
        <w:t xml:space="preserve">a phenomenon in which clinicians become desensitized to frequent, often non-actionable alerts and habitually override them. </w:t>
      </w:r>
      <w:r w:rsidR="00FD558E" w:rsidRPr="00FD558E">
        <w:rPr>
          <w:color w:val="000000"/>
        </w:rPr>
        <w:t xml:space="preserve">Alert fatigue poses both a patient safety risk and a major source of workflow disruption in intensive care units (ICUs), where </w:t>
      </w:r>
      <w:r w:rsidR="00FD558E">
        <w:rPr>
          <w:color w:val="000000"/>
        </w:rPr>
        <w:t>clinical activity is most intense and complex</w:t>
      </w:r>
      <w:r w:rsidR="00FD558E" w:rsidRPr="00FD558E">
        <w:rPr>
          <w:color w:val="000000"/>
        </w:rPr>
        <w:t>.</w:t>
      </w:r>
    </w:p>
    <w:p w14:paraId="366056BF" w14:textId="2338E05C" w:rsidR="00D14598" w:rsidRDefault="00000000" w:rsidP="00E74AB2">
      <w:pPr>
        <w:spacing w:before="120" w:after="120"/>
      </w:pPr>
      <w:r>
        <w:rPr>
          <w:color w:val="000000"/>
        </w:rPr>
        <w:t>This study investigates alert fatigue in the context of ICU care using MIMIC-IV, a publicly available critical care database.</w:t>
      </w:r>
      <w:r w:rsidR="008F71EF">
        <w:rPr>
          <w:color w:val="000000"/>
        </w:rPr>
        <w:t xml:space="preserve"> </w:t>
      </w:r>
      <w:r w:rsidR="008F71EF" w:rsidRPr="008F71EF">
        <w:rPr>
          <w:color w:val="000000"/>
        </w:rPr>
        <w:t xml:space="preserve">MIMIC-IV is sourced from two in-hospital database systems: a custom </w:t>
      </w:r>
      <w:r w:rsidR="008F71EF">
        <w:rPr>
          <w:color w:val="000000"/>
        </w:rPr>
        <w:t>hospital-wide EHR and an ICU-specific</w:t>
      </w:r>
      <w:r w:rsidR="008F71EF" w:rsidRPr="008F71EF">
        <w:rPr>
          <w:color w:val="000000"/>
        </w:rPr>
        <w:t xml:space="preserve"> clinical information system.</w:t>
      </w:r>
      <w:r>
        <w:rPr>
          <w:color w:val="000000"/>
        </w:rPr>
        <w:t xml:space="preserve"> The primary aim is to identify patient-level and unit-level predictors of clinical activity burden</w:t>
      </w:r>
      <w:r w:rsidR="004275E1">
        <w:rPr>
          <w:color w:val="000000"/>
        </w:rPr>
        <w:t xml:space="preserve"> </w:t>
      </w:r>
      <w:r>
        <w:rPr>
          <w:color w:val="000000"/>
        </w:rPr>
        <w:t xml:space="preserve">operationalized as rates of medication orders, laboratory tests, and total CDS-triggering events per </w:t>
      </w:r>
      <w:r w:rsidR="008F71EF">
        <w:rPr>
          <w:color w:val="000000"/>
        </w:rPr>
        <w:t>ICU Day</w:t>
      </w:r>
      <w:r>
        <w:rPr>
          <w:color w:val="000000"/>
        </w:rPr>
        <w:t xml:space="preserve"> with a view toward informing more targeted alert management strategies.</w:t>
      </w:r>
    </w:p>
    <w:p w14:paraId="29460F40" w14:textId="311DFF08" w:rsidR="00D14598" w:rsidRDefault="00000000" w:rsidP="00E74AB2">
      <w:pPr>
        <w:pStyle w:val="Heading2"/>
        <w:numPr>
          <w:ilvl w:val="1"/>
          <w:numId w:val="2"/>
        </w:numPr>
      </w:pPr>
      <w:bookmarkStart w:id="4" w:name="_Toc226492988"/>
      <w:r>
        <w:t>Problem Statement</w:t>
      </w:r>
      <w:bookmarkEnd w:id="4"/>
    </w:p>
    <w:p w14:paraId="6B6B30C1" w14:textId="4BA2A7D0" w:rsidR="00FD0D74" w:rsidRDefault="00FD0D74" w:rsidP="00E74AB2">
      <w:r w:rsidRPr="00FD0D74">
        <w:t>C</w:t>
      </w:r>
      <w:r>
        <w:t xml:space="preserve">linical </w:t>
      </w:r>
      <w:r w:rsidRPr="00FD0D74">
        <w:t>D</w:t>
      </w:r>
      <w:r>
        <w:t xml:space="preserve">ecision </w:t>
      </w:r>
      <w:r w:rsidRPr="00FD0D74">
        <w:t>S</w:t>
      </w:r>
      <w:r>
        <w:t>upport (CDS)</w:t>
      </w:r>
      <w:r w:rsidRPr="00FD0D74">
        <w:t xml:space="preserve"> systems aim to improve patient safety by issuing alerts tied to medication orders, lab results, and other clinical events. In ICUs, though, the high volume of alerts often leads to alert fatigue. Clinicians start to tune out warnings, which puts both patient safety and workflow at risk.</w:t>
      </w:r>
    </w:p>
    <w:p w14:paraId="2CF92675" w14:textId="77777777" w:rsidR="00FD0D74" w:rsidRPr="00FD0D74" w:rsidRDefault="00FD0D74" w:rsidP="00E74AB2"/>
    <w:p w14:paraId="0A3A404C" w14:textId="3621A27B" w:rsidR="00FD0D74" w:rsidRDefault="00FD0D74" w:rsidP="00E74AB2">
      <w:r w:rsidRPr="00FD0D74">
        <w:t>A key barrier in alert fatigue research is that detailed CDS alert data are locked inside proprietary EHR systems. Without access to these logs, we have little insight into how clinical activity drives alert burden, especially in ICUs.</w:t>
      </w:r>
    </w:p>
    <w:p w14:paraId="49E6063E" w14:textId="77777777" w:rsidR="006D1A18" w:rsidRPr="00FD0D74" w:rsidRDefault="006D1A18" w:rsidP="00E74AB2"/>
    <w:p w14:paraId="77C1518A" w14:textId="102FCCCF" w:rsidR="00FD0D74" w:rsidRDefault="00FD0D74" w:rsidP="00E74AB2">
      <w:r w:rsidRPr="00FD0D74">
        <w:t xml:space="preserve">This lack of data makes it hard to pinpoint which clinical processes create the most alerts or where to target improvements. We need a data-driven way to estimate alert exposure </w:t>
      </w:r>
      <w:r w:rsidR="006D1A18">
        <w:t>given the available information</w:t>
      </w:r>
      <w:r w:rsidRPr="00FD0D74">
        <w:t>.</w:t>
      </w:r>
    </w:p>
    <w:p w14:paraId="0F151768" w14:textId="77777777" w:rsidR="00FD0D74" w:rsidRPr="00FD0D74" w:rsidRDefault="00FD0D74" w:rsidP="00E74AB2"/>
    <w:p w14:paraId="4E62023C" w14:textId="380DBE68" w:rsidR="00FD0D74" w:rsidRDefault="008F71EF" w:rsidP="00E74AB2">
      <w:r>
        <w:t>T</w:t>
      </w:r>
      <w:r w:rsidRPr="008F71EF">
        <w:t xml:space="preserve">o address this, I use timestamped medication orders and lab events from the MIMIC-IV database as stand-ins for CDS-triggering activity. This approach is supported by prior research that uses clinical event frequency as a practical substitute for alert exposure when proprietary alert logs are not available (Kouri et al., 2023). Across 94,444 ICU stays, I measure event burden, identify which patient and unit-level factors drive it, and test how much burden could be reduced under realistic alert suppression strategies. This gives CDS teams a practical, data-driven tool for tackling alert fatigue without </w:t>
      </w:r>
      <w:r>
        <w:t>requiring access to a hospital's internal EHR</w:t>
      </w:r>
      <w:r w:rsidRPr="008F71EF">
        <w:t>.</w:t>
      </w:r>
    </w:p>
    <w:p w14:paraId="5DBAA8EF" w14:textId="77777777" w:rsidR="003A37AE" w:rsidRDefault="003A37AE" w:rsidP="00E74AB2"/>
    <w:p w14:paraId="09DEC5E2" w14:textId="77777777" w:rsidR="00CD72CF" w:rsidRDefault="00CD72CF" w:rsidP="00E74AB2"/>
    <w:p w14:paraId="16777EBE" w14:textId="77777777" w:rsidR="00CD72CF" w:rsidRDefault="00CD72CF" w:rsidP="00E74AB2"/>
    <w:p w14:paraId="2825A085" w14:textId="77777777" w:rsidR="00CD72CF" w:rsidRDefault="00CD72CF" w:rsidP="00E74AB2"/>
    <w:p w14:paraId="19357D7E" w14:textId="77777777" w:rsidR="00CD72CF" w:rsidRPr="00FD0D74" w:rsidRDefault="00CD72CF" w:rsidP="00E74AB2"/>
    <w:p w14:paraId="168D7CF6" w14:textId="51543BEB" w:rsidR="00FD0D74" w:rsidRDefault="00000000" w:rsidP="00E74AB2">
      <w:pPr>
        <w:pStyle w:val="Heading2"/>
        <w:numPr>
          <w:ilvl w:val="1"/>
          <w:numId w:val="2"/>
        </w:numPr>
      </w:pPr>
      <w:bookmarkStart w:id="5" w:name="_Toc226492989"/>
      <w:r>
        <w:lastRenderedPageBreak/>
        <w:t>Research Objectives</w:t>
      </w:r>
      <w:bookmarkEnd w:id="5"/>
    </w:p>
    <w:p w14:paraId="2B3C6F38" w14:textId="77777777" w:rsidR="00FD0D74" w:rsidRPr="00FD0D74" w:rsidRDefault="00FD0D74" w:rsidP="00E74AB2">
      <w:r w:rsidRPr="00FD0D74">
        <w:t>This practicum is structured around three research questions, reflecting a progression from description to modeling to intervention simulation:</w:t>
      </w:r>
    </w:p>
    <w:p w14:paraId="48839049" w14:textId="77777777" w:rsidR="00FD0D74" w:rsidRPr="00FD0D74" w:rsidRDefault="00FD0D74" w:rsidP="00E74AB2"/>
    <w:p w14:paraId="7A430B4B" w14:textId="77777777" w:rsidR="00FD0D74" w:rsidRDefault="00FD0D74" w:rsidP="00E74AB2">
      <w:pPr>
        <w:ind w:left="720"/>
      </w:pPr>
      <w:r w:rsidRPr="00FD0D74">
        <w:t>RQ1 — Alert Burden Quantification — How does the volume and rate of clinical events (medications and labs) vary across ICU encounters, and which patient or encounter characteristics are associated with higher event burden?</w:t>
      </w:r>
    </w:p>
    <w:p w14:paraId="6CF41204" w14:textId="77777777" w:rsidR="00FD0D74" w:rsidRPr="00FD0D74" w:rsidRDefault="00FD0D74" w:rsidP="00E74AB2">
      <w:pPr>
        <w:ind w:left="720"/>
      </w:pPr>
    </w:p>
    <w:p w14:paraId="79154716" w14:textId="77777777" w:rsidR="00FD0D74" w:rsidRDefault="00FD0D74" w:rsidP="00E74AB2">
      <w:pPr>
        <w:ind w:left="720"/>
      </w:pPr>
      <w:r w:rsidRPr="00FD0D74">
        <w:t>RQ2 — Event Composition and Distribution — How do medication orders and laboratory events each contribute to overall event burden, and how does this differ across ICU unit types when accounting for length of stay?</w:t>
      </w:r>
    </w:p>
    <w:p w14:paraId="0AD77C65" w14:textId="77777777" w:rsidR="00FD0D74" w:rsidRPr="00FD0D74" w:rsidRDefault="00FD0D74" w:rsidP="00E74AB2">
      <w:pPr>
        <w:ind w:left="720"/>
      </w:pPr>
    </w:p>
    <w:p w14:paraId="40550729" w14:textId="77777777" w:rsidR="00FD0D74" w:rsidRPr="00FD0D74" w:rsidRDefault="00FD0D74" w:rsidP="00E74AB2">
      <w:pPr>
        <w:ind w:left="720"/>
      </w:pPr>
      <w:r w:rsidRPr="00FD0D74">
        <w:t>RQ3 — Suppression Scenario Analysis — Under hypothetical alert suppression strategies targeting duplicate medication orders and laboratory event thresholding, how much could total event burden decrease, and how would this affect the number of high-burden encounters?</w:t>
      </w:r>
    </w:p>
    <w:p w14:paraId="19008697" w14:textId="77777777" w:rsidR="00FD0D74" w:rsidRPr="00FD0D74" w:rsidRDefault="00FD0D74" w:rsidP="00E74AB2"/>
    <w:p w14:paraId="44380867" w14:textId="2D8911AD" w:rsidR="00FD0D74" w:rsidRDefault="00FD0D74" w:rsidP="00E74AB2">
      <w:r w:rsidRPr="00FD0D74">
        <w:t>These questions move from characterizing the problem (RQ1), to understanding its structure (RQ2), to evaluating potential solutions (RQ3). The findings are intended to provide actionable, data-grounded recommendations for CDS optimization in ICU settings.</w:t>
      </w:r>
    </w:p>
    <w:p w14:paraId="6C9AE14F" w14:textId="77777777" w:rsidR="002D1AE8" w:rsidRPr="00FD0D74" w:rsidRDefault="002D1AE8" w:rsidP="00E74AB2"/>
    <w:p w14:paraId="19494B1D" w14:textId="77777777" w:rsidR="00D14598" w:rsidRDefault="00000000" w:rsidP="00E74AB2">
      <w:pPr>
        <w:pStyle w:val="Heading2"/>
      </w:pPr>
      <w:bookmarkStart w:id="6" w:name="_Toc226492990"/>
      <w:r>
        <w:t>1.3 Significance of the Study</w:t>
      </w:r>
      <w:bookmarkEnd w:id="6"/>
    </w:p>
    <w:p w14:paraId="68EF1171" w14:textId="6034304B" w:rsidR="00173F2D" w:rsidRDefault="00173F2D" w:rsidP="00E74AB2">
      <w:r w:rsidRPr="00173F2D">
        <w:t xml:space="preserve">Alert fatigue is a real and persistent problem in clinical informatics. When clinicians face too many alerts, especially </w:t>
      </w:r>
      <w:r w:rsidR="008F71EF">
        <w:t xml:space="preserve">those that </w:t>
      </w:r>
      <w:r w:rsidR="006D1A18">
        <w:t>are repetitive or irrelevant</w:t>
      </w:r>
      <w:r w:rsidR="008F71EF">
        <w:t>, they tune</w:t>
      </w:r>
      <w:r w:rsidRPr="00173F2D">
        <w:t xml:space="preserve"> them out. That raises the risk of missing something important</w:t>
      </w:r>
      <w:r w:rsidR="008F71EF">
        <w:t xml:space="preserve"> and could be a patient safety issue</w:t>
      </w:r>
      <w:r w:rsidRPr="00173F2D">
        <w:t xml:space="preserve">. The issue is even more </w:t>
      </w:r>
      <w:r w:rsidR="006D1A18" w:rsidRPr="00173F2D">
        <w:t>severe</w:t>
      </w:r>
      <w:r w:rsidRPr="00173F2D">
        <w:t xml:space="preserve"> in intensive care, where patients need constant monitoring and complex care. Here, the volume of clinical decision support events can quickly overwhelm providers and add to their cognitive load.</w:t>
      </w:r>
    </w:p>
    <w:p w14:paraId="570743F8" w14:textId="77777777" w:rsidR="00173F2D" w:rsidRPr="00173F2D" w:rsidRDefault="00173F2D" w:rsidP="00E74AB2"/>
    <w:p w14:paraId="367D19C8" w14:textId="78D6BF37" w:rsidR="00173F2D" w:rsidRDefault="00173F2D" w:rsidP="00E74AB2">
      <w:r w:rsidRPr="00173F2D">
        <w:t xml:space="preserve">Despite growing recognition of alert fatigue, most studies rely on data from a single institution’s proprietary EHR. That limits how broadly we can apply their findings. Few researchers have used open ICU datasets to </w:t>
      </w:r>
      <w:r w:rsidR="008F71EF">
        <w:t xml:space="preserve">examine alert burden across </w:t>
      </w:r>
      <w:r w:rsidRPr="00173F2D">
        <w:t>settings. As of now, no one has used negative binomial regression with the MIMIC-IV database to examine how CDS event rates vary by unit.</w:t>
      </w:r>
    </w:p>
    <w:p w14:paraId="6594AAE5" w14:textId="77777777" w:rsidR="00173F2D" w:rsidRPr="00173F2D" w:rsidRDefault="00173F2D" w:rsidP="00E74AB2"/>
    <w:p w14:paraId="7852DF8D" w14:textId="2CF0B2EC" w:rsidR="00173F2D" w:rsidRPr="00173F2D" w:rsidRDefault="00173F2D" w:rsidP="00E74AB2">
      <w:r w:rsidRPr="00173F2D">
        <w:t xml:space="preserve">This study moves the field forward in three ways. First, it offers a clear, reproducible method for analyzing CDS event burden using data </w:t>
      </w:r>
      <w:r w:rsidR="00FD558E">
        <w:t>accessible to anyone</w:t>
      </w:r>
      <w:r w:rsidRPr="00173F2D">
        <w:t xml:space="preserve">, not just those with institutional EHRs. Second, it shows that ICU unit type is a strong and practical predictor of event burden, which can help guide unit-specific alert strategies. Third, the suppression scenario analysis gives real numbers on how much burden could be reduced with practical optimization policies. These findings give CDS governance teams evidence they can </w:t>
      </w:r>
      <w:r w:rsidR="00A91DFD" w:rsidRPr="00173F2D">
        <w:t>use</w:t>
      </w:r>
      <w:r w:rsidRPr="00173F2D">
        <w:t>.</w:t>
      </w:r>
    </w:p>
    <w:p w14:paraId="62DD902D" w14:textId="77777777" w:rsidR="00D14598" w:rsidRDefault="00000000" w:rsidP="00E74AB2">
      <w:r>
        <w:br w:type="page"/>
      </w:r>
    </w:p>
    <w:p w14:paraId="68F0F3B9" w14:textId="77777777" w:rsidR="00D14598" w:rsidRDefault="00000000" w:rsidP="00E74AB2">
      <w:pPr>
        <w:pStyle w:val="Heading1"/>
      </w:pPr>
      <w:bookmarkStart w:id="7" w:name="_Toc226492991"/>
      <w:r>
        <w:lastRenderedPageBreak/>
        <w:t>2. Literature Review</w:t>
      </w:r>
      <w:bookmarkEnd w:id="7"/>
    </w:p>
    <w:p w14:paraId="1891FDBA" w14:textId="77777777" w:rsidR="00D14598" w:rsidRDefault="00000000" w:rsidP="00E74AB2">
      <w:pPr>
        <w:pStyle w:val="Heading2"/>
      </w:pPr>
      <w:bookmarkStart w:id="8" w:name="_Toc226492992"/>
      <w:r>
        <w:t>2.1 Alert Fatigue in Clinical Settings</w:t>
      </w:r>
      <w:bookmarkEnd w:id="8"/>
    </w:p>
    <w:p w14:paraId="6D467B7F" w14:textId="77777777" w:rsidR="0098554D" w:rsidRDefault="0098554D" w:rsidP="00E74AB2">
      <w:r w:rsidRPr="0098554D">
        <w:t>Alert fatigue has become a powerful and often overlooked side effect of bringing computers into healthcare. Ironically, technologies designed to improve patient safety can sometimes create new risks when they overwhelm clinicians with excessive alerts. In modern clinical environments, providers may receive thousands of alerts daily, particularly in intensive care settings where monitoring systems generate frequent notifications (AHRQ, 2019). With the widespread adoption of electronic health records, alert fatigue is now recognized as a major unintended consequence of healthcare computerization and a significant patient safety concern.</w:t>
      </w:r>
    </w:p>
    <w:p w14:paraId="10D97437" w14:textId="77777777" w:rsidR="0098554D" w:rsidRPr="0098554D" w:rsidRDefault="0098554D" w:rsidP="00E74AB2"/>
    <w:p w14:paraId="43FCBA43" w14:textId="76693B81" w:rsidR="0098554D" w:rsidRDefault="0098554D" w:rsidP="00E74AB2">
      <w:r w:rsidRPr="0098554D">
        <w:t xml:space="preserve">Alert fatigue occurs when clinicians receive so many alerts that they start to ignore or override them, even when some are critical. Many alerts from computerized provider order entry systems are not clinically meaningful, </w:t>
      </w:r>
      <w:r>
        <w:t xml:space="preserve">leading to </w:t>
      </w:r>
      <w:r w:rsidRPr="0098554D">
        <w:t>desensitization (AHRQ, 2019). As a result, clinicians often dismiss alerts out of habit, even when important alerts appear. Override rates can reach 77</w:t>
      </w:r>
      <w:r>
        <w:t>-90 percent, and responsiveness declines</w:t>
      </w:r>
      <w:r w:rsidRPr="0098554D">
        <w:t xml:space="preserve"> as alert volume increases (Seto et al., 2020). In some cases, alert fatigue has contributed to serious patient harm, including over 200 deaths in five years due to missed monitoring alarms (AHRQ, 2019).</w:t>
      </w:r>
    </w:p>
    <w:p w14:paraId="5FCBB092" w14:textId="77777777" w:rsidR="0098554D" w:rsidRPr="0098554D" w:rsidRDefault="0098554D" w:rsidP="00E74AB2"/>
    <w:p w14:paraId="51827162" w14:textId="5111BA71" w:rsidR="0098554D" w:rsidRDefault="0098554D" w:rsidP="00E74AB2">
      <w:r>
        <w:t>Too many low-value alerts do not enhance safety and can increase the risk of patient harm. Research indicates that clinicians become less likely to accept alerts as their number and frequency increase, especially when alerts are repeated for the same patient (Ancker et al., 2017). One study showed that each additional reminder per encounter decreased alert acceptance by 30 percent, highlighting that both volume and repetition reduce responsiveness more than either alone (Ancker et al., 2017). This issue stems from system design flaws, not from individual clinicians' mistakes.</w:t>
      </w:r>
    </w:p>
    <w:p w14:paraId="074DCAFB" w14:textId="77777777" w:rsidR="0098554D" w:rsidRPr="0098554D" w:rsidRDefault="0098554D" w:rsidP="00E74AB2"/>
    <w:p w14:paraId="14449CAA" w14:textId="77777777" w:rsidR="0098554D" w:rsidRPr="0098554D" w:rsidRDefault="0098554D" w:rsidP="00E74AB2">
      <w:r w:rsidRPr="0098554D">
        <w:t>Most attempts to reduce alert fatigue have focused on prioritizing alerts by severity, cutting low-priority interruptions, and customizing alerts to the clinician's role and patient context. Progress has been inconsistent. Developers are often hesitant to remove alerts because of legal concerns, and most optimization relies on data from single institutions with proprietary EHRs, which limits how broadly findings can be applied (AHRQ, 2019). This study aims to close that gap by analyzing CDS event burden using MIMIC-IV, an openly available critical care database, providing a reproducible framework that does not require proprietary alert logs.</w:t>
      </w:r>
    </w:p>
    <w:p w14:paraId="0F9346DE" w14:textId="77777777" w:rsidR="008D0C09" w:rsidRDefault="008D0C09" w:rsidP="00E74AB2">
      <w:pPr>
        <w:pBdr>
          <w:bottom w:val="dashed" w:sz="4" w:space="0" w:color="CCCCCC"/>
        </w:pBdr>
        <w:spacing w:before="120" w:after="120"/>
      </w:pPr>
    </w:p>
    <w:p w14:paraId="55319C95" w14:textId="77777777" w:rsidR="00D14598" w:rsidRDefault="00000000" w:rsidP="00E74AB2">
      <w:pPr>
        <w:pStyle w:val="Heading2"/>
      </w:pPr>
      <w:bookmarkStart w:id="9" w:name="_Toc226492993"/>
      <w:r>
        <w:t>2.2 Clinical Decision Support Systems in the ICU</w:t>
      </w:r>
      <w:bookmarkEnd w:id="9"/>
    </w:p>
    <w:p w14:paraId="50A617F9" w14:textId="77777777" w:rsidR="008D0C09" w:rsidRDefault="008D0C09" w:rsidP="00E74AB2">
      <w:r w:rsidRPr="008D0C09">
        <w:t xml:space="preserve">Clinical decision support (CDS) systems are now a core component of intensive care units (ICUs), where clinicians must manage large volumes of patient data and make rapid, high-stakes decisions. These systems integrate patient information, laboratory results, medication records, and clinical guidelines to identify risks such as medication </w:t>
      </w:r>
      <w:r w:rsidRPr="008D0C09">
        <w:lastRenderedPageBreak/>
        <w:t>errors or abnormal lab values and prompt timely action (Sutton et al., 2020). Research has shown that CDS tools can reduce prescribing and dosing errors, flag dangerous drug interactions, and support evidence-based care across a range of clinical settings.</w:t>
      </w:r>
    </w:p>
    <w:p w14:paraId="2207C09C" w14:textId="77777777" w:rsidR="008D0C09" w:rsidRPr="008D0C09" w:rsidRDefault="008D0C09" w:rsidP="00E74AB2"/>
    <w:p w14:paraId="0EF278F0" w14:textId="77777777" w:rsidR="008D0C09" w:rsidRDefault="008D0C09" w:rsidP="00E74AB2">
      <w:r w:rsidRPr="008D0C09">
        <w:t xml:space="preserve">In ICU environments, CDS systems are particularly important because of the complexity and urgency of patient care. Critically ill patients require continuous monitoring, frequent medication adjustments, and rapid responses to changing conditions. Misdiagnosis in the ICU is 50% more common than in other areas of the hospital, and medication errors account for 78% of serious adverse events in critical care settings (Sutton et al., 2020). CDS tools help clinicians manage this complexity by organizing information, highlighting key trends, and generating real-time alerts when a patient's condition may </w:t>
      </w:r>
      <w:proofErr w:type="gramStart"/>
      <w:r w:rsidRPr="008D0C09">
        <w:t>be worsening</w:t>
      </w:r>
      <w:proofErr w:type="gramEnd"/>
      <w:r w:rsidRPr="008D0C09">
        <w:t>. These functions support better decision-making and improve adherence to clinical guidelines (Sutton et al., 2020).</w:t>
      </w:r>
    </w:p>
    <w:p w14:paraId="02E1A8A5" w14:textId="77777777" w:rsidR="008D0C09" w:rsidRPr="008D0C09" w:rsidRDefault="008D0C09" w:rsidP="00E74AB2"/>
    <w:p w14:paraId="07163BA0" w14:textId="77777777" w:rsidR="008D0C09" w:rsidRDefault="008D0C09" w:rsidP="00E74AB2">
      <w:r w:rsidRPr="008D0C09">
        <w:t>One of the key strengths of CDS systems is their ability to standardize care. When integrated into electronic health records, CDS tools can guide medication dosing, flag potential drug interactions, and reinforce adherence to established protocols. For example, a CPOE rule implemented in a pediatric cardiovascular ICU limited the frequency of lab panel ordering, resulting in substantial reductions in unnecessary testing and projected cost savings exceeding $700,000 annually without negatively affecting patient outcomes (Sutton et al., 2020). This type of standardization is especially valuable in high-risk environments like the ICU, where reducing variability can improve both safety and efficiency.</w:t>
      </w:r>
    </w:p>
    <w:p w14:paraId="39D63E85" w14:textId="77777777" w:rsidR="008D0C09" w:rsidRPr="008D0C09" w:rsidRDefault="008D0C09" w:rsidP="00E74AB2"/>
    <w:p w14:paraId="7AFA1195" w14:textId="6A04EFFD" w:rsidR="008D0C09" w:rsidRDefault="008D0C09" w:rsidP="00E74AB2">
      <w:r w:rsidRPr="008D0C09">
        <w:t>However, the same features that make CDS systems effective</w:t>
      </w:r>
      <w:r>
        <w:t>, particularly real-time alerts,</w:t>
      </w:r>
      <w:r w:rsidRPr="008D0C09">
        <w:t xml:space="preserve"> can also introduce challenges. In high-intensity ICU settings, the volume of alerts can become overwhelming. An estimated 7,000 passive alerts are delivered daily to an individual critical care practitioner, and more than half of ICU clinicians surveyed 56.5% reported experiencing alert fatigue (Wong et al., 2023). When alerts become too frequent or are perceived as irrelevant, clinicians may begin to ignore them, reducing their effectiveness and potentially increasing the risk of missed critical warnings.</w:t>
      </w:r>
    </w:p>
    <w:p w14:paraId="2AFE6253" w14:textId="77777777" w:rsidR="008D0C09" w:rsidRPr="008D0C09" w:rsidRDefault="008D0C09" w:rsidP="00E74AB2"/>
    <w:p w14:paraId="668184A0" w14:textId="77777777" w:rsidR="008D0C09" w:rsidRDefault="008D0C09" w:rsidP="00E74AB2">
      <w:r w:rsidRPr="008D0C09">
        <w:t>Emerging research suggests that the effectiveness of CDS systems depends not only on the number of alerts but also on their relevance and design. Tailoring drug-drug interaction alerts specifically to the ICU setting has been shown to reduce high-risk medication combinations by 12%, demonstrating that more targeted alert strategies can meaningfully improve patient outcomes (Bakker et al., 2024). Similarly, Wong et al. (2023) identified key factors that influence effective CDS use in the ICU, including alert specificity, prioritization, ease of response, and feedback mechanisms, while also highlighting barriers such as excessive alert volume and workflow disruption.</w:t>
      </w:r>
    </w:p>
    <w:p w14:paraId="46308224" w14:textId="77777777" w:rsidR="008D0C09" w:rsidRPr="008D0C09" w:rsidRDefault="008D0C09" w:rsidP="00E74AB2"/>
    <w:p w14:paraId="11C9E5F0" w14:textId="77777777" w:rsidR="008D0C09" w:rsidRPr="008D0C09" w:rsidRDefault="008D0C09" w:rsidP="00E74AB2">
      <w:r w:rsidRPr="008D0C09">
        <w:t xml:space="preserve">Overall, CDS systems in the ICU provide essential support for clinical decision-making but also introduce important challenges related to workflow and alert burden. These findings suggest that improving CDS performance requires more than simply increasing alert volume. Instead, systems must be designed to align with the specific workflows, patient populations, and demands of ICU environments. Understanding both the </w:t>
      </w:r>
      <w:r w:rsidRPr="008D0C09">
        <w:lastRenderedPageBreak/>
        <w:t>benefits and limitations of CDS systems is critical for developing more effective, targeted strategies to reduce alert fatigue and improve patient safety.</w:t>
      </w:r>
    </w:p>
    <w:p w14:paraId="2FFB51E5" w14:textId="77777777" w:rsidR="006D1A18" w:rsidRDefault="006D1A18" w:rsidP="00E74AB2"/>
    <w:p w14:paraId="16B89CED" w14:textId="77777777" w:rsidR="00D14598" w:rsidRDefault="00000000" w:rsidP="00E74AB2">
      <w:pPr>
        <w:pStyle w:val="Heading2"/>
      </w:pPr>
      <w:bookmarkStart w:id="10" w:name="_Toc226492994"/>
      <w:r>
        <w:t>2.3 Statistical Approaches to Clinical Event Modeling</w:t>
      </w:r>
      <w:bookmarkEnd w:id="10"/>
    </w:p>
    <w:p w14:paraId="680BD138" w14:textId="77777777" w:rsidR="0032527B" w:rsidRDefault="0032527B" w:rsidP="00E74AB2">
      <w:r w:rsidRPr="0032527B">
        <w:t xml:space="preserve">Clinical event data, such as medication orders and lab tests, are usually recorded as counts. Standard linear regression does not fit this kind of data because it expects continuous, normally distributed outcomes and can even predict impossible negative values. In practice, count data are often skewed, </w:t>
      </w:r>
      <w:proofErr w:type="gramStart"/>
      <w:r w:rsidRPr="0032527B">
        <w:t>include</w:t>
      </w:r>
      <w:proofErr w:type="gramEnd"/>
      <w:r w:rsidRPr="0032527B">
        <w:t xml:space="preserve"> many zeros, and vary widely across patients. These features make traditional regression a poor choice for analyzing clinical events (Perkins et al., 2021).</w:t>
      </w:r>
    </w:p>
    <w:p w14:paraId="6CDBBD6C" w14:textId="77777777" w:rsidR="0032527B" w:rsidRPr="0032527B" w:rsidRDefault="0032527B" w:rsidP="00E74AB2"/>
    <w:p w14:paraId="286638E5" w14:textId="77777777" w:rsidR="0032527B" w:rsidRDefault="0032527B" w:rsidP="00E74AB2">
      <w:r w:rsidRPr="0032527B">
        <w:t xml:space="preserve">Poisson regression is one of the most widely used models for count data because it is specifically designed for outcomes that represent the number of times an event occurs. It performs well when the data </w:t>
      </w:r>
      <w:proofErr w:type="gramStart"/>
      <w:r w:rsidRPr="0032527B">
        <w:t>meet</w:t>
      </w:r>
      <w:proofErr w:type="gramEnd"/>
      <w:r w:rsidRPr="0032527B">
        <w:t xml:space="preserve"> its key assumption that the mean and variance are equal, a property known as </w:t>
      </w:r>
      <w:proofErr w:type="spellStart"/>
      <w:r w:rsidRPr="0032527B">
        <w:t>equidispersion</w:t>
      </w:r>
      <w:proofErr w:type="spellEnd"/>
      <w:r w:rsidRPr="0032527B">
        <w:t xml:space="preserve"> (Schober &amp; Vetter, 2021). Under these conditions, Poisson regression provides efficient and interpretable estimates and is often used as the starting point for analyzing count-based outcomes. However, this assumption is rarely met in real-world healthcare data. Clinical event data, such as medication orders and laboratory tests, typically exhibit much greater variability than the Poisson model allows. When overdispersion is present, Poisson regression tends to underestimate standard errors, which can inflate test statistics and produce confidence intervals that are too narrow, overstating the precision of the findings (</w:t>
      </w:r>
      <w:proofErr w:type="spellStart"/>
      <w:r w:rsidRPr="0032527B">
        <w:t>Hilbe</w:t>
      </w:r>
      <w:proofErr w:type="spellEnd"/>
      <w:r w:rsidRPr="0032527B">
        <w:t xml:space="preserve"> et al., 2022). This limitation is particularly evident in ICU data, where patient complexity and variation in care intensity create highly uneven distributions of clinical events. In this study, variance-to-mean ratios ranged from 119 to 1,178 across the primary outcome variables, far exceeding what a Poisson model can reasonably accommodate. For data as complex and variable as ICU clinical events, a more flexible modeling approach is needed to produce trustworthy results.</w:t>
      </w:r>
    </w:p>
    <w:p w14:paraId="4FC0F509" w14:textId="77777777" w:rsidR="0032527B" w:rsidRPr="0032527B" w:rsidRDefault="0032527B" w:rsidP="00E74AB2"/>
    <w:p w14:paraId="74A18414" w14:textId="77777777" w:rsidR="0032527B" w:rsidRDefault="0032527B" w:rsidP="00E74AB2">
      <w:r w:rsidRPr="0032527B">
        <w:t xml:space="preserve">A key limitation of Poisson regression in healthcare data is overdispersion, which occurs when the variance of a count outcome exceeds its </w:t>
      </w:r>
      <w:proofErr w:type="gramStart"/>
      <w:r w:rsidRPr="0032527B">
        <w:t>mean</w:t>
      </w:r>
      <w:proofErr w:type="gramEnd"/>
      <w:r w:rsidRPr="0032527B">
        <w:t xml:space="preserve">. Payne et al. (2018) identify several causes of overdispersion, including population heterogeneity, omitted variables that influence outcomes, and the presence of extreme values or outliers. In the context of ICU care, these factors are especially relevant, as patients differ significantly in severity of illness, treatment intensity, and length of stay, all of which contribute to large differences in event counts such as medication orders and laboratory tests. Ignoring overdispersion has important consequences for statistical inference. When a Poisson model is applied to </w:t>
      </w:r>
      <w:proofErr w:type="spellStart"/>
      <w:r w:rsidRPr="0032527B">
        <w:t>overdispersed</w:t>
      </w:r>
      <w:proofErr w:type="spellEnd"/>
      <w:r w:rsidRPr="0032527B">
        <w:t xml:space="preserve"> data, standard errors are typically underestimated, which can inflate test statistics and increase the likelihood of Type I errors — incorrectly concluding that an effect is statistically significant when it is not (Payne et al., 2018). Schober and Vetter (2021) emphasize that this issue is particularly important in medical research, where misleading results can lead to incorrect clinical conclusions or poorly designed alert management strategies. To detect overdispersion, researchers often compare the variance to the mean or examine goodness-of-fit statistics such as </w:t>
      </w:r>
      <w:r w:rsidRPr="0032527B">
        <w:lastRenderedPageBreak/>
        <w:t>deviance or Pearson chi-square values relative to degrees of freedom (Payne et al., 2018).</w:t>
      </w:r>
    </w:p>
    <w:p w14:paraId="6F5D5FFE" w14:textId="77777777" w:rsidR="0032527B" w:rsidRPr="0032527B" w:rsidRDefault="0032527B" w:rsidP="00E74AB2"/>
    <w:p w14:paraId="7354D9C4" w14:textId="50167E4B" w:rsidR="0032527B" w:rsidRPr="0032527B" w:rsidRDefault="002E259A" w:rsidP="00E74AB2">
      <w:r>
        <w:t>Negative binomial regression addresses the limitations of Poisson regression by introducing an additional dispersion parameter, often denoted theta, that accounts for excess variability in the data (Schober &amp; Vetter, 2021). By absorbing this extra variability, the negative binomial model produces more accurate standard errors and more reliable confidence intervals, reducing the risk of misleading statistical conclusions (</w:t>
      </w:r>
      <w:proofErr w:type="spellStart"/>
      <w:r>
        <w:t>Hilbe</w:t>
      </w:r>
      <w:proofErr w:type="spellEnd"/>
      <w:r>
        <w:t xml:space="preserve"> et al., 2022). Results are typically interpreted as incidence rate ratios (IRRs), which describe how much higher or lower an event rate is relative to a reference group, making the model especially useful for comparisons across patient groups, treatments, or care settings (Schober &amp; Vetter, 2021). Evidence from applied healthcare studies supports this approach. Byers et al. (2003) demonstrated that in a clinical dataset where the variance was nearly six times greater than the mean, the negative binomial model provided a significantly better fit than Poisson. This type of variability is consistent with what is observed in ICU data, where differences in patient severity, treatment intensity, and length of stay create highly uneven distributions of clinical events.</w:t>
      </w:r>
    </w:p>
    <w:p w14:paraId="01EDA082" w14:textId="77777777" w:rsidR="0032527B" w:rsidRDefault="0032527B" w:rsidP="00E74AB2"/>
    <w:p w14:paraId="7C1F7592" w14:textId="77777777" w:rsidR="00F65019" w:rsidRDefault="00F65019" w:rsidP="00E74AB2">
      <w:r w:rsidRPr="00F65019">
        <w:t>Count regression models have been applied across a wide range of healthcare research situations where outcomes share the same distributional properties as CDS event data. These include measures such as hospital length of stay, medication adherence, adverse event frequencies, and clinical trial outcomes, all of which are recorded as counts, tend to be right-skewed, and vary substantially across patient populations (Perkins et al., 2021). Because of these similarities, the same modeling challenges and solutions apply across these domains.</w:t>
      </w:r>
    </w:p>
    <w:p w14:paraId="70A2BCA9" w14:textId="77777777" w:rsidR="00F65019" w:rsidRPr="00F65019" w:rsidRDefault="00F65019" w:rsidP="00E74AB2"/>
    <w:p w14:paraId="5DEE6696" w14:textId="77777777" w:rsidR="00F65019" w:rsidRDefault="00F65019" w:rsidP="00E74AB2">
      <w:r w:rsidRPr="00F65019">
        <w:t xml:space="preserve">One of the most common examples is hospital length of stay, which is often analyzed with count regression techniques because of its highly skewed, </w:t>
      </w:r>
      <w:proofErr w:type="spellStart"/>
      <w:r w:rsidRPr="00F65019">
        <w:t>overdispersed</w:t>
      </w:r>
      <w:proofErr w:type="spellEnd"/>
      <w:r w:rsidRPr="00F65019">
        <w:t xml:space="preserve"> distribution. Like medication orders and laboratory events, length-of-stay data often include </w:t>
      </w:r>
      <w:proofErr w:type="gramStart"/>
      <w:r w:rsidRPr="00F65019">
        <w:t>a large number of</w:t>
      </w:r>
      <w:proofErr w:type="gramEnd"/>
      <w:r w:rsidRPr="00F65019">
        <w:t xml:space="preserve"> short stays alongside a smaller number of very long stays, creating substantial variability that standard models cannot capture effectively (</w:t>
      </w:r>
      <w:proofErr w:type="spellStart"/>
      <w:r w:rsidRPr="00F65019">
        <w:t>Hilbe</w:t>
      </w:r>
      <w:proofErr w:type="spellEnd"/>
      <w:r w:rsidRPr="00F65019">
        <w:t xml:space="preserve"> et al., 2022). This makes it a well-</w:t>
      </w:r>
      <w:proofErr w:type="gramStart"/>
      <w:r w:rsidRPr="00F65019">
        <w:t>established use</w:t>
      </w:r>
      <w:proofErr w:type="gramEnd"/>
      <w:r w:rsidRPr="00F65019">
        <w:t xml:space="preserve"> case for negative binomial regression in healthcare research.</w:t>
      </w:r>
    </w:p>
    <w:p w14:paraId="184E86CC" w14:textId="77777777" w:rsidR="00F65019" w:rsidRPr="00F65019" w:rsidRDefault="00F65019" w:rsidP="00E74AB2"/>
    <w:p w14:paraId="1DE26EC6" w14:textId="77777777" w:rsidR="00F65019" w:rsidRPr="00F65019" w:rsidRDefault="00F65019" w:rsidP="00E74AB2">
      <w:r w:rsidRPr="00F65019">
        <w:t>Count models have also been used in clinical trials and observational research settings. For example, Byers et al. (2003) applied negative binomial regression to clinical data characterized by substantial variability, demonstrating its ability to produce more reliable estimates when event counts are unevenly distributed. These applications highlight the practical value of negative binomial models in actual healthcare data, where outcomes rarely follow ideal statistical assumptions.</w:t>
      </w:r>
    </w:p>
    <w:p w14:paraId="4AA347BB" w14:textId="63F3AACD" w:rsidR="00F65019" w:rsidRDefault="00132AEC" w:rsidP="00E74AB2">
      <w:r>
        <w:t>Overall</w:t>
      </w:r>
      <w:r w:rsidRPr="00132AEC">
        <w:t xml:space="preserve">, this body of research demonstrates that negative binomial regression is not a novel or experimental approach, but rather a well-established and widely validated method for analyzing count-based healthcare outcomes. Given that CDS event rates share </w:t>
      </w:r>
      <w:r>
        <w:t>core characteristics with</w:t>
      </w:r>
      <w:r w:rsidRPr="00132AEC">
        <w:t xml:space="preserve"> these well-studied outcomes, the use of negative binomial regression in this study is both appropriate and consistent with established practice in the field.</w:t>
      </w:r>
    </w:p>
    <w:p w14:paraId="4CC96051" w14:textId="77777777" w:rsidR="00132AEC" w:rsidRDefault="00132AEC" w:rsidP="00E74AB2"/>
    <w:p w14:paraId="31066586" w14:textId="4905B8F5" w:rsidR="00132AEC" w:rsidRDefault="00132AEC" w:rsidP="00E74AB2">
      <w:r w:rsidRPr="00132AEC">
        <w:t xml:space="preserve">Despite the suitability of count regression methods for modeling clinical event data, their application to CDS alert burden research in ICU settings remains limited. Most studies on alert fatigue and CDS systems rely on data from a single hospital's proprietary electronic health record (EHR), </w:t>
      </w:r>
      <w:r>
        <w:t>making</w:t>
      </w:r>
      <w:r w:rsidRPr="00132AEC">
        <w:t xml:space="preserve"> it difficult to apply those findings to other settings (Wong et al., 2023). This reliance on proprietary systems limits reproducibility and makes it difficult to compare findings across institutions.</w:t>
      </w:r>
    </w:p>
    <w:p w14:paraId="7BC9FF09" w14:textId="77777777" w:rsidR="00132AEC" w:rsidRPr="00132AEC" w:rsidRDefault="00132AEC" w:rsidP="00E74AB2"/>
    <w:p w14:paraId="5D719E8B" w14:textId="77777777" w:rsidR="00132AEC" w:rsidRDefault="00132AEC" w:rsidP="00E74AB2">
      <w:r w:rsidRPr="00132AEC">
        <w:t>At the same time, publicly available critical care databases like MIMIC-IV create an opportunity to study clinical activity in a more transparent and reproducible way. MIMIC-IV contains de-identified patient data, allowing researchers to analyze real-world clinical patterns while still protecting patient privacy (Johnson et al., 2023). However, very few studies have used open datasets like this to examine CDS-related event burden, and none have applied count-based models such as negative binomial regression to evaluate how event rates differ across ICU unit types. Prior research has shown that clinical event counts can serve as a useful proxy for alert exposure when direct CDS alert data is not available, but this approach has not been widely applied at scale using open ICU data (Kouri et al., 2023).</w:t>
      </w:r>
    </w:p>
    <w:p w14:paraId="26198C41" w14:textId="77777777" w:rsidR="00132AEC" w:rsidRPr="00132AEC" w:rsidRDefault="00132AEC" w:rsidP="00E74AB2"/>
    <w:p w14:paraId="6ADC24AB" w14:textId="77777777" w:rsidR="00132AEC" w:rsidRPr="00132AEC" w:rsidRDefault="00132AEC" w:rsidP="00E74AB2">
      <w:r w:rsidRPr="00132AEC">
        <w:t>This study addresses that gap by combining an open, reproducible dataset with appropriate count-based modeling to examine variation in CDS-triggering events across ICU settings. By using de-identified MIMIC-IV data and applying negative binomial regression, this study provides a practical and scalable way to better understand alert burden in critical care. This combination of open data and established modeling techniques makes this approach more transparent and broadly applicable than prior single-institution studies.</w:t>
      </w:r>
    </w:p>
    <w:p w14:paraId="53745808" w14:textId="77777777" w:rsidR="00132AEC" w:rsidRDefault="00132AEC" w:rsidP="00E74AB2"/>
    <w:p w14:paraId="2A6DCA63" w14:textId="77777777" w:rsidR="00D14598" w:rsidRDefault="00000000" w:rsidP="00E74AB2">
      <w:pPr>
        <w:pStyle w:val="Heading2"/>
      </w:pPr>
      <w:bookmarkStart w:id="11" w:name="_Toc226492995"/>
      <w:r>
        <w:t>2.4 Gaps in Existing Research</w:t>
      </w:r>
      <w:bookmarkEnd w:id="11"/>
    </w:p>
    <w:p w14:paraId="512FE218" w14:textId="77777777" w:rsidR="00E74AB2" w:rsidRDefault="00E74AB2" w:rsidP="00E74AB2">
      <w:r w:rsidRPr="00E74AB2">
        <w:t>A major limitation in existing CDS and alert fatigue research is the heavy reliance on proprietary data from single healthcare institutions. Most studies are conducted within one hospital system using internal electronic health record (EHR) data, which is not publicly accessible and can be difficult for outside researchers to obtain (Wong et al., 2023). This makes it difficult to replicate findings or apply them broadly across different healthcare settings. In addition, direct CDS alert data is rarely available, as alert logs are typically embedded within private EHR systems and are not shared publicly, making it difficult to study alert burden directly.</w:t>
      </w:r>
    </w:p>
    <w:p w14:paraId="1423BA67" w14:textId="77777777" w:rsidR="00E74AB2" w:rsidRPr="00E74AB2" w:rsidRDefault="00E74AB2" w:rsidP="00E74AB2"/>
    <w:p w14:paraId="3501A30A" w14:textId="77777777" w:rsidR="00E74AB2" w:rsidRDefault="00E74AB2" w:rsidP="00E74AB2">
      <w:r w:rsidRPr="00E74AB2">
        <w:t>At the same time, there has been limited use of publicly available critical care databases to study CDS-related activity. Resources like MIMIC-IV provide large, de-identified datasets that allow researchers to examine real-world clinical patterns in a transparent and reproducible way (Johnson et al., 2023). Despite this, few studies have used open ICU datasets to explore alert burden or clinical event patterns, leaving a gap between the availability of data and its application in CDS research.</w:t>
      </w:r>
    </w:p>
    <w:p w14:paraId="197ED399" w14:textId="77777777" w:rsidR="00E74AB2" w:rsidRPr="00E74AB2" w:rsidRDefault="00E74AB2" w:rsidP="00E74AB2"/>
    <w:p w14:paraId="1AD874D3" w14:textId="77777777" w:rsidR="00E74AB2" w:rsidRDefault="00E74AB2" w:rsidP="00E74AB2">
      <w:r w:rsidRPr="00E74AB2">
        <w:lastRenderedPageBreak/>
        <w:t>Another gap is the lack of unit-level analysis in studies of alert burden. Many studies evaluate CDS performance at a system-wide level, without accounting for differences between ICU unit types. However, ICU environments can vary considerably in terms of patient acuity, workflow, and clinical activity. Without examining these differences, it is difficult to understand where alert burden is highest or where targeted improvements would be most effective.</w:t>
      </w:r>
    </w:p>
    <w:p w14:paraId="51896A3A" w14:textId="77777777" w:rsidR="00E74AB2" w:rsidRPr="00E74AB2" w:rsidRDefault="00E74AB2" w:rsidP="00E74AB2"/>
    <w:p w14:paraId="7D069359" w14:textId="77777777" w:rsidR="00E74AB2" w:rsidRDefault="00E74AB2" w:rsidP="00E74AB2">
      <w:r w:rsidRPr="00E74AB2">
        <w:t xml:space="preserve">In addition, there has been limited use of appropriate count-based statistical models in CDS research. While clinical event data share the same properties as other healthcare count outcomes, many studies do not fully account for skewness or overdispersion in their analyses. As a result, methods such as negative binomial regression remain underutilized in CDS research, despite being well-established in other areas of healthcare modeling (Schober &amp; Vetter, 2021; </w:t>
      </w:r>
      <w:proofErr w:type="spellStart"/>
      <w:r w:rsidRPr="00E74AB2">
        <w:t>Hilbe</w:t>
      </w:r>
      <w:proofErr w:type="spellEnd"/>
      <w:r w:rsidRPr="00E74AB2">
        <w:t xml:space="preserve"> et al., 2022).</w:t>
      </w:r>
    </w:p>
    <w:p w14:paraId="313808BE" w14:textId="77777777" w:rsidR="00E74AB2" w:rsidRPr="00E74AB2" w:rsidRDefault="00E74AB2" w:rsidP="00E74AB2"/>
    <w:p w14:paraId="004FAF3A" w14:textId="77777777" w:rsidR="00E74AB2" w:rsidRPr="00E74AB2" w:rsidRDefault="00E74AB2" w:rsidP="00E74AB2">
      <w:r w:rsidRPr="00E74AB2">
        <w:t xml:space="preserve">This study addresses these gaps by combining an open, de-identified critical care dataset with appropriate count-based modeling to examine variation in CDS-triggering events across ICU unit types. Because direct alert data is not publicly available, this study uses clinical </w:t>
      </w:r>
      <w:proofErr w:type="gramStart"/>
      <w:r w:rsidRPr="00E74AB2">
        <w:t>event</w:t>
      </w:r>
      <w:proofErr w:type="gramEnd"/>
      <w:r w:rsidRPr="00E74AB2">
        <w:t xml:space="preserve"> counts as a proxy for alert exposure, offering a practical alternative for studying alert burden at scale. By using MIMIC-IV and applying negative binomial regression, this approach provides a reproducible and scalable framework for understanding alert burden in critical care. The combination of open data and established statistical methods distinguishes this study, offering a more transparent and generalizable approach to evaluating and improving CDS systems.</w:t>
      </w:r>
    </w:p>
    <w:p w14:paraId="55699737" w14:textId="77777777" w:rsidR="00BC127F" w:rsidRPr="00BC127F" w:rsidRDefault="00BC127F" w:rsidP="00E74AB2"/>
    <w:p w14:paraId="204B4E65" w14:textId="77777777" w:rsidR="00D14598" w:rsidRDefault="00000000" w:rsidP="00E74AB2">
      <w:r>
        <w:br w:type="page"/>
      </w:r>
    </w:p>
    <w:p w14:paraId="040B42F3" w14:textId="77777777" w:rsidR="00D14598" w:rsidRDefault="00000000" w:rsidP="00E74AB2">
      <w:pPr>
        <w:pStyle w:val="Heading1"/>
      </w:pPr>
      <w:bookmarkStart w:id="12" w:name="_Toc226492996"/>
      <w:r>
        <w:lastRenderedPageBreak/>
        <w:t>3. Methodology and Analytical Process</w:t>
      </w:r>
      <w:bookmarkEnd w:id="12"/>
    </w:p>
    <w:p w14:paraId="3F1417FA" w14:textId="77777777" w:rsidR="00D14598" w:rsidRDefault="00000000" w:rsidP="00E74AB2">
      <w:pPr>
        <w:pStyle w:val="Heading2"/>
      </w:pPr>
      <w:bookmarkStart w:id="13" w:name="_Toc226492997"/>
      <w:r>
        <w:t>3.1 Data Source</w:t>
      </w:r>
      <w:bookmarkEnd w:id="13"/>
    </w:p>
    <w:p w14:paraId="00E8B867" w14:textId="6E1F5517" w:rsidR="00D14598" w:rsidRDefault="00000000" w:rsidP="00E74AB2">
      <w:pPr>
        <w:spacing w:before="120" w:after="120"/>
      </w:pPr>
      <w:r w:rsidRPr="00875E6E">
        <w:rPr>
          <w:color w:val="000000"/>
        </w:rPr>
        <w:t>This study utilized MIMIC-IV (Medical Information Mart for Intensive Care),</w:t>
      </w:r>
      <w:r>
        <w:rPr>
          <w:color w:val="000000"/>
        </w:rPr>
        <w:t xml:space="preserve"> a publicly available critical care database developed by the MIT Laboratory for Computational Physiology. MIMIC-IV contains de-identified health data from patients admitted to the ICUs of Beth Israel Deaconess Medical Center between 2008 and 2019. Data was accessed and queried using </w:t>
      </w:r>
      <w:proofErr w:type="spellStart"/>
      <w:r>
        <w:rPr>
          <w:color w:val="000000"/>
        </w:rPr>
        <w:t>DuckDB</w:t>
      </w:r>
      <w:proofErr w:type="spellEnd"/>
      <w:r>
        <w:rPr>
          <w:color w:val="000000"/>
        </w:rPr>
        <w:t>, enabling efficient processing without loading the full dataset into memory.</w:t>
      </w:r>
      <w:r w:rsidR="008F71EF" w:rsidRPr="008F71EF">
        <w:rPr>
          <w:rFonts w:ascii="Segoe UI" w:hAnsi="Segoe UI" w:cs="Segoe UI"/>
          <w:color w:val="212529"/>
          <w:shd w:val="clear" w:color="auto" w:fill="FFFFFF"/>
        </w:rPr>
        <w:t xml:space="preserve"> </w:t>
      </w:r>
      <w:r w:rsidR="008F71EF" w:rsidRPr="008F71EF">
        <w:rPr>
          <w:color w:val="000000"/>
        </w:rPr>
        <w:t>MIMIC-IV is grouped into two modules: </w:t>
      </w:r>
      <w:proofErr w:type="spellStart"/>
      <w:r w:rsidR="008F71EF" w:rsidRPr="008F71EF">
        <w:rPr>
          <w:i/>
          <w:iCs/>
          <w:color w:val="000000"/>
        </w:rPr>
        <w:t>hosp</w:t>
      </w:r>
      <w:proofErr w:type="spellEnd"/>
      <w:r w:rsidR="008F71EF" w:rsidRPr="008F71EF">
        <w:rPr>
          <w:color w:val="000000"/>
        </w:rPr>
        <w:t>, and </w:t>
      </w:r>
      <w:proofErr w:type="spellStart"/>
      <w:r w:rsidR="008F71EF" w:rsidRPr="008F71EF">
        <w:rPr>
          <w:i/>
          <w:iCs/>
          <w:color w:val="000000"/>
        </w:rPr>
        <w:t>icu</w:t>
      </w:r>
      <w:proofErr w:type="spellEnd"/>
      <w:r w:rsidR="008F71EF" w:rsidRPr="008F71EF">
        <w:rPr>
          <w:color w:val="000000"/>
        </w:rPr>
        <w:t>. Organization of the data into these modules reflects their provenance: data in the </w:t>
      </w:r>
      <w:proofErr w:type="spellStart"/>
      <w:r w:rsidR="008F71EF" w:rsidRPr="008F71EF">
        <w:rPr>
          <w:i/>
          <w:iCs/>
          <w:color w:val="000000"/>
        </w:rPr>
        <w:t>hosp</w:t>
      </w:r>
      <w:proofErr w:type="spellEnd"/>
      <w:r w:rsidR="008F71EF" w:rsidRPr="008F71EF">
        <w:rPr>
          <w:color w:val="000000"/>
        </w:rPr>
        <w:t> module is sourced from the hospital wide EHR, while data in the</w:t>
      </w:r>
      <w:r w:rsidR="008F71EF" w:rsidRPr="008F71EF">
        <w:rPr>
          <w:i/>
          <w:iCs/>
          <w:color w:val="000000"/>
        </w:rPr>
        <w:t> </w:t>
      </w:r>
      <w:proofErr w:type="spellStart"/>
      <w:r w:rsidR="008F71EF" w:rsidRPr="008F71EF">
        <w:rPr>
          <w:i/>
          <w:iCs/>
          <w:color w:val="000000"/>
        </w:rPr>
        <w:t>icu</w:t>
      </w:r>
      <w:proofErr w:type="spellEnd"/>
      <w:r w:rsidR="008F71EF" w:rsidRPr="008F71EF">
        <w:rPr>
          <w:color w:val="000000"/>
        </w:rPr>
        <w:t> module is sourced from the in-ICU clinical information system (</w:t>
      </w:r>
      <w:proofErr w:type="spellStart"/>
      <w:r w:rsidR="008F71EF" w:rsidRPr="008F71EF">
        <w:rPr>
          <w:color w:val="000000"/>
        </w:rPr>
        <w:t>MetaVision</w:t>
      </w:r>
      <w:proofErr w:type="spellEnd"/>
      <w:r w:rsidR="008F71EF" w:rsidRPr="008F71EF">
        <w:rPr>
          <w:color w:val="000000"/>
        </w:rPr>
        <w:t xml:space="preserve">). A total of 364,627 unique individuals </w:t>
      </w:r>
      <w:proofErr w:type="gramStart"/>
      <w:r w:rsidR="008F71EF" w:rsidRPr="008F71EF">
        <w:rPr>
          <w:color w:val="000000"/>
        </w:rPr>
        <w:t>are</w:t>
      </w:r>
      <w:proofErr w:type="gramEnd"/>
      <w:r w:rsidR="008F71EF" w:rsidRPr="008F71EF">
        <w:rPr>
          <w:color w:val="000000"/>
        </w:rPr>
        <w:t xml:space="preserve"> in MIMIC-IV v3.0, each represented by a unique </w:t>
      </w:r>
      <w:proofErr w:type="spellStart"/>
      <w:r w:rsidR="008F71EF" w:rsidRPr="008F71EF">
        <w:rPr>
          <w:color w:val="000000"/>
        </w:rPr>
        <w:t>subject_id</w:t>
      </w:r>
      <w:proofErr w:type="spellEnd"/>
      <w:r w:rsidR="008F71EF" w:rsidRPr="008F71EF">
        <w:rPr>
          <w:color w:val="000000"/>
        </w:rPr>
        <w:t>. These individuals had 546,028 hospitalizations and 94,458 unique ICU stays.</w:t>
      </w:r>
    </w:p>
    <w:p w14:paraId="7AF6EE14" w14:textId="77777777" w:rsidR="00D14598" w:rsidRDefault="00000000" w:rsidP="00E74AB2">
      <w:pPr>
        <w:pStyle w:val="Heading2"/>
      </w:pPr>
      <w:bookmarkStart w:id="14" w:name="_Toc226492998"/>
      <w:r>
        <w:t>3.2 Data Processing Pipeline</w:t>
      </w:r>
      <w:bookmarkEnd w:id="14"/>
    </w:p>
    <w:p w14:paraId="6E186AFA" w14:textId="2B09469B" w:rsidR="00D14598" w:rsidRDefault="00000000" w:rsidP="00E74AB2">
      <w:pPr>
        <w:spacing w:before="120" w:after="120"/>
        <w:rPr>
          <w:color w:val="000000"/>
        </w:rPr>
      </w:pPr>
      <w:r>
        <w:rPr>
          <w:color w:val="000000"/>
        </w:rPr>
        <w:t xml:space="preserve">Raw MIMIC-IV data underwent a structured multi-step preprocessing pipeline prior to analysis. Structural cleaning involved joining the patients, admissions, and </w:t>
      </w:r>
      <w:proofErr w:type="spellStart"/>
      <w:r>
        <w:rPr>
          <w:color w:val="000000"/>
        </w:rPr>
        <w:t>icustays</w:t>
      </w:r>
      <w:proofErr w:type="spellEnd"/>
      <w:r>
        <w:rPr>
          <w:color w:val="000000"/>
        </w:rPr>
        <w:t xml:space="preserve"> tables on </w:t>
      </w:r>
      <w:proofErr w:type="spellStart"/>
      <w:r>
        <w:rPr>
          <w:color w:val="000000"/>
        </w:rPr>
        <w:t>subject_id</w:t>
      </w:r>
      <w:proofErr w:type="spellEnd"/>
      <w:r>
        <w:rPr>
          <w:color w:val="000000"/>
        </w:rPr>
        <w:t xml:space="preserve"> and </w:t>
      </w:r>
      <w:proofErr w:type="spellStart"/>
      <w:r>
        <w:rPr>
          <w:color w:val="000000"/>
        </w:rPr>
        <w:t>hadm_id</w:t>
      </w:r>
      <w:proofErr w:type="spellEnd"/>
      <w:r>
        <w:rPr>
          <w:color w:val="000000"/>
        </w:rPr>
        <w:t xml:space="preserve"> to construct a unified ICU stay record. Stays with missing or invalid ICU timestamps were excluded to ensure accurate length-of-stay calculations. Prescription data was aggregated at the admission level before joining to the ICU stay table, preventing duplicate record inflation arising from many-to-one </w:t>
      </w:r>
      <w:proofErr w:type="gramStart"/>
      <w:r>
        <w:rPr>
          <w:color w:val="000000"/>
        </w:rPr>
        <w:t>joins</w:t>
      </w:r>
      <w:proofErr w:type="gramEnd"/>
      <w:r>
        <w:rPr>
          <w:color w:val="000000"/>
        </w:rPr>
        <w:t xml:space="preserve">. Laboratory event counts were </w:t>
      </w:r>
      <w:proofErr w:type="spellStart"/>
      <w:r>
        <w:rPr>
          <w:color w:val="000000"/>
        </w:rPr>
        <w:t>winsorized</w:t>
      </w:r>
      <w:proofErr w:type="spellEnd"/>
      <w:r>
        <w:rPr>
          <w:color w:val="000000"/>
        </w:rPr>
        <w:t xml:space="preserve"> at the 99th percentile to reduce the influence of extreme outliers and preserve model stability. ICU unit categories with sparse observations </w:t>
      </w:r>
      <w:proofErr w:type="gramStart"/>
      <w:r>
        <w:rPr>
          <w:color w:val="000000"/>
        </w:rPr>
        <w:t>were collapsed</w:t>
      </w:r>
      <w:proofErr w:type="gramEnd"/>
      <w:r>
        <w:rPr>
          <w:color w:val="000000"/>
        </w:rPr>
        <w:t xml:space="preserve"> into an 'Other' category to avoid unreliable coefficient estimates from low-frequency groups. Finally, three rate-based outcome variables were derived</w:t>
      </w:r>
      <w:r w:rsidR="004041B8">
        <w:rPr>
          <w:color w:val="000000"/>
        </w:rPr>
        <w:t xml:space="preserve"> </w:t>
      </w:r>
      <w:proofErr w:type="spellStart"/>
      <w:r>
        <w:rPr>
          <w:color w:val="000000"/>
        </w:rPr>
        <w:t>rx_per_day</w:t>
      </w:r>
      <w:proofErr w:type="spellEnd"/>
      <w:r>
        <w:rPr>
          <w:color w:val="000000"/>
        </w:rPr>
        <w:t xml:space="preserve">, </w:t>
      </w:r>
      <w:proofErr w:type="spellStart"/>
      <w:r>
        <w:rPr>
          <w:color w:val="000000"/>
        </w:rPr>
        <w:t>labs_per_day</w:t>
      </w:r>
      <w:proofErr w:type="spellEnd"/>
      <w:r>
        <w:rPr>
          <w:color w:val="000000"/>
        </w:rPr>
        <w:t xml:space="preserve">, and </w:t>
      </w:r>
      <w:proofErr w:type="spellStart"/>
      <w:r>
        <w:rPr>
          <w:color w:val="000000"/>
        </w:rPr>
        <w:t>total_events_per_day</w:t>
      </w:r>
      <w:proofErr w:type="spellEnd"/>
      <w:r>
        <w:rPr>
          <w:color w:val="000000"/>
        </w:rPr>
        <w:t xml:space="preserve"> by normalizing raw event counts against length of stay.</w:t>
      </w:r>
    </w:p>
    <w:p w14:paraId="2ADF01AD" w14:textId="77777777" w:rsidR="006C7014" w:rsidRDefault="006C7014" w:rsidP="00E74AB2">
      <w:pPr>
        <w:spacing w:before="120" w:after="120"/>
        <w:rPr>
          <w:color w:val="000000"/>
        </w:rPr>
      </w:pPr>
    </w:p>
    <w:p w14:paraId="44B27167" w14:textId="77777777" w:rsidR="006C7014" w:rsidRDefault="006C7014" w:rsidP="00E74AB2">
      <w:pPr>
        <w:spacing w:before="120" w:after="120"/>
        <w:rPr>
          <w:color w:val="000000"/>
        </w:rPr>
      </w:pPr>
    </w:p>
    <w:p w14:paraId="256A2040" w14:textId="77777777" w:rsidR="006C7014" w:rsidRDefault="006C7014" w:rsidP="00E74AB2">
      <w:pPr>
        <w:spacing w:before="120" w:after="120"/>
        <w:rPr>
          <w:color w:val="000000"/>
        </w:rPr>
      </w:pPr>
    </w:p>
    <w:p w14:paraId="6038794D" w14:textId="77777777" w:rsidR="006C7014" w:rsidRDefault="006C7014" w:rsidP="00E74AB2">
      <w:pPr>
        <w:spacing w:before="120" w:after="120"/>
        <w:rPr>
          <w:color w:val="000000"/>
        </w:rPr>
      </w:pPr>
    </w:p>
    <w:p w14:paraId="1B623BD1" w14:textId="77777777" w:rsidR="006C7014" w:rsidRDefault="006C7014" w:rsidP="00E74AB2">
      <w:pPr>
        <w:spacing w:before="120" w:after="120"/>
        <w:rPr>
          <w:color w:val="000000"/>
        </w:rPr>
      </w:pPr>
    </w:p>
    <w:p w14:paraId="0F3C5170" w14:textId="77777777" w:rsidR="006C7014" w:rsidRDefault="006C7014" w:rsidP="00E74AB2">
      <w:pPr>
        <w:spacing w:before="120" w:after="120"/>
        <w:rPr>
          <w:color w:val="000000"/>
        </w:rPr>
      </w:pPr>
    </w:p>
    <w:p w14:paraId="4065986F" w14:textId="77777777" w:rsidR="006C7014" w:rsidRDefault="006C7014" w:rsidP="00E74AB2">
      <w:pPr>
        <w:spacing w:before="120" w:after="120"/>
        <w:rPr>
          <w:color w:val="000000"/>
        </w:rPr>
      </w:pPr>
    </w:p>
    <w:p w14:paraId="4C561623" w14:textId="77777777" w:rsidR="006C7014" w:rsidRDefault="006C7014" w:rsidP="00E74AB2">
      <w:pPr>
        <w:spacing w:before="120" w:after="120"/>
        <w:rPr>
          <w:color w:val="000000"/>
        </w:rPr>
      </w:pPr>
    </w:p>
    <w:p w14:paraId="0B952F2C" w14:textId="77777777" w:rsidR="006C7014" w:rsidRDefault="006C7014" w:rsidP="00E74AB2">
      <w:pPr>
        <w:spacing w:before="120" w:after="120"/>
        <w:rPr>
          <w:color w:val="000000"/>
        </w:rPr>
      </w:pPr>
    </w:p>
    <w:p w14:paraId="194BBB3C" w14:textId="77777777" w:rsidR="006C7014" w:rsidRDefault="006C7014" w:rsidP="00E74AB2">
      <w:pPr>
        <w:spacing w:before="120" w:after="120"/>
        <w:rPr>
          <w:color w:val="000000"/>
        </w:rPr>
      </w:pPr>
    </w:p>
    <w:p w14:paraId="75CBE333" w14:textId="77777777" w:rsidR="006C7014" w:rsidRDefault="006C7014" w:rsidP="00E74AB2">
      <w:pPr>
        <w:spacing w:before="120" w:after="120"/>
        <w:rPr>
          <w:color w:val="000000"/>
        </w:rPr>
      </w:pPr>
    </w:p>
    <w:p w14:paraId="6347DFB2" w14:textId="77777777" w:rsidR="006C7014" w:rsidRDefault="006C7014" w:rsidP="00E74AB2">
      <w:pPr>
        <w:spacing w:before="120" w:after="120"/>
        <w:rPr>
          <w:color w:val="000000"/>
        </w:rPr>
      </w:pPr>
    </w:p>
    <w:p w14:paraId="00B58857" w14:textId="33D3EDE0" w:rsidR="00A91DFD" w:rsidRDefault="00A91DFD" w:rsidP="00E74AB2">
      <w:pPr>
        <w:pStyle w:val="Heading2"/>
      </w:pPr>
      <w:r>
        <w:lastRenderedPageBreak/>
        <w:t xml:space="preserve">3.2 Data Processing </w:t>
      </w:r>
      <w:r>
        <w:t>Flowchart</w:t>
      </w:r>
    </w:p>
    <w:p w14:paraId="378B8C0E" w14:textId="06A0E501" w:rsidR="00D5454F" w:rsidRDefault="004A51BE" w:rsidP="00E74AB2">
      <w:pPr>
        <w:pStyle w:val="Heading4"/>
      </w:pPr>
      <w:r>
        <w:t>Figure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85616" w14:paraId="40ED91B6" w14:textId="77777777" w:rsidTr="006C7014">
        <w:tc>
          <w:tcPr>
            <w:tcW w:w="9350" w:type="dxa"/>
          </w:tcPr>
          <w:p w14:paraId="4FA67BF0" w14:textId="58FE8E66" w:rsidR="00085616" w:rsidRDefault="00085616" w:rsidP="00E74AB2">
            <w:r w:rsidRPr="00085616">
              <w:rPr>
                <w:noProof/>
              </w:rPr>
              <w:drawing>
                <wp:inline distT="0" distB="0" distL="0" distR="0" wp14:anchorId="38A9B6DF" wp14:editId="3ABE8FAC">
                  <wp:extent cx="5049520" cy="5843960"/>
                  <wp:effectExtent l="0" t="0" r="0" b="0"/>
                  <wp:docPr id="19896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4368" name=""/>
                          <pic:cNvPicPr/>
                        </pic:nvPicPr>
                        <pic:blipFill>
                          <a:blip r:embed="rId9"/>
                          <a:stretch>
                            <a:fillRect/>
                          </a:stretch>
                        </pic:blipFill>
                        <pic:spPr>
                          <a:xfrm>
                            <a:off x="0" y="0"/>
                            <a:ext cx="5177957" cy="5992603"/>
                          </a:xfrm>
                          <a:prstGeom prst="rect">
                            <a:avLst/>
                          </a:prstGeom>
                        </pic:spPr>
                      </pic:pic>
                    </a:graphicData>
                  </a:graphic>
                </wp:inline>
              </w:drawing>
            </w:r>
          </w:p>
        </w:tc>
      </w:tr>
    </w:tbl>
    <w:p w14:paraId="217A5FC6" w14:textId="77777777" w:rsidR="004A51BE" w:rsidRDefault="004A51BE" w:rsidP="00E74AB2">
      <w:pPr>
        <w:pBdr>
          <w:bottom w:val="dashed" w:sz="4" w:space="0" w:color="CCCCCC"/>
        </w:pBdr>
        <w:spacing w:before="120" w:after="120"/>
        <w:rPr>
          <w:color w:val="000000"/>
          <w:sz w:val="22"/>
          <w:szCs w:val="22"/>
        </w:rPr>
      </w:pPr>
    </w:p>
    <w:p w14:paraId="48E05E47" w14:textId="77777777" w:rsidR="004A51BE" w:rsidRDefault="004A51BE" w:rsidP="00E74AB2">
      <w:pPr>
        <w:pBdr>
          <w:bottom w:val="dashed" w:sz="4" w:space="0" w:color="CCCCCC"/>
        </w:pBdr>
        <w:spacing w:before="120" w:after="120"/>
        <w:rPr>
          <w:color w:val="000000"/>
          <w:sz w:val="22"/>
          <w:szCs w:val="22"/>
        </w:rPr>
      </w:pPr>
    </w:p>
    <w:p w14:paraId="39CCEBFC" w14:textId="10CEA5C1" w:rsidR="00D14598" w:rsidRDefault="004A51BE" w:rsidP="00E74AB2">
      <w:pPr>
        <w:pBdr>
          <w:bottom w:val="dashed" w:sz="4" w:space="0" w:color="CCCCCC"/>
        </w:pBdr>
        <w:spacing w:before="120" w:after="120"/>
      </w:pPr>
      <w:r>
        <w:rPr>
          <w:color w:val="000000"/>
          <w:sz w:val="22"/>
          <w:szCs w:val="22"/>
        </w:rPr>
        <w:t xml:space="preserve">Note: </w:t>
      </w:r>
      <w:r w:rsidR="002D1AE8">
        <w:rPr>
          <w:color w:val="000000"/>
          <w:sz w:val="22"/>
          <w:szCs w:val="22"/>
        </w:rPr>
        <w:t xml:space="preserve">Data processing pipeline for MIMIC-IV ICU stay data. Raw data was accessed efficiently through </w:t>
      </w:r>
      <w:proofErr w:type="spellStart"/>
      <w:r w:rsidR="002D1AE8">
        <w:rPr>
          <w:color w:val="000000"/>
          <w:sz w:val="22"/>
          <w:szCs w:val="22"/>
        </w:rPr>
        <w:t>DuckDB</w:t>
      </w:r>
      <w:proofErr w:type="spellEnd"/>
      <w:r w:rsidR="002D1AE8">
        <w:rPr>
          <w:color w:val="000000"/>
          <w:sz w:val="22"/>
          <w:szCs w:val="22"/>
        </w:rPr>
        <w:t xml:space="preserve"> to avoid loading the entire dataset into memory. Steps include structural cleaning with table joins, removing stays with invalid timestamps, aggregating prescription data prior to joining to prevent count inflation, </w:t>
      </w:r>
      <w:proofErr w:type="spellStart"/>
      <w:r w:rsidR="002D1AE8">
        <w:rPr>
          <w:color w:val="000000"/>
          <w:sz w:val="22"/>
          <w:szCs w:val="22"/>
        </w:rPr>
        <w:t>winsorizing</w:t>
      </w:r>
      <w:proofErr w:type="spellEnd"/>
      <w:r w:rsidR="002D1AE8">
        <w:rPr>
          <w:color w:val="000000"/>
          <w:sz w:val="22"/>
          <w:szCs w:val="22"/>
        </w:rPr>
        <w:t xml:space="preserve"> lab </w:t>
      </w:r>
      <w:proofErr w:type="gramStart"/>
      <w:r w:rsidR="002D1AE8">
        <w:rPr>
          <w:color w:val="000000"/>
          <w:sz w:val="22"/>
          <w:szCs w:val="22"/>
        </w:rPr>
        <w:t>event</w:t>
      </w:r>
      <w:proofErr w:type="gramEnd"/>
      <w:r w:rsidR="002D1AE8">
        <w:rPr>
          <w:color w:val="000000"/>
          <w:sz w:val="22"/>
          <w:szCs w:val="22"/>
        </w:rPr>
        <w:t xml:space="preserve"> counts at the 99th percentile to minimize outlier effects, collapsing sparse ICU unit categories to enable stable model estimation, and deriving per-day event rate features normalized by length of stay. The resulting dataset was used as input for negative binomial regression analysis.</w:t>
      </w:r>
    </w:p>
    <w:p w14:paraId="094DACCD" w14:textId="77777777" w:rsidR="004A51BE" w:rsidRDefault="004A51BE" w:rsidP="00E74AB2">
      <w:pPr>
        <w:pBdr>
          <w:bottom w:val="dashed" w:sz="4" w:space="0" w:color="CCCCCC"/>
        </w:pBdr>
        <w:tabs>
          <w:tab w:val="left" w:pos="7187"/>
        </w:tabs>
        <w:spacing w:before="120" w:after="120"/>
        <w:rPr>
          <w:color w:val="000000"/>
          <w:sz w:val="22"/>
          <w:szCs w:val="22"/>
        </w:rPr>
      </w:pPr>
      <w:bookmarkStart w:id="15" w:name="_Toc226492999"/>
    </w:p>
    <w:p w14:paraId="64F6B0C7" w14:textId="77777777" w:rsidR="004A51BE" w:rsidRDefault="004A51BE" w:rsidP="00E74AB2">
      <w:pPr>
        <w:pBdr>
          <w:bottom w:val="dashed" w:sz="4" w:space="0" w:color="CCCCCC"/>
        </w:pBdr>
        <w:tabs>
          <w:tab w:val="left" w:pos="7187"/>
        </w:tabs>
        <w:spacing w:before="120" w:after="120"/>
        <w:rPr>
          <w:color w:val="000000"/>
          <w:sz w:val="22"/>
          <w:szCs w:val="22"/>
        </w:rPr>
      </w:pPr>
    </w:p>
    <w:p w14:paraId="0586036F" w14:textId="03EAE242" w:rsidR="00D14598" w:rsidRDefault="00000000" w:rsidP="00E74AB2">
      <w:pPr>
        <w:pBdr>
          <w:bottom w:val="dashed" w:sz="4" w:space="0" w:color="CCCCCC"/>
        </w:pBdr>
        <w:tabs>
          <w:tab w:val="left" w:pos="7187"/>
        </w:tabs>
        <w:spacing w:before="120" w:after="120"/>
        <w:rPr>
          <w:b/>
          <w:bCs/>
          <w:color w:val="2E75B6"/>
          <w:sz w:val="26"/>
          <w:szCs w:val="26"/>
        </w:rPr>
      </w:pPr>
      <w:r>
        <w:rPr>
          <w:b/>
          <w:bCs/>
          <w:color w:val="2E75B6"/>
          <w:sz w:val="26"/>
          <w:szCs w:val="26"/>
        </w:rPr>
        <w:t>3.3 Variables</w:t>
      </w:r>
      <w:bookmarkEnd w:id="15"/>
    </w:p>
    <w:p w14:paraId="3A015076" w14:textId="3EA59E7D" w:rsidR="00E634CD" w:rsidRDefault="002D1AE8" w:rsidP="00E74AB2">
      <w:pPr>
        <w:pBdr>
          <w:bottom w:val="dashed" w:sz="4" w:space="0" w:color="CCCCCC"/>
        </w:pBdr>
        <w:tabs>
          <w:tab w:val="left" w:pos="7187"/>
        </w:tabs>
        <w:spacing w:before="120" w:after="120"/>
      </w:pPr>
      <w:r>
        <w:t>This study uses 25 variables from the MIMIC-IV database, including patient demographics, ICU unit assignment, timestamps, event counts, and rate-based outcomes. I have grouped these variables into four categories to clarify their roles in the analysis: outcome variables, predictor variables, the model offset, and scenario variables for sensitivity checks. Table 1 lists all variables, while Tables 2 and 3 focus on outcomes and predictors.</w:t>
      </w:r>
    </w:p>
    <w:p w14:paraId="4D1E1F2C" w14:textId="77777777" w:rsidR="00E634CD" w:rsidRDefault="00E634CD" w:rsidP="00E74AB2">
      <w:pPr>
        <w:pBdr>
          <w:bottom w:val="dashed" w:sz="4" w:space="0" w:color="CCCCCC"/>
        </w:pBdr>
        <w:tabs>
          <w:tab w:val="left" w:pos="7187"/>
        </w:tabs>
        <w:spacing w:before="120" w:after="120"/>
      </w:pPr>
    </w:p>
    <w:p w14:paraId="5C102BCF" w14:textId="25DA126B" w:rsidR="00B07184" w:rsidRDefault="00B07184" w:rsidP="00E74AB2">
      <w:pPr>
        <w:pBdr>
          <w:bottom w:val="dashed" w:sz="4" w:space="0" w:color="CCCCCC"/>
        </w:pBdr>
        <w:tabs>
          <w:tab w:val="left" w:pos="7187"/>
        </w:tabs>
        <w:spacing w:before="120" w:after="120"/>
      </w:pPr>
      <w:r>
        <w:rPr>
          <w:b/>
          <w:bCs/>
          <w:color w:val="2E75B6"/>
          <w:sz w:val="26"/>
          <w:szCs w:val="26"/>
        </w:rPr>
        <w:t>3.3.1 Outcome Variables</w:t>
      </w:r>
    </w:p>
    <w:p w14:paraId="46CCC2E1" w14:textId="1CB31EE1" w:rsidR="00E634CD" w:rsidRDefault="002D1AE8" w:rsidP="00E74AB2">
      <w:pPr>
        <w:pBdr>
          <w:bottom w:val="dashed" w:sz="4" w:space="0" w:color="CCCCCC"/>
        </w:pBdr>
        <w:tabs>
          <w:tab w:val="left" w:pos="7187"/>
        </w:tabs>
        <w:spacing w:before="120" w:after="120"/>
      </w:pPr>
      <w:r>
        <w:t xml:space="preserve">For all negative binomial regression models, I used three rate-based outcome variables as the dependent measures. Expressing outcomes as events per </w:t>
      </w:r>
      <w:proofErr w:type="gramStart"/>
      <w:r>
        <w:t>ICU day</w:t>
      </w:r>
      <w:proofErr w:type="gramEnd"/>
      <w:r>
        <w:t xml:space="preserve">, rather than raw counts, allows for fair comparison across stays of different lengths. I calculated these rates by dividing event counts by </w:t>
      </w:r>
      <w:proofErr w:type="spellStart"/>
      <w:r>
        <w:t>icu_los_days</w:t>
      </w:r>
      <w:proofErr w:type="spellEnd"/>
      <w:r>
        <w:t>. To further normalize for length of stay, I included a log-transformed offset in every model (see Section 3.3.3).</w:t>
      </w:r>
    </w:p>
    <w:p w14:paraId="63AEE8A7" w14:textId="77777777" w:rsidR="00E634CD" w:rsidRDefault="00E634CD" w:rsidP="00E74AB2">
      <w:pPr>
        <w:pBdr>
          <w:bottom w:val="dashed" w:sz="4" w:space="0" w:color="CCCCCC"/>
        </w:pBdr>
        <w:tabs>
          <w:tab w:val="left" w:pos="7187"/>
        </w:tabs>
        <w:spacing w:before="120" w:after="120"/>
        <w:rPr>
          <w:b/>
          <w:bCs/>
        </w:rPr>
      </w:pPr>
    </w:p>
    <w:p w14:paraId="270D89ED" w14:textId="48203AB7" w:rsidR="00EB50E8" w:rsidRDefault="00EB50E8" w:rsidP="00E74AB2">
      <w:pPr>
        <w:pBdr>
          <w:bottom w:val="dashed" w:sz="4" w:space="0" w:color="CCCCCC"/>
        </w:pBdr>
        <w:tabs>
          <w:tab w:val="left" w:pos="7187"/>
          <w:tab w:val="right" w:pos="9360"/>
        </w:tabs>
        <w:spacing w:before="120" w:after="120"/>
      </w:pPr>
      <w:r>
        <w:rPr>
          <w:b/>
          <w:bCs/>
          <w:color w:val="000000"/>
          <w:sz w:val="22"/>
          <w:szCs w:val="22"/>
        </w:rPr>
        <w:t>Table 2. Outcome variables used in negative binomial regression models.</w:t>
      </w:r>
      <w:r w:rsidR="00E634CD">
        <w:rPr>
          <w:b/>
          <w:bCs/>
          <w:color w:val="000000"/>
          <w:sz w:val="22"/>
          <w:szCs w:val="22"/>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341"/>
        <w:gridCol w:w="2436"/>
        <w:gridCol w:w="2429"/>
      </w:tblGrid>
      <w:tr w:rsidR="00EB50E8" w14:paraId="365F9D39"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711D2B" w14:textId="77777777" w:rsidR="00EB50E8" w:rsidRDefault="00EB50E8" w:rsidP="00E74AB2">
            <w:r>
              <w:rPr>
                <w:b/>
                <w:bCs/>
                <w:color w:val="FFFFFF"/>
                <w:sz w:val="22"/>
                <w:szCs w:val="22"/>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78CCD2" w14:textId="77777777" w:rsidR="00EB50E8" w:rsidRDefault="00EB50E8" w:rsidP="00E74AB2">
            <w:r>
              <w:rPr>
                <w:b/>
                <w:bCs/>
                <w:color w:val="FFFFFF"/>
                <w:sz w:val="22"/>
                <w:szCs w:val="22"/>
              </w:rPr>
              <w:t>Type</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5651BB" w14:textId="77777777" w:rsidR="00EB50E8" w:rsidRDefault="00EB50E8" w:rsidP="00E74AB2">
            <w:r>
              <w:rPr>
                <w:b/>
                <w:bCs/>
                <w:color w:val="FFFFFF"/>
                <w:sz w:val="22"/>
                <w:szCs w:val="22"/>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8A4AAD" w14:textId="77777777" w:rsidR="00EB50E8" w:rsidRDefault="00EB50E8" w:rsidP="00E74AB2">
            <w:r>
              <w:rPr>
                <w:b/>
                <w:bCs/>
                <w:color w:val="FFFFFF"/>
                <w:sz w:val="22"/>
                <w:szCs w:val="22"/>
              </w:rPr>
              <w:t>Description</w:t>
            </w:r>
          </w:p>
        </w:tc>
      </w:tr>
      <w:tr w:rsidR="00EB50E8" w14:paraId="064E6369"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F6D66" w14:textId="77777777" w:rsidR="00EB50E8" w:rsidRDefault="00EB50E8" w:rsidP="00E74AB2">
            <w:proofErr w:type="spellStart"/>
            <w:r>
              <w:rPr>
                <w:color w:val="000000"/>
                <w:sz w:val="20"/>
                <w:szCs w:val="20"/>
              </w:rPr>
              <w:t>rx_per_day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4A5CB"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91803" w14:textId="77777777" w:rsidR="00EB50E8" w:rsidRDefault="00EB50E8" w:rsidP="00E74AB2">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B1EED" w14:textId="77777777" w:rsidR="00EB50E8" w:rsidRDefault="00EB50E8" w:rsidP="00E74AB2">
            <w:r>
              <w:rPr>
                <w:color w:val="000000"/>
                <w:sz w:val="20"/>
                <w:szCs w:val="20"/>
              </w:rPr>
              <w:t xml:space="preserve">Medication orders per </w:t>
            </w:r>
            <w:proofErr w:type="gramStart"/>
            <w:r>
              <w:rPr>
                <w:color w:val="000000"/>
                <w:sz w:val="20"/>
                <w:szCs w:val="20"/>
              </w:rPr>
              <w:t>ICU day</w:t>
            </w:r>
            <w:proofErr w:type="gramEnd"/>
            <w:r>
              <w:rPr>
                <w:color w:val="000000"/>
                <w:sz w:val="20"/>
                <w:szCs w:val="20"/>
              </w:rPr>
              <w:t>; captures prescribing intensity normalized for stay duration</w:t>
            </w:r>
          </w:p>
        </w:tc>
      </w:tr>
      <w:tr w:rsidR="00EB50E8" w14:paraId="193BB64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8699F" w14:textId="77777777" w:rsidR="00EB50E8" w:rsidRDefault="00EB50E8" w:rsidP="00E74AB2">
            <w:proofErr w:type="spellStart"/>
            <w:r>
              <w:rPr>
                <w:color w:val="000000"/>
                <w:sz w:val="20"/>
                <w:szCs w:val="20"/>
              </w:rPr>
              <w:t>labs_per_day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08AE42"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120E57" w14:textId="77777777" w:rsidR="00EB50E8" w:rsidRDefault="00EB50E8" w:rsidP="00E74AB2">
            <w:proofErr w:type="spellStart"/>
            <w:r>
              <w:rPr>
                <w:color w:val="000000"/>
                <w:sz w:val="20"/>
                <w:szCs w:val="20"/>
              </w:rPr>
              <w:t>n_lab_events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CFCD2" w14:textId="77777777" w:rsidR="00EB50E8" w:rsidRDefault="00EB50E8" w:rsidP="00E74AB2">
            <w:r>
              <w:rPr>
                <w:color w:val="000000"/>
                <w:sz w:val="20"/>
                <w:szCs w:val="20"/>
              </w:rPr>
              <w:t xml:space="preserve">Laboratory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winsorized</w:t>
            </w:r>
            <w:proofErr w:type="spellEnd"/>
            <w:r>
              <w:rPr>
                <w:color w:val="000000"/>
                <w:sz w:val="20"/>
                <w:szCs w:val="20"/>
              </w:rPr>
              <w:t xml:space="preserve"> at 99th percentile (cap = 3,086 events)</w:t>
            </w:r>
          </w:p>
        </w:tc>
      </w:tr>
      <w:tr w:rsidR="00EB50E8" w14:paraId="17D3CB5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2E77" w14:textId="77777777" w:rsidR="00EB50E8" w:rsidRDefault="00EB50E8" w:rsidP="00E74AB2">
            <w:proofErr w:type="spellStart"/>
            <w:r>
              <w:rPr>
                <w:color w:val="000000"/>
                <w:sz w:val="20"/>
                <w:szCs w:val="20"/>
              </w:rPr>
              <w:t>total_events_per_day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F43F4" w14:textId="77777777" w:rsidR="00EB50E8" w:rsidRDefault="00EB50E8" w:rsidP="00E74AB2">
            <w:r>
              <w:rPr>
                <w:color w:val="000000"/>
                <w:sz w:val="20"/>
                <w:szCs w:val="2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EAE5F" w14:textId="77777777" w:rsidR="00EB50E8" w:rsidRDefault="00EB50E8" w:rsidP="00E74AB2">
            <w:proofErr w:type="spellStart"/>
            <w:r>
              <w:rPr>
                <w:color w:val="000000"/>
                <w:sz w:val="20"/>
                <w:szCs w:val="20"/>
              </w:rPr>
              <w:t>total_events</w:t>
            </w:r>
            <w:proofErr w:type="spellEnd"/>
            <w:r>
              <w:rPr>
                <w:color w:val="000000"/>
                <w:sz w:val="20"/>
                <w:szCs w:val="20"/>
              </w:rPr>
              <w:t xml:space="preserve"> / </w:t>
            </w:r>
            <w:proofErr w:type="spellStart"/>
            <w:r>
              <w:rPr>
                <w:color w:val="000000"/>
                <w:sz w:val="20"/>
                <w:szCs w:val="2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45E55" w14:textId="77777777" w:rsidR="00EB50E8" w:rsidRDefault="00EB50E8" w:rsidP="00E74AB2">
            <w:r>
              <w:rPr>
                <w:color w:val="000000"/>
                <w:sz w:val="20"/>
                <w:szCs w:val="20"/>
              </w:rPr>
              <w:t xml:space="preserve">Primary outcome; sum of Rx orders and lab events per </w:t>
            </w:r>
            <w:proofErr w:type="gramStart"/>
            <w:r>
              <w:rPr>
                <w:color w:val="000000"/>
                <w:sz w:val="20"/>
                <w:szCs w:val="20"/>
              </w:rPr>
              <w:t>ICU day</w:t>
            </w:r>
            <w:proofErr w:type="gramEnd"/>
            <w:r>
              <w:rPr>
                <w:color w:val="000000"/>
                <w:sz w:val="20"/>
                <w:szCs w:val="20"/>
              </w:rPr>
              <w:t>; median = 126.9</w:t>
            </w:r>
          </w:p>
        </w:tc>
      </w:tr>
    </w:tbl>
    <w:p w14:paraId="332C3773" w14:textId="77777777" w:rsidR="00EB50E8" w:rsidRDefault="00EB50E8" w:rsidP="00E74AB2">
      <w:pPr>
        <w:spacing w:before="80" w:after="80"/>
      </w:pPr>
    </w:p>
    <w:p w14:paraId="64542170" w14:textId="002CC916" w:rsidR="00EB50E8" w:rsidRDefault="002D1AE8" w:rsidP="00E74AB2">
      <w:pPr>
        <w:spacing w:before="100" w:after="100"/>
      </w:pPr>
      <w:r>
        <w:rPr>
          <w:color w:val="000000"/>
          <w:sz w:val="22"/>
          <w:szCs w:val="22"/>
        </w:rPr>
        <w:t xml:space="preserve">The main outcome is </w:t>
      </w:r>
      <w:proofErr w:type="spellStart"/>
      <w:r>
        <w:rPr>
          <w:color w:val="000000"/>
          <w:sz w:val="22"/>
          <w:szCs w:val="22"/>
        </w:rPr>
        <w:t>total_events_per_day</w:t>
      </w:r>
      <w:proofErr w:type="spellEnd"/>
      <w:r>
        <w:rPr>
          <w:color w:val="000000"/>
          <w:sz w:val="22"/>
          <w:szCs w:val="22"/>
        </w:rPr>
        <w:t xml:space="preserve">, which measures the overall CDS-triggering burden per </w:t>
      </w:r>
      <w:proofErr w:type="gramStart"/>
      <w:r>
        <w:rPr>
          <w:color w:val="000000"/>
          <w:sz w:val="22"/>
          <w:szCs w:val="22"/>
        </w:rPr>
        <w:t>ICU day</w:t>
      </w:r>
      <w:proofErr w:type="gramEnd"/>
      <w:r>
        <w:rPr>
          <w:color w:val="000000"/>
          <w:sz w:val="22"/>
          <w:szCs w:val="22"/>
        </w:rPr>
        <w:t xml:space="preserve">, combining medication orders and laboratory measurements. I also modeled </w:t>
      </w:r>
      <w:proofErr w:type="spellStart"/>
      <w:r>
        <w:rPr>
          <w:color w:val="000000"/>
          <w:sz w:val="22"/>
          <w:szCs w:val="22"/>
        </w:rPr>
        <w:t>rx_per_day</w:t>
      </w:r>
      <w:proofErr w:type="spellEnd"/>
      <w:r>
        <w:rPr>
          <w:color w:val="000000"/>
          <w:sz w:val="22"/>
          <w:szCs w:val="22"/>
        </w:rPr>
        <w:t xml:space="preserve"> and </w:t>
      </w:r>
      <w:proofErr w:type="spellStart"/>
      <w:r>
        <w:rPr>
          <w:color w:val="000000"/>
          <w:sz w:val="22"/>
          <w:szCs w:val="22"/>
        </w:rPr>
        <w:t>labs_per_day</w:t>
      </w:r>
      <w:proofErr w:type="spellEnd"/>
      <w:r>
        <w:rPr>
          <w:color w:val="000000"/>
          <w:sz w:val="22"/>
          <w:szCs w:val="22"/>
        </w:rPr>
        <w:t xml:space="preserve"> separately to see if predictors influence prescribing and laboratory activity differently. All three outcomes exhibited significant overdispersion, with variance exceeding the mean, confirming that negative binomial regression is more appropriate than Poisson models.</w:t>
      </w:r>
    </w:p>
    <w:p w14:paraId="1B36AF1E" w14:textId="77777777" w:rsidR="00EB50E8" w:rsidRDefault="00EB50E8" w:rsidP="00E74AB2">
      <w:pPr>
        <w:pStyle w:val="Heading2"/>
      </w:pPr>
      <w:bookmarkStart w:id="16" w:name="_Toc226493000"/>
      <w:r>
        <w:t>3.3.2 Predictor Variables</w:t>
      </w:r>
    </w:p>
    <w:p w14:paraId="023BB242" w14:textId="60EE314A" w:rsidR="00E634CD" w:rsidRPr="00E634CD" w:rsidRDefault="00E634CD" w:rsidP="00E74AB2">
      <w:pPr>
        <w:spacing w:before="80" w:after="80"/>
      </w:pPr>
      <w:r w:rsidRPr="00E634CD">
        <w:t>All regression models use three predictors: ICU unit type (</w:t>
      </w:r>
      <w:proofErr w:type="spellStart"/>
      <w:r w:rsidRPr="00E634CD">
        <w:t>first_careunit</w:t>
      </w:r>
      <w:proofErr w:type="spellEnd"/>
      <w:r w:rsidRPr="00E634CD">
        <w:t>), patient age (</w:t>
      </w:r>
      <w:proofErr w:type="spellStart"/>
      <w:r w:rsidRPr="00E634CD">
        <w:t>anchor_age</w:t>
      </w:r>
      <w:proofErr w:type="spellEnd"/>
      <w:r w:rsidRPr="00E634CD">
        <w:t xml:space="preserve">), and sex (gender). ICU unit type is the focus, since </w:t>
      </w:r>
      <w:r>
        <w:t xml:space="preserve">the expectation is that </w:t>
      </w:r>
      <w:r w:rsidRPr="00E634CD">
        <w:lastRenderedPageBreak/>
        <w:t xml:space="preserve">clinical activity burden </w:t>
      </w:r>
      <w:r>
        <w:t>differs</w:t>
      </w:r>
      <w:r w:rsidRPr="00E634CD">
        <w:t xml:space="preserve"> across care settings. Age and sex are included to account for basic demographic differences that could affect clinical intensity. Table 3 lists these variables and the reference categories for each categorical predictor.</w:t>
      </w:r>
    </w:p>
    <w:p w14:paraId="4C2AE292" w14:textId="77777777" w:rsidR="00EB50E8" w:rsidRDefault="00EB50E8" w:rsidP="00E74AB2">
      <w:pPr>
        <w:spacing w:before="80" w:after="80"/>
      </w:pPr>
    </w:p>
    <w:p w14:paraId="2442E8BC" w14:textId="77777777" w:rsidR="00EB50E8" w:rsidRDefault="00EB50E8" w:rsidP="00E74AB2">
      <w:pPr>
        <w:spacing w:before="200" w:after="80"/>
      </w:pPr>
      <w:r>
        <w:rPr>
          <w:b/>
          <w:bCs/>
          <w:color w:val="000000"/>
          <w:sz w:val="22"/>
          <w:szCs w:val="22"/>
        </w:rPr>
        <w:t>Table 3. Predictor variables and model offset included in regression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560"/>
        <w:gridCol w:w="3400"/>
      </w:tblGrid>
      <w:tr w:rsidR="00EB50E8" w14:paraId="47598783"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E74B24" w14:textId="77777777" w:rsidR="00EB50E8" w:rsidRDefault="00EB50E8" w:rsidP="00E74AB2">
            <w:r>
              <w:rPr>
                <w:b/>
                <w:bCs/>
                <w:color w:val="FFFFFF"/>
                <w:sz w:val="22"/>
                <w:szCs w:val="22"/>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3A6B90" w14:textId="77777777" w:rsidR="00EB50E8" w:rsidRDefault="00EB50E8" w:rsidP="00E74AB2">
            <w:r>
              <w:rPr>
                <w:b/>
                <w:bCs/>
                <w:color w:val="FFFFFF"/>
                <w:sz w:val="22"/>
                <w:szCs w:val="22"/>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3D31BB" w14:textId="77777777" w:rsidR="00EB50E8" w:rsidRDefault="00EB50E8" w:rsidP="00E74AB2">
            <w:r>
              <w:rPr>
                <w:b/>
                <w:bCs/>
                <w:color w:val="FFFFFF"/>
                <w:sz w:val="22"/>
                <w:szCs w:val="22"/>
              </w:rPr>
              <w:t>Reference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A9922D" w14:textId="77777777" w:rsidR="00EB50E8" w:rsidRDefault="00EB50E8" w:rsidP="00E74AB2">
            <w:r>
              <w:rPr>
                <w:b/>
                <w:bCs/>
                <w:color w:val="FFFFFF"/>
                <w:sz w:val="22"/>
                <w:szCs w:val="22"/>
              </w:rPr>
              <w:t>Rationale for inclusion</w:t>
            </w:r>
          </w:p>
        </w:tc>
      </w:tr>
      <w:tr w:rsidR="00EB50E8" w14:paraId="7CDD50BF"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08B26" w14:textId="77777777" w:rsidR="00EB50E8" w:rsidRDefault="00EB50E8" w:rsidP="00E74AB2">
            <w:proofErr w:type="spellStart"/>
            <w:r>
              <w:rPr>
                <w:color w:val="000000"/>
                <w:sz w:val="20"/>
                <w:szCs w:val="20"/>
              </w:rPr>
              <w:t>anchor_age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7137D" w14:textId="77777777" w:rsidR="00EB50E8" w:rsidRDefault="00EB50E8" w:rsidP="00E74AB2">
            <w:r>
              <w:rPr>
                <w:color w:val="000000"/>
                <w:sz w:val="20"/>
                <w:szCs w:val="20"/>
              </w:rPr>
              <w:t>Continuous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35E5B" w14:textId="77777777" w:rsidR="00EB50E8" w:rsidRDefault="00EB50E8" w:rsidP="00E74AB2">
            <w:r>
              <w:rPr>
                <w:color w:val="000000"/>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78887" w14:textId="77777777" w:rsidR="00EB50E8" w:rsidRDefault="00EB50E8" w:rsidP="00E74AB2">
            <w:r>
              <w:rPr>
                <w:color w:val="000000"/>
                <w:sz w:val="20"/>
                <w:szCs w:val="20"/>
              </w:rPr>
              <w:t xml:space="preserve">Patient age in years; </w:t>
            </w:r>
            <w:proofErr w:type="gramStart"/>
            <w:r>
              <w:rPr>
                <w:color w:val="000000"/>
                <w:sz w:val="20"/>
                <w:szCs w:val="20"/>
              </w:rPr>
              <w:t>included to</w:t>
            </w:r>
            <w:proofErr w:type="gramEnd"/>
            <w:r>
              <w:rPr>
                <w:color w:val="000000"/>
                <w:sz w:val="20"/>
                <w:szCs w:val="20"/>
              </w:rPr>
              <w:t xml:space="preserve"> control for age-related differences in clinical intensity</w:t>
            </w:r>
          </w:p>
        </w:tc>
      </w:tr>
      <w:tr w:rsidR="00EB50E8" w14:paraId="51BEEA8A"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6FA7F2" w14:textId="77777777" w:rsidR="00EB50E8" w:rsidRDefault="00EB50E8" w:rsidP="00E74AB2">
            <w:r>
              <w:rPr>
                <w:color w:val="000000"/>
                <w:sz w:val="20"/>
                <w:szCs w:val="20"/>
              </w:rPr>
              <w:t>gender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8AD2CB" w14:textId="77777777" w:rsidR="00EB50E8" w:rsidRDefault="00EB50E8" w:rsidP="00E74AB2">
            <w:r>
              <w:rPr>
                <w:color w:val="000000"/>
                <w:sz w:val="20"/>
                <w:szCs w:val="2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C59475" w14:textId="213B3D8A" w:rsidR="00EB50E8" w:rsidRDefault="00EB50E8" w:rsidP="00E74AB2">
            <w:r>
              <w:rPr>
                <w:color w:val="000000"/>
                <w:sz w:val="20"/>
                <w:szCs w:val="20"/>
              </w:rPr>
              <w:t>Male</w:t>
            </w:r>
            <w:r w:rsidR="00DC3FB8">
              <w:rPr>
                <w:color w:val="000000"/>
                <w:sz w:val="20"/>
                <w:szCs w:val="20"/>
              </w:rPr>
              <w:t xml:space="preserve">/ Female </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DD16C3" w14:textId="77777777" w:rsidR="00EB50E8" w:rsidRDefault="00EB50E8" w:rsidP="00E74AB2">
            <w:r>
              <w:rPr>
                <w:color w:val="000000"/>
                <w:sz w:val="20"/>
                <w:szCs w:val="20"/>
              </w:rPr>
              <w:t>Patient sex; included to examine gender differences in clinical activity burden</w:t>
            </w:r>
          </w:p>
        </w:tc>
      </w:tr>
      <w:tr w:rsidR="00EB50E8" w14:paraId="6C6F26B6"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896B6" w14:textId="77777777" w:rsidR="00EB50E8" w:rsidRDefault="00EB50E8" w:rsidP="00E74AB2">
            <w:proofErr w:type="spellStart"/>
            <w:r>
              <w:rPr>
                <w:color w:val="000000"/>
                <w:sz w:val="20"/>
                <w:szCs w:val="20"/>
              </w:rPr>
              <w:t>first_careunit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9125" w14:textId="77777777" w:rsidR="00EB50E8" w:rsidRDefault="00EB50E8" w:rsidP="00E74AB2">
            <w:r>
              <w:rPr>
                <w:color w:val="000000"/>
                <w:sz w:val="20"/>
                <w:szCs w:val="2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F07CB" w14:textId="77777777" w:rsidR="00EB50E8" w:rsidRDefault="00EB50E8" w:rsidP="00E74AB2">
            <w:r>
              <w:rPr>
                <w:color w:val="000000"/>
                <w:sz w:val="20"/>
                <w:szCs w:val="20"/>
              </w:rPr>
              <w:t>CVICU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AB7EF" w14:textId="77777777" w:rsidR="00EB50E8" w:rsidRDefault="00EB50E8" w:rsidP="00E74AB2">
            <w:r>
              <w:rPr>
                <w:color w:val="000000"/>
                <w:sz w:val="20"/>
                <w:szCs w:val="20"/>
              </w:rPr>
              <w:t>ICU unit type; primary predictor of interest; sparse units collapsed into 'Other' (n &lt; 200)</w:t>
            </w:r>
          </w:p>
        </w:tc>
      </w:tr>
      <w:tr w:rsidR="00EB50E8" w14:paraId="07579DEB"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2CFA9E" w14:textId="77777777" w:rsidR="00EB50E8" w:rsidRDefault="00EB50E8" w:rsidP="00E74AB2">
            <w:proofErr w:type="spellStart"/>
            <w:r>
              <w:rPr>
                <w:color w:val="000000"/>
                <w:sz w:val="20"/>
                <w:szCs w:val="20"/>
              </w:rPr>
              <w:t>icu_los_days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76BD1" w14:textId="77777777" w:rsidR="00EB50E8" w:rsidRDefault="00EB50E8" w:rsidP="00E74AB2">
            <w:r>
              <w:rPr>
                <w:color w:val="000000"/>
                <w:sz w:val="20"/>
                <w:szCs w:val="20"/>
              </w:rPr>
              <w:t>Offset (log)</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102AD5" w14:textId="77777777" w:rsidR="00EB50E8" w:rsidRDefault="00EB50E8" w:rsidP="00E74AB2">
            <w:r>
              <w:rPr>
                <w:color w:val="000000"/>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81B99" w14:textId="77777777" w:rsidR="00EB50E8" w:rsidRDefault="00EB50E8" w:rsidP="00E74AB2">
            <w:r>
              <w:rPr>
                <w:color w:val="000000"/>
                <w:sz w:val="20"/>
                <w:szCs w:val="20"/>
              </w:rPr>
              <w:t>Log-transformed LOS included as offset in all models; converts counts to per-day rates</w:t>
            </w:r>
          </w:p>
        </w:tc>
      </w:tr>
    </w:tbl>
    <w:p w14:paraId="4751F1F9" w14:textId="77777777" w:rsidR="00EB50E8" w:rsidRDefault="00EB50E8" w:rsidP="00E74AB2">
      <w:pPr>
        <w:spacing w:before="80" w:after="80"/>
      </w:pPr>
    </w:p>
    <w:p w14:paraId="2DBCC0BD" w14:textId="49C9CFF3" w:rsidR="00EB50E8" w:rsidRDefault="00EB50E8" w:rsidP="00E74AB2">
      <w:pPr>
        <w:spacing w:before="100" w:after="100"/>
        <w:rPr>
          <w:color w:val="000000"/>
          <w:sz w:val="22"/>
          <w:szCs w:val="22"/>
        </w:rPr>
      </w:pPr>
      <w:r>
        <w:rPr>
          <w:color w:val="000000"/>
          <w:sz w:val="22"/>
          <w:szCs w:val="22"/>
        </w:rPr>
        <w:t xml:space="preserve">ICU unit categories with fewer than 200 observations </w:t>
      </w:r>
      <w:r w:rsidR="008F71EF">
        <w:rPr>
          <w:color w:val="000000"/>
          <w:sz w:val="22"/>
          <w:szCs w:val="22"/>
        </w:rPr>
        <w:t>collapsed</w:t>
      </w:r>
      <w:r>
        <w:rPr>
          <w:color w:val="000000"/>
          <w:sz w:val="22"/>
          <w:szCs w:val="22"/>
        </w:rPr>
        <w:t xml:space="preserve"> into an 'Other' category prior to modeling to prevent convergence failure in maximum likelihood estimation. The Cardiac Vascular Intensive Care Unit (CVICU) was designated as the reference category for </w:t>
      </w:r>
      <w:proofErr w:type="spellStart"/>
      <w:r>
        <w:rPr>
          <w:color w:val="000000"/>
          <w:sz w:val="22"/>
          <w:szCs w:val="22"/>
        </w:rPr>
        <w:t>first_careunit</w:t>
      </w:r>
      <w:proofErr w:type="spellEnd"/>
      <w:r>
        <w:rPr>
          <w:color w:val="000000"/>
          <w:sz w:val="22"/>
          <w:szCs w:val="22"/>
        </w:rPr>
        <w:t>, as it represented the largest and most clinically homogeneous group in the dataset. All results for ICU unit are therefore interpreted relative to CVICU.</w:t>
      </w:r>
    </w:p>
    <w:p w14:paraId="32182FBE" w14:textId="77777777" w:rsidR="002003CB" w:rsidRDefault="002003CB" w:rsidP="00E74AB2">
      <w:pPr>
        <w:pStyle w:val="Heading2"/>
      </w:pPr>
      <w:r>
        <w:t>3.3.3 Model Offset</w:t>
      </w:r>
    </w:p>
    <w:p w14:paraId="2FB87D20" w14:textId="36C1EB90" w:rsidR="002003CB" w:rsidRPr="002003CB" w:rsidRDefault="002003CB" w:rsidP="00E74AB2">
      <w:pPr>
        <w:spacing w:before="100" w:after="100"/>
        <w:rPr>
          <w:color w:val="000000"/>
          <w:sz w:val="22"/>
          <w:szCs w:val="22"/>
        </w:rPr>
      </w:pPr>
      <w:r w:rsidRPr="002003CB">
        <w:rPr>
          <w:color w:val="000000"/>
          <w:sz w:val="22"/>
          <w:szCs w:val="22"/>
        </w:rPr>
        <w:t>All negative binomial models included a log-transformed ICU length-of-stay offset (log(</w:t>
      </w:r>
      <w:proofErr w:type="spellStart"/>
      <w:r w:rsidRPr="002003CB">
        <w:rPr>
          <w:color w:val="000000"/>
          <w:sz w:val="22"/>
          <w:szCs w:val="22"/>
        </w:rPr>
        <w:t>icu_los_days</w:t>
      </w:r>
      <w:proofErr w:type="spellEnd"/>
      <w:r w:rsidRPr="002003CB">
        <w:rPr>
          <w:color w:val="000000"/>
          <w:sz w:val="22"/>
          <w:szCs w:val="22"/>
        </w:rPr>
        <w:t xml:space="preserve">)). Using an offset </w:t>
      </w:r>
      <w:proofErr w:type="gramStart"/>
      <w:r w:rsidRPr="002003CB">
        <w:rPr>
          <w:color w:val="000000"/>
          <w:sz w:val="22"/>
          <w:szCs w:val="22"/>
        </w:rPr>
        <w:t>converts</w:t>
      </w:r>
      <w:proofErr w:type="gramEnd"/>
      <w:r w:rsidRPr="002003CB">
        <w:rPr>
          <w:color w:val="000000"/>
          <w:sz w:val="22"/>
          <w:szCs w:val="22"/>
        </w:rPr>
        <w:t xml:space="preserve"> event counts into per-day rates, so patients with longer stays are not automatically assigned higher predicted counts just because they spent more time in the ICU. This makes it possible to compare clinical activity intensity fairly across different encounters.</w:t>
      </w:r>
    </w:p>
    <w:p w14:paraId="64EC669C" w14:textId="53A50060" w:rsidR="002003CB" w:rsidRDefault="002003CB" w:rsidP="00E74AB2">
      <w:pPr>
        <w:spacing w:before="100" w:after="100"/>
      </w:pPr>
    </w:p>
    <w:p w14:paraId="3A47D34D" w14:textId="77777777" w:rsidR="002003CB" w:rsidRDefault="002003CB" w:rsidP="00E74AB2">
      <w:pPr>
        <w:pStyle w:val="Heading2"/>
      </w:pPr>
      <w:r>
        <w:t>3.3.4 Scenario Analysis Variables</w:t>
      </w:r>
    </w:p>
    <w:p w14:paraId="55E86FAB" w14:textId="7B5ABA04" w:rsidR="002003CB" w:rsidRDefault="002003CB" w:rsidP="00E74AB2">
      <w:pPr>
        <w:spacing w:before="100" w:after="100"/>
        <w:rPr>
          <w:color w:val="000000"/>
          <w:sz w:val="22"/>
          <w:szCs w:val="22"/>
        </w:rPr>
      </w:pPr>
      <w:r>
        <w:rPr>
          <w:color w:val="000000"/>
          <w:sz w:val="22"/>
          <w:szCs w:val="22"/>
        </w:rPr>
        <w:t xml:space="preserve">Three simulated scenario variables were constructed </w:t>
      </w:r>
      <w:r w:rsidRPr="002003CB">
        <w:rPr>
          <w:color w:val="000000"/>
          <w:sz w:val="22"/>
          <w:szCs w:val="22"/>
        </w:rPr>
        <w:t xml:space="preserve">to estimate how alert reduction strategies might affect the overall CDS alert burden. These scenarios are not part of the main regression models. Instead, they support </w:t>
      </w:r>
      <w:proofErr w:type="gramStart"/>
      <w:r w:rsidRPr="002003CB">
        <w:rPr>
          <w:color w:val="000000"/>
          <w:sz w:val="22"/>
          <w:szCs w:val="22"/>
        </w:rPr>
        <w:t>the sensitivity</w:t>
      </w:r>
      <w:proofErr w:type="gramEnd"/>
      <w:r w:rsidRPr="002003CB">
        <w:rPr>
          <w:color w:val="000000"/>
          <w:sz w:val="22"/>
          <w:szCs w:val="22"/>
        </w:rPr>
        <w:t xml:space="preserve"> and policy analysis in Section 4.5. Scenario 1 tests a 15% reduction in prescription orders, such as through </w:t>
      </w:r>
      <w:proofErr w:type="gramStart"/>
      <w:r w:rsidRPr="002003CB">
        <w:rPr>
          <w:color w:val="000000"/>
          <w:sz w:val="22"/>
          <w:szCs w:val="22"/>
        </w:rPr>
        <w:t>deduplication</w:t>
      </w:r>
      <w:proofErr w:type="gramEnd"/>
      <w:r w:rsidRPr="002003CB">
        <w:rPr>
          <w:color w:val="000000"/>
          <w:sz w:val="22"/>
          <w:szCs w:val="22"/>
        </w:rPr>
        <w:t xml:space="preserve"> or optimizing order sets. Scenario 2 tests a 20% reduction in lab events, for example</w:t>
      </w:r>
      <w:r w:rsidR="00D86550">
        <w:rPr>
          <w:color w:val="000000"/>
          <w:sz w:val="22"/>
          <w:szCs w:val="22"/>
        </w:rPr>
        <w:t>,</w:t>
      </w:r>
      <w:r w:rsidRPr="002003CB">
        <w:rPr>
          <w:color w:val="000000"/>
          <w:sz w:val="22"/>
          <w:szCs w:val="22"/>
        </w:rPr>
        <w:t xml:space="preserve"> by suppressing redundant labs. Scenario 3 applies both reductions at once.</w:t>
      </w:r>
    </w:p>
    <w:p w14:paraId="5692D8E8" w14:textId="77777777" w:rsidR="00895DD8" w:rsidRPr="002003CB" w:rsidRDefault="00895DD8" w:rsidP="00E74AB2">
      <w:pPr>
        <w:spacing w:before="100" w:after="100"/>
        <w:rPr>
          <w:color w:val="000000"/>
          <w:sz w:val="22"/>
          <w:szCs w:val="22"/>
        </w:rPr>
      </w:pPr>
    </w:p>
    <w:p w14:paraId="4CE9B141" w14:textId="77777777" w:rsidR="00EE3D61" w:rsidRDefault="00EE3D61" w:rsidP="00E74AB2">
      <w:pPr>
        <w:spacing w:before="100" w:after="100"/>
        <w:rPr>
          <w:b/>
          <w:bCs/>
          <w:color w:val="2E75B6"/>
          <w:sz w:val="26"/>
          <w:szCs w:val="26"/>
        </w:rPr>
      </w:pPr>
    </w:p>
    <w:p w14:paraId="14392BBF" w14:textId="6376500B" w:rsidR="002003CB" w:rsidRDefault="002003CB" w:rsidP="00E74AB2">
      <w:pPr>
        <w:spacing w:before="100" w:after="100"/>
      </w:pPr>
      <w:r>
        <w:rPr>
          <w:b/>
          <w:bCs/>
          <w:color w:val="2E75B6"/>
          <w:sz w:val="26"/>
          <w:szCs w:val="26"/>
        </w:rPr>
        <w:lastRenderedPageBreak/>
        <w:t>3.3.5 Complete Variable Inventory</w:t>
      </w:r>
    </w:p>
    <w:p w14:paraId="704FEC3D" w14:textId="77777777" w:rsidR="002003CB" w:rsidRDefault="002003CB" w:rsidP="00E74AB2">
      <w:pPr>
        <w:spacing w:before="100" w:after="100"/>
      </w:pPr>
      <w:r>
        <w:rPr>
          <w:color w:val="000000"/>
          <w:sz w:val="22"/>
          <w:szCs w:val="22"/>
        </w:rPr>
        <w:t>Table 1 below provides a complete listing of all 25 variables in the analytic dataset, including identifiers, timestamps, raw counts, derived outcomes, and scenario variables. This table corresponds to the full codebook documented in Appendix A.</w:t>
      </w:r>
    </w:p>
    <w:p w14:paraId="77933239" w14:textId="77777777" w:rsidR="002003CB" w:rsidRDefault="002003CB" w:rsidP="00E74AB2">
      <w:pPr>
        <w:spacing w:before="200" w:after="80"/>
      </w:pPr>
      <w:r>
        <w:rPr>
          <w:b/>
          <w:bCs/>
          <w:color w:val="000000"/>
          <w:sz w:val="22"/>
          <w:szCs w:val="22"/>
        </w:rPr>
        <w:t>Table 1. Complete variable inventory for the MIMIC-IV alert fatigue analytic dataset (n = 94,444 ICU stays).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1007"/>
        <w:gridCol w:w="1782"/>
        <w:gridCol w:w="1230"/>
        <w:gridCol w:w="3188"/>
      </w:tblGrid>
      <w:tr w:rsidR="002003CB" w14:paraId="6D3218DC" w14:textId="77777777" w:rsidTr="0053192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FAA912" w14:textId="77777777" w:rsidR="002003CB" w:rsidRDefault="002003CB" w:rsidP="00E74AB2">
            <w:r>
              <w:rPr>
                <w:b/>
                <w:bCs/>
                <w:color w:val="FFFFFF"/>
                <w:sz w:val="22"/>
                <w:szCs w:val="22"/>
              </w:rPr>
              <w:t>Variable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34F4D2" w14:textId="77777777" w:rsidR="002003CB" w:rsidRDefault="002003CB" w:rsidP="00E74AB2">
            <w:r>
              <w:rPr>
                <w:b/>
                <w:bCs/>
                <w:color w:val="FFFFFF"/>
                <w:sz w:val="22"/>
                <w:szCs w:val="22"/>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A121F6" w14:textId="77777777" w:rsidR="002003CB" w:rsidRDefault="002003CB" w:rsidP="00E74AB2">
            <w:r>
              <w:rPr>
                <w:b/>
                <w:bCs/>
                <w:color w:val="FFFFFF"/>
                <w:sz w:val="22"/>
                <w:szCs w:val="22"/>
              </w:rPr>
              <w:t>Source</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A0B602" w14:textId="77777777" w:rsidR="002003CB" w:rsidRDefault="002003CB" w:rsidP="00E74AB2">
            <w:r>
              <w:rPr>
                <w:b/>
                <w:bCs/>
                <w:color w:val="FFFFFF"/>
                <w:sz w:val="22"/>
                <w:szCs w:val="22"/>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7323D2" w14:textId="77777777" w:rsidR="002003CB" w:rsidRDefault="002003CB" w:rsidP="00E74AB2">
            <w:r>
              <w:rPr>
                <w:b/>
                <w:bCs/>
                <w:color w:val="FFFFFF"/>
                <w:sz w:val="22"/>
                <w:szCs w:val="22"/>
              </w:rPr>
              <w:t>Description</w:t>
            </w:r>
          </w:p>
        </w:tc>
      </w:tr>
      <w:tr w:rsidR="002003CB" w14:paraId="5AD830A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0AD81" w14:textId="77777777" w:rsidR="002003CB" w:rsidRDefault="002003CB" w:rsidP="00E74AB2">
            <w:proofErr w:type="spellStart"/>
            <w:r>
              <w:rPr>
                <w:color w:val="000000"/>
                <w:sz w:val="20"/>
                <w:szCs w:val="20"/>
              </w:rPr>
              <w:t>subject_id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CF1D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5FBD3"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AB548" w14:textId="77777777" w:rsidR="002003CB" w:rsidRDefault="002003CB" w:rsidP="00E74AB2">
            <w:r>
              <w:rPr>
                <w:color w:val="000000"/>
                <w:sz w:val="20"/>
                <w:szCs w:val="20"/>
              </w:rPr>
              <w:t>Identifier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946A7" w14:textId="77777777" w:rsidR="002003CB" w:rsidRDefault="002003CB" w:rsidP="00E74AB2">
            <w:r>
              <w:rPr>
                <w:color w:val="000000"/>
                <w:sz w:val="20"/>
                <w:szCs w:val="20"/>
              </w:rPr>
              <w:t>Unique patient identifier</w:t>
            </w:r>
          </w:p>
        </w:tc>
      </w:tr>
      <w:tr w:rsidR="002003CB" w14:paraId="52039577"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D0965F" w14:textId="77777777" w:rsidR="002003CB" w:rsidRDefault="002003CB" w:rsidP="00E74AB2">
            <w:proofErr w:type="spellStart"/>
            <w:r>
              <w:rPr>
                <w:color w:val="000000"/>
                <w:sz w:val="20"/>
                <w:szCs w:val="20"/>
              </w:rPr>
              <w:t>hadm_id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258A77"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DA370"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B3DFF8" w14:textId="77777777" w:rsidR="002003CB" w:rsidRDefault="002003CB" w:rsidP="00E74AB2">
            <w:r>
              <w:rPr>
                <w:color w:val="000000"/>
                <w:sz w:val="20"/>
                <w:szCs w:val="2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A41698" w14:textId="77777777" w:rsidR="002003CB" w:rsidRDefault="002003CB" w:rsidP="00E74AB2">
            <w:r>
              <w:rPr>
                <w:color w:val="000000"/>
                <w:sz w:val="20"/>
                <w:szCs w:val="20"/>
              </w:rPr>
              <w:t>Hospital admission ID; primary join key across tables</w:t>
            </w:r>
          </w:p>
        </w:tc>
      </w:tr>
      <w:tr w:rsidR="002003CB" w14:paraId="2F20FD2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9E4AC" w14:textId="77777777" w:rsidR="002003CB" w:rsidRDefault="002003CB" w:rsidP="00E74AB2">
            <w:proofErr w:type="spellStart"/>
            <w:r>
              <w:rPr>
                <w:color w:val="000000"/>
                <w:sz w:val="20"/>
                <w:szCs w:val="20"/>
              </w:rPr>
              <w:t>stay_id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690A6"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7F503" w14:textId="77777777" w:rsidR="002003CB" w:rsidRDefault="002003CB" w:rsidP="00E74AB2">
            <w:proofErr w:type="spellStart"/>
            <w:r>
              <w:rPr>
                <w:color w:val="000000"/>
                <w:sz w:val="20"/>
                <w:szCs w:val="20"/>
              </w:rPr>
              <w:t>icustays</w:t>
            </w:r>
            <w:proofErr w:type="spellEnd"/>
            <w:r>
              <w:rPr>
                <w:color w:val="000000"/>
                <w:sz w:val="20"/>
                <w:szCs w:val="2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F6396" w14:textId="77777777" w:rsidR="002003CB" w:rsidRDefault="002003CB" w:rsidP="00E74AB2">
            <w:r>
              <w:rPr>
                <w:color w:val="000000"/>
                <w:sz w:val="20"/>
                <w:szCs w:val="2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C2FC3" w14:textId="77777777" w:rsidR="002003CB" w:rsidRDefault="002003CB" w:rsidP="00E74AB2">
            <w:r>
              <w:rPr>
                <w:color w:val="000000"/>
                <w:sz w:val="20"/>
                <w:szCs w:val="20"/>
              </w:rPr>
              <w:t>ICU stay identifier</w:t>
            </w:r>
          </w:p>
        </w:tc>
      </w:tr>
      <w:tr w:rsidR="002003CB" w14:paraId="553902A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9C3BDA" w14:textId="77777777" w:rsidR="002003CB" w:rsidRDefault="002003CB" w:rsidP="00E74AB2">
            <w:proofErr w:type="spellStart"/>
            <w:r>
              <w:rPr>
                <w:color w:val="000000"/>
                <w:sz w:val="20"/>
                <w:szCs w:val="20"/>
              </w:rPr>
              <w:t>anchor_age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B0D1A4"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76A4D" w14:textId="77777777" w:rsidR="002003CB" w:rsidRDefault="002003CB" w:rsidP="00E74AB2">
            <w:r>
              <w:rPr>
                <w:color w:val="000000"/>
                <w:sz w:val="20"/>
                <w:szCs w:val="2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5F120"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03AB5" w14:textId="77777777" w:rsidR="002003CB" w:rsidRDefault="002003CB" w:rsidP="00E74AB2">
            <w:r>
              <w:rPr>
                <w:color w:val="000000"/>
                <w:sz w:val="20"/>
                <w:szCs w:val="20"/>
              </w:rPr>
              <w:t>Patient age at MIMIC-IV anchor year (range: 18–91, mean: 63.0)</w:t>
            </w:r>
          </w:p>
        </w:tc>
      </w:tr>
      <w:tr w:rsidR="002003CB" w14:paraId="472357B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88749" w14:textId="77777777" w:rsidR="002003CB" w:rsidRDefault="002003CB" w:rsidP="00E74AB2">
            <w:r>
              <w:rPr>
                <w:color w:val="000000"/>
                <w:sz w:val="20"/>
                <w:szCs w:val="20"/>
              </w:rPr>
              <w:t>gender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AA63B" w14:textId="77777777" w:rsidR="002003CB" w:rsidRDefault="002003CB" w:rsidP="00E74AB2">
            <w:r>
              <w:rPr>
                <w:color w:val="000000"/>
                <w:sz w:val="20"/>
                <w:szCs w:val="2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7ED71" w14:textId="77777777" w:rsidR="002003CB" w:rsidRDefault="002003CB" w:rsidP="00E74AB2">
            <w:r>
              <w:rPr>
                <w:color w:val="000000"/>
                <w:sz w:val="20"/>
                <w:szCs w:val="2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CD0E2"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36DB" w14:textId="77777777" w:rsidR="002003CB" w:rsidRDefault="002003CB" w:rsidP="00E74AB2">
            <w:r>
              <w:rPr>
                <w:color w:val="000000"/>
                <w:sz w:val="20"/>
                <w:szCs w:val="20"/>
              </w:rPr>
              <w:t>Patient sex (M = Male, F = Female)</w:t>
            </w:r>
          </w:p>
        </w:tc>
      </w:tr>
      <w:tr w:rsidR="002003CB" w14:paraId="192DF68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E8A72D" w14:textId="77777777" w:rsidR="002003CB" w:rsidRDefault="002003CB" w:rsidP="00E74AB2">
            <w:proofErr w:type="spellStart"/>
            <w:r>
              <w:rPr>
                <w:color w:val="000000"/>
                <w:sz w:val="20"/>
                <w:szCs w:val="20"/>
              </w:rPr>
              <w:t>first_careunit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23CD1" w14:textId="77777777" w:rsidR="002003CB" w:rsidRDefault="002003CB" w:rsidP="00E74AB2">
            <w:r>
              <w:rPr>
                <w:color w:val="000000"/>
                <w:sz w:val="20"/>
                <w:szCs w:val="2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4051A"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494DB" w14:textId="77777777" w:rsidR="002003CB" w:rsidRDefault="002003CB" w:rsidP="00E74AB2">
            <w:r>
              <w:rPr>
                <w:color w:val="000000"/>
                <w:sz w:val="20"/>
                <w:szCs w:val="2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CF6A4D" w14:textId="77777777" w:rsidR="002003CB" w:rsidRDefault="002003CB" w:rsidP="00E74AB2">
            <w:r>
              <w:rPr>
                <w:color w:val="000000"/>
                <w:sz w:val="20"/>
                <w:szCs w:val="20"/>
              </w:rPr>
              <w:t xml:space="preserve">ICU unit type at time of admission; sparse units collapsed </w:t>
            </w:r>
            <w:proofErr w:type="gramStart"/>
            <w:r>
              <w:rPr>
                <w:color w:val="000000"/>
                <w:sz w:val="20"/>
                <w:szCs w:val="20"/>
              </w:rPr>
              <w:t>to</w:t>
            </w:r>
            <w:proofErr w:type="gramEnd"/>
            <w:r>
              <w:rPr>
                <w:color w:val="000000"/>
                <w:sz w:val="20"/>
                <w:szCs w:val="20"/>
              </w:rPr>
              <w:t xml:space="preserve"> 'Other'</w:t>
            </w:r>
          </w:p>
        </w:tc>
      </w:tr>
      <w:tr w:rsidR="002003CB" w14:paraId="58F761D0"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7318C" w14:textId="77777777" w:rsidR="002003CB" w:rsidRDefault="002003CB" w:rsidP="00E74AB2">
            <w:proofErr w:type="spellStart"/>
            <w:r>
              <w:rPr>
                <w:color w:val="000000"/>
                <w:sz w:val="20"/>
                <w:szCs w:val="20"/>
              </w:rPr>
              <w:t>admittime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48A8C"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3E9AA" w14:textId="77777777" w:rsidR="002003CB" w:rsidRDefault="002003CB" w:rsidP="00E74AB2">
            <w:r>
              <w:rPr>
                <w:color w:val="000000"/>
                <w:sz w:val="20"/>
                <w:szCs w:val="2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7D934"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46D72" w14:textId="77777777" w:rsidR="002003CB" w:rsidRDefault="002003CB" w:rsidP="00E74AB2">
            <w:r>
              <w:rPr>
                <w:color w:val="000000"/>
                <w:sz w:val="20"/>
                <w:szCs w:val="20"/>
              </w:rPr>
              <w:t>Hospital admission timestamp</w:t>
            </w:r>
          </w:p>
        </w:tc>
      </w:tr>
      <w:tr w:rsidR="002003CB" w14:paraId="5EC65DA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059A2" w14:textId="77777777" w:rsidR="002003CB" w:rsidRDefault="002003CB" w:rsidP="00E74AB2">
            <w:proofErr w:type="spellStart"/>
            <w:r>
              <w:rPr>
                <w:color w:val="000000"/>
                <w:sz w:val="20"/>
                <w:szCs w:val="20"/>
              </w:rPr>
              <w:t>dischtime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2B6A00"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8E6D26" w14:textId="77777777" w:rsidR="002003CB" w:rsidRDefault="002003CB" w:rsidP="00E74AB2">
            <w:r>
              <w:rPr>
                <w:color w:val="000000"/>
                <w:sz w:val="20"/>
                <w:szCs w:val="2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FE1AE8"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AF06C" w14:textId="77777777" w:rsidR="002003CB" w:rsidRDefault="002003CB" w:rsidP="00E74AB2">
            <w:r>
              <w:rPr>
                <w:color w:val="000000"/>
                <w:sz w:val="20"/>
                <w:szCs w:val="20"/>
              </w:rPr>
              <w:t>Hospital discharge timestamp</w:t>
            </w:r>
          </w:p>
        </w:tc>
      </w:tr>
      <w:tr w:rsidR="002003CB" w14:paraId="34FA39CA"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32089" w14:textId="77777777" w:rsidR="002003CB" w:rsidRDefault="002003CB" w:rsidP="00E74AB2">
            <w:r>
              <w:rPr>
                <w:color w:val="000000"/>
                <w:sz w:val="20"/>
                <w:szCs w:val="20"/>
              </w:rPr>
              <w:t>intime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41E4E"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B7DF6"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C2839"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FF517" w14:textId="77777777" w:rsidR="002003CB" w:rsidRDefault="002003CB" w:rsidP="00E74AB2">
            <w:r>
              <w:rPr>
                <w:color w:val="000000"/>
                <w:sz w:val="20"/>
                <w:szCs w:val="20"/>
              </w:rPr>
              <w:t>ICU admission timestamp</w:t>
            </w:r>
          </w:p>
        </w:tc>
      </w:tr>
      <w:tr w:rsidR="002003CB" w14:paraId="2A916A88"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87CA54" w14:textId="77777777" w:rsidR="002003CB" w:rsidRDefault="002003CB" w:rsidP="00E74AB2">
            <w:proofErr w:type="spellStart"/>
            <w:r>
              <w:rPr>
                <w:color w:val="000000"/>
                <w:sz w:val="20"/>
                <w:szCs w:val="20"/>
              </w:rPr>
              <w:t>outtime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69F173" w14:textId="77777777" w:rsidR="002003CB" w:rsidRDefault="002003CB" w:rsidP="00E74AB2">
            <w:proofErr w:type="spellStart"/>
            <w:r>
              <w:rPr>
                <w:color w:val="000000"/>
                <w:sz w:val="20"/>
                <w:szCs w:val="2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60A937" w14:textId="77777777" w:rsidR="002003CB" w:rsidRDefault="002003CB" w:rsidP="00E74AB2">
            <w:proofErr w:type="spellStart"/>
            <w:r>
              <w:rPr>
                <w:color w:val="000000"/>
                <w:sz w:val="20"/>
                <w:szCs w:val="2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84DB0" w14:textId="77777777" w:rsidR="002003CB" w:rsidRDefault="002003CB" w:rsidP="00E74AB2">
            <w:r>
              <w:rPr>
                <w:color w:val="000000"/>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D94750" w14:textId="77777777" w:rsidR="002003CB" w:rsidRDefault="002003CB" w:rsidP="00E74AB2">
            <w:r>
              <w:rPr>
                <w:color w:val="000000"/>
                <w:sz w:val="20"/>
                <w:szCs w:val="20"/>
              </w:rPr>
              <w:t>ICU discharge timestamp</w:t>
            </w:r>
          </w:p>
        </w:tc>
      </w:tr>
      <w:tr w:rsidR="002003CB" w14:paraId="3C482DB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AC2A" w14:textId="77777777" w:rsidR="002003CB" w:rsidRDefault="002003CB" w:rsidP="00E74AB2">
            <w:proofErr w:type="spellStart"/>
            <w:r>
              <w:rPr>
                <w:color w:val="000000"/>
                <w:sz w:val="20"/>
                <w:szCs w:val="20"/>
              </w:rPr>
              <w:t>hospital_los_days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9948C"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4936B"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35DB" w14:textId="77777777" w:rsidR="002003CB" w:rsidRDefault="002003CB" w:rsidP="00E74AB2">
            <w:r>
              <w:rPr>
                <w:color w:val="000000"/>
                <w:sz w:val="20"/>
                <w:szCs w:val="2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6DF10" w14:textId="77777777" w:rsidR="002003CB" w:rsidRDefault="002003CB" w:rsidP="00E74AB2">
            <w:r>
              <w:rPr>
                <w:color w:val="000000"/>
                <w:sz w:val="20"/>
                <w:szCs w:val="20"/>
              </w:rPr>
              <w:t>Hospital length of stay in days (</w:t>
            </w:r>
            <w:proofErr w:type="spellStart"/>
            <w:r>
              <w:rPr>
                <w:color w:val="000000"/>
                <w:sz w:val="20"/>
                <w:szCs w:val="20"/>
              </w:rPr>
              <w:t>dischtime</w:t>
            </w:r>
            <w:proofErr w:type="spellEnd"/>
            <w:r>
              <w:rPr>
                <w:color w:val="000000"/>
                <w:sz w:val="20"/>
                <w:szCs w:val="20"/>
              </w:rPr>
              <w:t xml:space="preserve"> − </w:t>
            </w:r>
            <w:proofErr w:type="spellStart"/>
            <w:r>
              <w:rPr>
                <w:color w:val="000000"/>
                <w:sz w:val="20"/>
                <w:szCs w:val="20"/>
              </w:rPr>
              <w:t>admittime</w:t>
            </w:r>
            <w:proofErr w:type="spellEnd"/>
            <w:r>
              <w:rPr>
                <w:color w:val="000000"/>
                <w:sz w:val="20"/>
                <w:szCs w:val="20"/>
              </w:rPr>
              <w:t>)</w:t>
            </w:r>
          </w:p>
        </w:tc>
      </w:tr>
      <w:tr w:rsidR="002003CB" w14:paraId="562ECF7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0FD66C" w14:textId="77777777" w:rsidR="002003CB" w:rsidRDefault="002003CB" w:rsidP="00E74AB2">
            <w:proofErr w:type="spellStart"/>
            <w:r>
              <w:rPr>
                <w:color w:val="000000"/>
                <w:sz w:val="20"/>
                <w:szCs w:val="20"/>
              </w:rPr>
              <w:t>icu_los_hours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A1C580"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22984B"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393218" w14:textId="77777777" w:rsidR="002003CB" w:rsidRDefault="002003CB" w:rsidP="00E74AB2">
            <w:r>
              <w:rPr>
                <w:color w:val="000000"/>
                <w:sz w:val="20"/>
                <w:szCs w:val="2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4362B7" w14:textId="77777777" w:rsidR="002003CB" w:rsidRDefault="002003CB" w:rsidP="00E74AB2">
            <w:r>
              <w:rPr>
                <w:color w:val="000000"/>
                <w:sz w:val="20"/>
                <w:szCs w:val="20"/>
              </w:rPr>
              <w:t>ICU length of stay in hours (</w:t>
            </w:r>
            <w:proofErr w:type="spellStart"/>
            <w:r>
              <w:rPr>
                <w:color w:val="000000"/>
                <w:sz w:val="20"/>
                <w:szCs w:val="20"/>
              </w:rPr>
              <w:t>outtime</w:t>
            </w:r>
            <w:proofErr w:type="spellEnd"/>
            <w:r>
              <w:rPr>
                <w:color w:val="000000"/>
                <w:sz w:val="20"/>
                <w:szCs w:val="20"/>
              </w:rPr>
              <w:t xml:space="preserve"> − intime)</w:t>
            </w:r>
          </w:p>
        </w:tc>
      </w:tr>
      <w:tr w:rsidR="002003CB" w14:paraId="4EA8375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C40F" w14:textId="77777777" w:rsidR="002003CB" w:rsidRDefault="002003CB" w:rsidP="00E74AB2">
            <w:proofErr w:type="spellStart"/>
            <w:r>
              <w:rPr>
                <w:color w:val="000000"/>
                <w:sz w:val="20"/>
                <w:szCs w:val="20"/>
              </w:rPr>
              <w:t>icu_los_days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3620C"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51DBC"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271B0" w14:textId="77777777" w:rsidR="002003CB" w:rsidRDefault="002003CB" w:rsidP="00E74AB2">
            <w:r>
              <w:rPr>
                <w:color w:val="000000"/>
                <w:sz w:val="20"/>
                <w:szCs w:val="20"/>
              </w:rPr>
              <w:t>Offset basis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5635" w14:textId="77777777" w:rsidR="002003CB" w:rsidRDefault="002003CB" w:rsidP="00E74AB2">
            <w:r>
              <w:rPr>
                <w:color w:val="000000"/>
                <w:sz w:val="20"/>
                <w:szCs w:val="20"/>
              </w:rPr>
              <w:t>ICU length of stay in days (</w:t>
            </w:r>
            <w:proofErr w:type="spellStart"/>
            <w:r>
              <w:rPr>
                <w:color w:val="000000"/>
                <w:sz w:val="20"/>
                <w:szCs w:val="20"/>
              </w:rPr>
              <w:t>icu_los_hours</w:t>
            </w:r>
            <w:proofErr w:type="spellEnd"/>
            <w:r>
              <w:rPr>
                <w:color w:val="000000"/>
                <w:sz w:val="20"/>
                <w:szCs w:val="20"/>
              </w:rPr>
              <w:t xml:space="preserve"> / 24); used to compute rate offset</w:t>
            </w:r>
          </w:p>
        </w:tc>
      </w:tr>
      <w:tr w:rsidR="002003CB" w14:paraId="601A8A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5F3F99" w14:textId="77777777" w:rsidR="002003CB" w:rsidRDefault="002003CB" w:rsidP="00E74AB2">
            <w:proofErr w:type="spellStart"/>
            <w:r>
              <w:rPr>
                <w:color w:val="000000"/>
                <w:sz w:val="20"/>
                <w:szCs w:val="20"/>
              </w:rPr>
              <w:t>n_prescriptions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179F4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45762D" w14:textId="77777777" w:rsidR="002003CB" w:rsidRDefault="002003CB" w:rsidP="00E74AB2">
            <w:r>
              <w:rPr>
                <w:color w:val="000000"/>
                <w:sz w:val="20"/>
                <w:szCs w:val="20"/>
              </w:rPr>
              <w:t>prescriptions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D375F6"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61417F" w14:textId="77777777" w:rsidR="002003CB" w:rsidRDefault="002003CB" w:rsidP="00E74AB2">
            <w:r>
              <w:rPr>
                <w:color w:val="000000"/>
                <w:sz w:val="20"/>
                <w:szCs w:val="20"/>
              </w:rPr>
              <w:t>Total medication prescription orders per hospital admission (mean: 113.8, max: 2,812)</w:t>
            </w:r>
          </w:p>
        </w:tc>
      </w:tr>
      <w:tr w:rsidR="002003CB" w14:paraId="25A0511C"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F19ED" w14:textId="77777777" w:rsidR="002003CB" w:rsidRDefault="002003CB" w:rsidP="00E74AB2">
            <w:proofErr w:type="spellStart"/>
            <w:r>
              <w:rPr>
                <w:color w:val="000000"/>
                <w:sz w:val="20"/>
                <w:szCs w:val="20"/>
              </w:rPr>
              <w:t>n_unique_drugs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295C6"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D6B9" w14:textId="77777777" w:rsidR="002003CB" w:rsidRDefault="002003CB" w:rsidP="00E74AB2">
            <w:r>
              <w:rPr>
                <w:color w:val="000000"/>
                <w:sz w:val="20"/>
                <w:szCs w:val="20"/>
              </w:rPr>
              <w:t>prescriptions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2528C"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58873" w14:textId="77777777" w:rsidR="002003CB" w:rsidRDefault="002003CB" w:rsidP="00E74AB2">
            <w:r>
              <w:rPr>
                <w:color w:val="000000"/>
                <w:sz w:val="20"/>
                <w:szCs w:val="20"/>
              </w:rPr>
              <w:t>Count of distinct drug names ordered per hospital admission (mean: 43.0)</w:t>
            </w:r>
          </w:p>
        </w:tc>
      </w:tr>
      <w:tr w:rsidR="002003CB" w14:paraId="537FD0E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474E5" w14:textId="77777777" w:rsidR="002003CB" w:rsidRDefault="002003CB" w:rsidP="00E74AB2">
            <w:proofErr w:type="spellStart"/>
            <w:r>
              <w:rPr>
                <w:color w:val="000000"/>
                <w:sz w:val="20"/>
                <w:szCs w:val="20"/>
              </w:rPr>
              <w:lastRenderedPageBreak/>
              <w:t>rx_per_day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1520E0"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9B073E"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71B581"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4D09DB" w14:textId="77777777" w:rsidR="002003CB" w:rsidRDefault="002003CB" w:rsidP="00E74AB2">
            <w:r>
              <w:rPr>
                <w:color w:val="000000"/>
                <w:sz w:val="20"/>
                <w:szCs w:val="20"/>
              </w:rPr>
              <w:t xml:space="preserve">Medication orders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median: 35.8</w:t>
            </w:r>
          </w:p>
        </w:tc>
      </w:tr>
      <w:tr w:rsidR="002003CB" w14:paraId="059A013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F010B" w14:textId="77777777" w:rsidR="002003CB" w:rsidRDefault="002003CB" w:rsidP="00E74AB2">
            <w:proofErr w:type="spellStart"/>
            <w:r>
              <w:rPr>
                <w:color w:val="000000"/>
                <w:sz w:val="20"/>
                <w:szCs w:val="20"/>
              </w:rPr>
              <w:t>n_lab_events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7E0E2"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086E"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F44FE"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6A6CE" w14:textId="77777777" w:rsidR="002003CB" w:rsidRDefault="002003CB" w:rsidP="00E74AB2">
            <w:r>
              <w:rPr>
                <w:color w:val="000000"/>
                <w:sz w:val="20"/>
                <w:szCs w:val="20"/>
              </w:rPr>
              <w:t>Total laboratory measurements per hospital admission (mean: 380.6, max: 19,824)</w:t>
            </w:r>
          </w:p>
        </w:tc>
      </w:tr>
      <w:tr w:rsidR="002003CB" w14:paraId="4D159E9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2D15F7" w14:textId="77777777" w:rsidR="002003CB" w:rsidRDefault="002003CB" w:rsidP="00E74AB2">
            <w:proofErr w:type="spellStart"/>
            <w:r>
              <w:rPr>
                <w:color w:val="000000"/>
                <w:sz w:val="20"/>
                <w:szCs w:val="20"/>
              </w:rPr>
              <w:t>n_unique_labitems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051B0"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AA62D"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060163"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70024F" w14:textId="77777777" w:rsidR="002003CB" w:rsidRDefault="002003CB" w:rsidP="00E74AB2">
            <w:r>
              <w:rPr>
                <w:color w:val="000000"/>
                <w:sz w:val="20"/>
                <w:szCs w:val="20"/>
              </w:rPr>
              <w:t>Count of distinct laboratory item types per admission (mean: 53.8)</w:t>
            </w:r>
          </w:p>
        </w:tc>
      </w:tr>
      <w:tr w:rsidR="002003CB" w14:paraId="214EC0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2C813" w14:textId="77777777" w:rsidR="002003CB" w:rsidRDefault="002003CB" w:rsidP="00E74AB2">
            <w:proofErr w:type="spellStart"/>
            <w:r>
              <w:rPr>
                <w:color w:val="000000"/>
                <w:sz w:val="20"/>
                <w:szCs w:val="20"/>
              </w:rPr>
              <w:t>n_abnormal_labs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24EFA"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CB100" w14:textId="77777777" w:rsidR="002003CB" w:rsidRDefault="002003CB" w:rsidP="00E74AB2">
            <w:proofErr w:type="spellStart"/>
            <w:r>
              <w:rPr>
                <w:color w:val="000000"/>
                <w:sz w:val="20"/>
                <w:szCs w:val="20"/>
              </w:rPr>
              <w:t>labevents</w:t>
            </w:r>
            <w:proofErr w:type="spellEnd"/>
            <w:r>
              <w:rPr>
                <w:color w:val="000000"/>
                <w:sz w:val="20"/>
                <w:szCs w:val="20"/>
              </w:rPr>
              <w:t xml:space="preserve"> (</w:t>
            </w:r>
            <w:proofErr w:type="spellStart"/>
            <w:r>
              <w:rPr>
                <w:color w:val="000000"/>
                <w:sz w:val="20"/>
                <w:szCs w:val="20"/>
              </w:rPr>
              <w:t>agg</w:t>
            </w:r>
            <w:proofErr w:type="spellEnd"/>
            <w:r>
              <w:rPr>
                <w:color w:val="000000"/>
                <w:sz w:val="20"/>
                <w:szCs w:val="2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F2138"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A417B" w14:textId="77777777" w:rsidR="002003CB" w:rsidRDefault="002003CB" w:rsidP="00E74AB2">
            <w:r>
              <w:rPr>
                <w:color w:val="000000"/>
                <w:sz w:val="20"/>
                <w:szCs w:val="20"/>
              </w:rPr>
              <w:t>Laboratory measurements flagged as abnormal (mean: 150.6)</w:t>
            </w:r>
          </w:p>
        </w:tc>
      </w:tr>
      <w:tr w:rsidR="002003CB" w14:paraId="426E60D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4A7698" w14:textId="77777777" w:rsidR="002003CB" w:rsidRDefault="002003CB" w:rsidP="00E74AB2">
            <w:proofErr w:type="spellStart"/>
            <w:r>
              <w:rPr>
                <w:color w:val="000000"/>
                <w:sz w:val="20"/>
                <w:szCs w:val="20"/>
              </w:rPr>
              <w:t>labs_per_day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B4838D"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27AC5C"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0C343E"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3CFACD" w14:textId="77777777" w:rsidR="002003CB" w:rsidRDefault="002003CB" w:rsidP="00E74AB2">
            <w:r>
              <w:rPr>
                <w:color w:val="000000"/>
                <w:sz w:val="20"/>
                <w:szCs w:val="20"/>
              </w:rPr>
              <w:t xml:space="preserve">Lab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n_lab_events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xml:space="preserve">); </w:t>
            </w:r>
            <w:proofErr w:type="spellStart"/>
            <w:r>
              <w:rPr>
                <w:color w:val="000000"/>
                <w:sz w:val="20"/>
                <w:szCs w:val="20"/>
              </w:rPr>
              <w:t>winsorized</w:t>
            </w:r>
            <w:proofErr w:type="spellEnd"/>
            <w:r>
              <w:rPr>
                <w:color w:val="000000"/>
                <w:sz w:val="20"/>
                <w:szCs w:val="20"/>
              </w:rPr>
              <w:t xml:space="preserve"> at 99th percentile</w:t>
            </w:r>
          </w:p>
        </w:tc>
      </w:tr>
      <w:tr w:rsidR="002003CB" w14:paraId="19F14CF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6E8B0" w14:textId="77777777" w:rsidR="002003CB" w:rsidRDefault="002003CB" w:rsidP="00E74AB2">
            <w:proofErr w:type="spellStart"/>
            <w:r>
              <w:rPr>
                <w:color w:val="000000"/>
                <w:sz w:val="20"/>
                <w:szCs w:val="20"/>
              </w:rPr>
              <w:t>total_events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958B8"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D47D6"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9B109" w14:textId="77777777" w:rsidR="002003CB" w:rsidRDefault="002003CB" w:rsidP="00E74AB2">
            <w:r>
              <w:rPr>
                <w:color w:val="000000"/>
                <w:sz w:val="20"/>
                <w:szCs w:val="2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98D5E" w14:textId="77777777" w:rsidR="002003CB" w:rsidRDefault="002003CB" w:rsidP="00E74AB2">
            <w:r>
              <w:rPr>
                <w:color w:val="000000"/>
                <w:sz w:val="20"/>
                <w:szCs w:val="20"/>
              </w:rPr>
              <w:t>Total CDS-triggering events (</w:t>
            </w:r>
            <w:proofErr w:type="spellStart"/>
            <w:r>
              <w:rPr>
                <w:color w:val="000000"/>
                <w:sz w:val="20"/>
                <w:szCs w:val="20"/>
              </w:rPr>
              <w:t>n_prescriptions</w:t>
            </w:r>
            <w:proofErr w:type="spellEnd"/>
            <w:r>
              <w:rPr>
                <w:color w:val="000000"/>
                <w:sz w:val="20"/>
                <w:szCs w:val="20"/>
              </w:rPr>
              <w:t xml:space="preserve"> + </w:t>
            </w:r>
            <w:proofErr w:type="spellStart"/>
            <w:r>
              <w:rPr>
                <w:color w:val="000000"/>
                <w:sz w:val="20"/>
                <w:szCs w:val="20"/>
              </w:rPr>
              <w:t>n_lab_events</w:t>
            </w:r>
            <w:proofErr w:type="spellEnd"/>
            <w:r>
              <w:rPr>
                <w:color w:val="000000"/>
                <w:sz w:val="20"/>
                <w:szCs w:val="20"/>
              </w:rPr>
              <w:t>); mean: 494.4</w:t>
            </w:r>
          </w:p>
        </w:tc>
      </w:tr>
      <w:tr w:rsidR="002003CB" w14:paraId="1C6D3D01"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220594" w14:textId="77777777" w:rsidR="002003CB" w:rsidRDefault="002003CB" w:rsidP="00E74AB2">
            <w:proofErr w:type="spellStart"/>
            <w:r>
              <w:rPr>
                <w:color w:val="000000"/>
                <w:sz w:val="20"/>
                <w:szCs w:val="20"/>
              </w:rPr>
              <w:t>total_events_per_day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3CEFE9" w14:textId="77777777" w:rsidR="002003CB" w:rsidRDefault="002003CB" w:rsidP="00E74AB2">
            <w:r>
              <w:rPr>
                <w:color w:val="000000"/>
                <w:sz w:val="20"/>
                <w:szCs w:val="2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CC7BC4" w14:textId="77777777" w:rsidR="002003CB" w:rsidRDefault="002003CB" w:rsidP="00E74AB2">
            <w:r>
              <w:rPr>
                <w:color w:val="000000"/>
                <w:sz w:val="20"/>
                <w:szCs w:val="2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4B192" w14:textId="77777777" w:rsidR="002003CB" w:rsidRDefault="002003CB" w:rsidP="00E74AB2">
            <w:r>
              <w:rPr>
                <w:color w:val="000000"/>
                <w:sz w:val="20"/>
                <w:szCs w:val="2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0CFDB0" w14:textId="77777777" w:rsidR="002003CB" w:rsidRDefault="002003CB" w:rsidP="00E74AB2">
            <w:r>
              <w:rPr>
                <w:color w:val="000000"/>
                <w:sz w:val="20"/>
                <w:szCs w:val="20"/>
              </w:rPr>
              <w:t xml:space="preserve">Total events per </w:t>
            </w:r>
            <w:proofErr w:type="gramStart"/>
            <w:r>
              <w:rPr>
                <w:color w:val="000000"/>
                <w:sz w:val="20"/>
                <w:szCs w:val="20"/>
              </w:rPr>
              <w:t>ICU day</w:t>
            </w:r>
            <w:proofErr w:type="gramEnd"/>
            <w:r>
              <w:rPr>
                <w:color w:val="000000"/>
                <w:sz w:val="20"/>
                <w:szCs w:val="20"/>
              </w:rPr>
              <w:t xml:space="preserve"> (</w:t>
            </w:r>
            <w:proofErr w:type="spellStart"/>
            <w:r>
              <w:rPr>
                <w:color w:val="000000"/>
                <w:sz w:val="20"/>
                <w:szCs w:val="20"/>
              </w:rPr>
              <w:t>total_events</w:t>
            </w:r>
            <w:proofErr w:type="spellEnd"/>
            <w:r>
              <w:rPr>
                <w:color w:val="000000"/>
                <w:sz w:val="20"/>
                <w:szCs w:val="20"/>
              </w:rPr>
              <w:t xml:space="preserve"> / </w:t>
            </w:r>
            <w:proofErr w:type="spellStart"/>
            <w:r>
              <w:rPr>
                <w:color w:val="000000"/>
                <w:sz w:val="20"/>
                <w:szCs w:val="20"/>
              </w:rPr>
              <w:t>icu_los_days</w:t>
            </w:r>
            <w:proofErr w:type="spellEnd"/>
            <w:r>
              <w:rPr>
                <w:color w:val="000000"/>
                <w:sz w:val="20"/>
                <w:szCs w:val="20"/>
              </w:rPr>
              <w:t>); primary outcome; median: 126.9</w:t>
            </w:r>
          </w:p>
        </w:tc>
      </w:tr>
      <w:tr w:rsidR="002003CB" w14:paraId="0A7ED3BE"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A10B4" w14:textId="77777777" w:rsidR="002003CB" w:rsidRDefault="002003CB" w:rsidP="00E74AB2">
            <w:r>
              <w:rPr>
                <w:color w:val="000000"/>
                <w:sz w:val="20"/>
                <w:szCs w:val="20"/>
              </w:rPr>
              <w:t>scenario1_events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8BDA"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50875"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23750"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0C47C" w14:textId="77777777" w:rsidR="002003CB" w:rsidRDefault="002003CB" w:rsidP="00E74AB2">
            <w:r>
              <w:rPr>
                <w:color w:val="000000"/>
                <w:sz w:val="20"/>
                <w:szCs w:val="20"/>
              </w:rPr>
              <w:t>Simulated burden: Rx orders reduced 15% (deduplication scenario)</w:t>
            </w:r>
          </w:p>
        </w:tc>
      </w:tr>
      <w:tr w:rsidR="002003CB" w14:paraId="5BB8080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8DDBE4" w14:textId="77777777" w:rsidR="002003CB" w:rsidRDefault="002003CB" w:rsidP="00E74AB2">
            <w:r>
              <w:rPr>
                <w:color w:val="000000"/>
                <w:sz w:val="20"/>
                <w:szCs w:val="20"/>
              </w:rPr>
              <w:t>scenario2_events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3998AF"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A37021"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1173D0"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94B386" w14:textId="77777777" w:rsidR="002003CB" w:rsidRDefault="002003CB" w:rsidP="00E74AB2">
            <w:r>
              <w:rPr>
                <w:color w:val="000000"/>
                <w:sz w:val="20"/>
                <w:szCs w:val="20"/>
              </w:rPr>
              <w:t>Simulated burden: Lab events reduced 20% (suppression scenario)</w:t>
            </w:r>
          </w:p>
        </w:tc>
      </w:tr>
      <w:tr w:rsidR="002003CB" w14:paraId="63647862"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C10C" w14:textId="77777777" w:rsidR="002003CB" w:rsidRDefault="002003CB" w:rsidP="00E74AB2">
            <w:r>
              <w:rPr>
                <w:color w:val="000000"/>
                <w:sz w:val="20"/>
                <w:szCs w:val="20"/>
              </w:rPr>
              <w:t>scenario3_events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2AE4B" w14:textId="77777777" w:rsidR="002003CB" w:rsidRDefault="002003CB" w:rsidP="00E74AB2">
            <w:r>
              <w:rPr>
                <w:color w:val="000000"/>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55149" w14:textId="77777777" w:rsidR="002003CB" w:rsidRDefault="002003CB" w:rsidP="00E74AB2">
            <w:r>
              <w:rPr>
                <w:color w:val="000000"/>
                <w:sz w:val="20"/>
                <w:szCs w:val="2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C0F6C" w14:textId="77777777" w:rsidR="002003CB" w:rsidRDefault="002003CB" w:rsidP="00E74AB2">
            <w:r>
              <w:rPr>
                <w:color w:val="000000"/>
                <w:sz w:val="20"/>
                <w:szCs w:val="2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87B06" w14:textId="77777777" w:rsidR="002003CB" w:rsidRDefault="002003CB" w:rsidP="00E74AB2">
            <w:r>
              <w:rPr>
                <w:color w:val="000000"/>
                <w:sz w:val="20"/>
                <w:szCs w:val="20"/>
              </w:rPr>
              <w:t>Simulated burden: Combined Rx −15% and Lab −20%</w:t>
            </w:r>
          </w:p>
        </w:tc>
      </w:tr>
    </w:tbl>
    <w:p w14:paraId="206B3453" w14:textId="77777777" w:rsidR="002003CB" w:rsidRDefault="002003CB" w:rsidP="00E74AB2">
      <w:pPr>
        <w:spacing w:before="80" w:after="80"/>
      </w:pPr>
    </w:p>
    <w:p w14:paraId="4BC31D22" w14:textId="77777777" w:rsidR="002003CB" w:rsidRDefault="002003CB" w:rsidP="00E74AB2">
      <w:pPr>
        <w:spacing w:before="100" w:after="100"/>
      </w:pPr>
      <w:r>
        <w:rPr>
          <w:color w:val="000000"/>
          <w:sz w:val="22"/>
          <w:szCs w:val="22"/>
        </w:rPr>
        <w:t xml:space="preserve">Note: All derived variables were constructed in R 4.x using </w:t>
      </w:r>
      <w:proofErr w:type="spellStart"/>
      <w:proofErr w:type="gramStart"/>
      <w:r>
        <w:rPr>
          <w:color w:val="000000"/>
          <w:sz w:val="22"/>
          <w:szCs w:val="22"/>
        </w:rPr>
        <w:t>data.table</w:t>
      </w:r>
      <w:proofErr w:type="spellEnd"/>
      <w:proofErr w:type="gramEnd"/>
      <w:r>
        <w:rPr>
          <w:color w:val="000000"/>
          <w:sz w:val="22"/>
          <w:szCs w:val="22"/>
        </w:rPr>
        <w:t xml:space="preserve"> and </w:t>
      </w:r>
      <w:proofErr w:type="spellStart"/>
      <w:r>
        <w:rPr>
          <w:color w:val="000000"/>
          <w:sz w:val="22"/>
          <w:szCs w:val="22"/>
        </w:rPr>
        <w:t>dplyr</w:t>
      </w:r>
      <w:proofErr w:type="spellEnd"/>
      <w:r>
        <w:rPr>
          <w:color w:val="000000"/>
          <w:sz w:val="22"/>
          <w:szCs w:val="22"/>
        </w:rPr>
        <w:t xml:space="preserve">. Raw data was accessed via </w:t>
      </w:r>
      <w:proofErr w:type="spellStart"/>
      <w:r>
        <w:rPr>
          <w:color w:val="000000"/>
          <w:sz w:val="22"/>
          <w:szCs w:val="22"/>
        </w:rPr>
        <w:t>DuckDB</w:t>
      </w:r>
      <w:proofErr w:type="spellEnd"/>
      <w:r>
        <w:rPr>
          <w:color w:val="000000"/>
          <w:sz w:val="22"/>
          <w:szCs w:val="22"/>
        </w:rPr>
        <w:t xml:space="preserve"> to avoid loading the full </w:t>
      </w:r>
      <w:proofErr w:type="spellStart"/>
      <w:r>
        <w:rPr>
          <w:color w:val="000000"/>
          <w:sz w:val="22"/>
          <w:szCs w:val="22"/>
        </w:rPr>
        <w:t>labevents</w:t>
      </w:r>
      <w:proofErr w:type="spellEnd"/>
      <w:r>
        <w:rPr>
          <w:color w:val="000000"/>
          <w:sz w:val="22"/>
          <w:szCs w:val="22"/>
        </w:rPr>
        <w:t xml:space="preserve"> table into memory. Full preprocessing decisions and rationale are documented in the codebook (Appendix A) and summarized in Section 3.2.</w:t>
      </w:r>
    </w:p>
    <w:p w14:paraId="5214AF53" w14:textId="4A80C3E6" w:rsidR="00D14598" w:rsidRDefault="00000000" w:rsidP="00E74AB2">
      <w:pPr>
        <w:pStyle w:val="Heading2"/>
      </w:pPr>
      <w:r>
        <w:t>3.4 Statistical Approach</w:t>
      </w:r>
      <w:bookmarkEnd w:id="16"/>
    </w:p>
    <w:p w14:paraId="7E96F497" w14:textId="77777777" w:rsidR="00D14598" w:rsidRDefault="00000000" w:rsidP="00E74AB2">
      <w:pPr>
        <w:spacing w:before="120" w:after="120"/>
      </w:pPr>
      <w:r>
        <w:rPr>
          <w:color w:val="000000"/>
        </w:rPr>
        <w:t xml:space="preserve">This analysis used negative binomial regression to model count-based outcomes, specifically medication orders, laboratory tests, and total CDS-triggering events per ICU stay. Linear regression was deemed inappropriate as it can produce impossible results such as negative or fractional counts, and the outcome distributions were highly skewed. Poisson regression was also considered but rejected due to overdispersion — the variance substantially exceeded the mean across all outcomes. A likelihood ratio test confirmed that the negative binomial model fit the data significantly better than a </w:t>
      </w:r>
      <w:r>
        <w:rPr>
          <w:color w:val="000000"/>
        </w:rPr>
        <w:lastRenderedPageBreak/>
        <w:t xml:space="preserve">Poisson model (test statistic = 8,224,010; p ≈ 0). Results are reported as Incidence Rate Ratios (IRRs). An IRR above 1 indicates a higher event rate relative to the reference group; below 1 indicates a lower rate. A </w:t>
      </w:r>
      <w:proofErr w:type="gramStart"/>
      <w:r>
        <w:rPr>
          <w:color w:val="000000"/>
        </w:rPr>
        <w:t>log</w:t>
      </w:r>
      <w:proofErr w:type="gramEnd"/>
      <w:r>
        <w:rPr>
          <w:color w:val="000000"/>
        </w:rPr>
        <w:t>-transformed length-of-stay offset was included in all models to normalize for differences in ICU stay duration, yielding rate estimates per day.</w:t>
      </w:r>
    </w:p>
    <w:p w14:paraId="254DAE3A" w14:textId="77777777" w:rsidR="00D14598" w:rsidRDefault="00000000" w:rsidP="00E74AB2">
      <w:r>
        <w:br w:type="page"/>
      </w:r>
    </w:p>
    <w:p w14:paraId="3021B573" w14:textId="77777777" w:rsidR="00D14598" w:rsidRDefault="00000000" w:rsidP="00E74AB2">
      <w:pPr>
        <w:pStyle w:val="Heading1"/>
      </w:pPr>
      <w:bookmarkStart w:id="17" w:name="_Toc226493001"/>
      <w:r>
        <w:lastRenderedPageBreak/>
        <w:t>4. Results and Discussion</w:t>
      </w:r>
      <w:bookmarkEnd w:id="17"/>
    </w:p>
    <w:p w14:paraId="183ABE7E" w14:textId="77777777" w:rsidR="00D14598" w:rsidRDefault="00000000" w:rsidP="00E74AB2">
      <w:pPr>
        <w:pStyle w:val="Heading2"/>
      </w:pPr>
      <w:bookmarkStart w:id="18" w:name="_Toc226493002"/>
      <w:r>
        <w:t>4.1 Descriptive Statistics</w:t>
      </w:r>
      <w:bookmarkEnd w:id="18"/>
    </w:p>
    <w:p w14:paraId="1726536A" w14:textId="77777777" w:rsidR="003869EF" w:rsidRPr="003869EF" w:rsidRDefault="003869EF" w:rsidP="00E74AB2">
      <w:pPr>
        <w:pBdr>
          <w:bottom w:val="dashed" w:sz="4" w:space="0" w:color="CCCCCC"/>
        </w:pBdr>
        <w:spacing w:before="120" w:after="120"/>
      </w:pPr>
      <w:bookmarkStart w:id="19" w:name="_Toc226493003"/>
      <w:r w:rsidRPr="003869EF">
        <w:t>The final analytic dataset included 94,444 ICU stays drawn from MIMIC-IV, spanning a diverse range of care settings including medical, surgical, cardiovascular, and neurology units. Patient ages ranged from 18 to 91 years (mean = 63.0), and the cohort was 56% male and 44% female.</w:t>
      </w:r>
    </w:p>
    <w:p w14:paraId="345AD75C" w14:textId="1D203A18" w:rsidR="003869EF" w:rsidRPr="003869EF" w:rsidRDefault="003869EF" w:rsidP="00E74AB2">
      <w:pPr>
        <w:pBdr>
          <w:bottom w:val="dashed" w:sz="4" w:space="0" w:color="CCCCCC"/>
        </w:pBdr>
        <w:spacing w:before="120" w:after="120"/>
      </w:pPr>
      <w:r w:rsidRPr="003869EF">
        <w:t xml:space="preserve">ICU length of stay was right-skewed, with most patients staying only a few days. The </w:t>
      </w:r>
      <w:proofErr w:type="gramStart"/>
      <w:r w:rsidRPr="003869EF">
        <w:t>median</w:t>
      </w:r>
      <w:proofErr w:type="gramEnd"/>
      <w:r w:rsidRPr="003869EF">
        <w:t xml:space="preserve"> was 2.0 days, but some stays </w:t>
      </w:r>
      <w:r>
        <w:t>lasted more than 30 days, reaching a maximum of 226 days</w:t>
      </w:r>
      <w:r w:rsidRPr="003869EF">
        <w:t xml:space="preserve">. Because of this wide range, it makes more sense to </w:t>
      </w:r>
      <w:r>
        <w:t xml:space="preserve">examine event rates per </w:t>
      </w:r>
      <w:proofErr w:type="gramStart"/>
      <w:r>
        <w:t>ICU day</w:t>
      </w:r>
      <w:proofErr w:type="gramEnd"/>
      <w:r>
        <w:t xml:space="preserve"> rather than</w:t>
      </w:r>
      <w:r w:rsidRPr="003869EF">
        <w:t xml:space="preserve"> raw totals. Otherwise, longer stays would distort the analysis, regardless of how intense the care </w:t>
      </w:r>
      <w:proofErr w:type="gramStart"/>
      <w:r w:rsidRPr="003869EF">
        <w:t>actually was</w:t>
      </w:r>
      <w:proofErr w:type="gramEnd"/>
      <w:r w:rsidRPr="003869EF">
        <w:t>.</w:t>
      </w:r>
    </w:p>
    <w:p w14:paraId="1C04B3B3" w14:textId="77777777" w:rsidR="003869EF" w:rsidRPr="003869EF" w:rsidRDefault="003869EF" w:rsidP="00E74AB2">
      <w:pPr>
        <w:pBdr>
          <w:bottom w:val="dashed" w:sz="4" w:space="0" w:color="CCCCCC"/>
        </w:pBdr>
        <w:spacing w:before="120" w:after="120"/>
      </w:pPr>
      <w:r w:rsidRPr="003869EF">
        <w:t xml:space="preserve">Medication order volume </w:t>
      </w:r>
      <w:proofErr w:type="gramStart"/>
      <w:r w:rsidRPr="003869EF">
        <w:t>varied</w:t>
      </w:r>
      <w:proofErr w:type="gramEnd"/>
      <w:r w:rsidRPr="003869EF">
        <w:t xml:space="preserve"> substantially across encounters. Most patients received a moderate number of orders, but a small proportion of high-acuity admissions accounted for disproportionately high order volumes. Temporal patterns revealed that 81.4% of medication orders occurred during the day (7am–3pm) and evening (3pm–11pm) shifts. The highest concentration of orders occurred at 8am (10.7%), 8pm (9.0%), and 10am (7.2%), suggesting that alert burden is heavily concentrated </w:t>
      </w:r>
      <w:proofErr w:type="gramStart"/>
      <w:r w:rsidRPr="003869EF">
        <w:t>around morning</w:t>
      </w:r>
      <w:proofErr w:type="gramEnd"/>
      <w:r w:rsidRPr="003869EF">
        <w:t xml:space="preserve"> clinical rounds and shift transitions.</w:t>
      </w:r>
    </w:p>
    <w:p w14:paraId="7B6E943E" w14:textId="77777777" w:rsidR="003869EF" w:rsidRPr="003869EF" w:rsidRDefault="003869EF" w:rsidP="00E74AB2">
      <w:pPr>
        <w:pBdr>
          <w:bottom w:val="dashed" w:sz="4" w:space="0" w:color="CCCCCC"/>
        </w:pBdr>
        <w:spacing w:before="120" w:after="120"/>
      </w:pPr>
      <w:r w:rsidRPr="003869EF">
        <w:t xml:space="preserve">Lab event counts were also </w:t>
      </w:r>
      <w:proofErr w:type="gramStart"/>
      <w:r w:rsidRPr="003869EF">
        <w:t>right-skewed</w:t>
      </w:r>
      <w:proofErr w:type="gramEnd"/>
      <w:r w:rsidRPr="003869EF">
        <w:t xml:space="preserve">. To keep outliers from distorting the analysis, I </w:t>
      </w:r>
      <w:proofErr w:type="spellStart"/>
      <w:r w:rsidRPr="003869EF">
        <w:t>winsorized</w:t>
      </w:r>
      <w:proofErr w:type="spellEnd"/>
      <w:r w:rsidRPr="003869EF">
        <w:t xml:space="preserve"> lab counts at the 99th percentile, which left most data points unchanged. Lab activity tracked closely with medication orders, so patients with more complex needs generated more events across the board.</w:t>
      </w:r>
    </w:p>
    <w:p w14:paraId="5C3A13E5" w14:textId="77777777" w:rsidR="003869EF" w:rsidRPr="003869EF" w:rsidRDefault="003869EF" w:rsidP="00E74AB2">
      <w:pPr>
        <w:pBdr>
          <w:bottom w:val="dashed" w:sz="4" w:space="0" w:color="CCCCCC"/>
        </w:pBdr>
        <w:spacing w:before="120" w:after="120"/>
      </w:pPr>
      <w:r w:rsidRPr="003869EF">
        <w:t>To further characterize short-term spikes in clinical activity, a burst metric was constructed to capture the maximum number of medication orders placed within any 60-minute window per admission. The median burst intensity was 18 orders per hour. Using thresholds of 10, 20, and 30 orders per hour, encounters were categorized into low, moderate, high, and very high intensity groups. This metric highlights periods of concentrated workflow pressure, where alert systems are likely to experience the greatest instantaneous load, independent of total length of stay.</w:t>
      </w:r>
    </w:p>
    <w:p w14:paraId="3B1A1E52" w14:textId="5DEDB829" w:rsidR="003869EF" w:rsidRPr="003869EF" w:rsidRDefault="003869EF" w:rsidP="00E74AB2">
      <w:pPr>
        <w:pBdr>
          <w:bottom w:val="dashed" w:sz="4" w:space="0" w:color="CCCCCC"/>
        </w:pBdr>
        <w:spacing w:before="120" w:after="120"/>
      </w:pPr>
      <w:r w:rsidRPr="003869EF">
        <w:t>Across all outcome measures medication orders per day, laboratory events per day, and total CDS-triggering events per day — the distributions were highly right-skewed and exhibited substantial overdispersion, with variance-to-mean ratios ranging from 119 to 1,178. These distributional characteristics confirm that standard linear and Poisson regression approaches are not appropriate for this data and support the use of negative binomial regression for subsequent modeling.</w:t>
      </w:r>
    </w:p>
    <w:p w14:paraId="094B9AE9" w14:textId="77777777" w:rsidR="00A34AD9" w:rsidRDefault="00A34AD9" w:rsidP="00E74AB2">
      <w:pPr>
        <w:pBdr>
          <w:bottom w:val="dashed" w:sz="4" w:space="0" w:color="CCCCCC"/>
        </w:pBdr>
        <w:spacing w:before="120" w:after="120"/>
      </w:pPr>
    </w:p>
    <w:p w14:paraId="0DF7286C" w14:textId="77777777" w:rsidR="00A34AD9" w:rsidRDefault="00A34AD9" w:rsidP="00E74AB2">
      <w:pPr>
        <w:pBdr>
          <w:bottom w:val="dashed" w:sz="4" w:space="0" w:color="CCCCCC"/>
        </w:pBdr>
        <w:spacing w:before="120" w:after="120"/>
      </w:pPr>
    </w:p>
    <w:p w14:paraId="096A7FF5" w14:textId="77777777" w:rsidR="00A34AD9" w:rsidRDefault="00A34AD9" w:rsidP="00E74AB2">
      <w:pPr>
        <w:pBdr>
          <w:bottom w:val="dashed" w:sz="4" w:space="0" w:color="CCCCCC"/>
        </w:pBdr>
        <w:spacing w:before="120" w:after="120"/>
      </w:pPr>
    </w:p>
    <w:p w14:paraId="4DCA8422" w14:textId="68E0E832" w:rsidR="00D14598" w:rsidRDefault="00000000" w:rsidP="00E74AB2">
      <w:pPr>
        <w:pStyle w:val="Heading2"/>
        <w:rPr>
          <w:b w:val="0"/>
          <w:bCs w:val="0"/>
        </w:rPr>
      </w:pPr>
      <w:r>
        <w:t>4.2 Model Results — Medication Orders (</w:t>
      </w:r>
      <w:proofErr w:type="spellStart"/>
      <w:r>
        <w:t>rx_per_day</w:t>
      </w:r>
      <w:proofErr w:type="spellEnd"/>
      <w:r>
        <w:t>)</w:t>
      </w:r>
      <w:bookmarkEnd w:id="19"/>
    </w:p>
    <w:p w14:paraId="1B502E43" w14:textId="77777777" w:rsidR="00DB16F0" w:rsidRPr="00DB16F0" w:rsidRDefault="00DB16F0" w:rsidP="00E74AB2">
      <w:pPr>
        <w:pBdr>
          <w:bottom w:val="dashed" w:sz="4" w:space="0" w:color="CCCCCC"/>
        </w:pBdr>
        <w:spacing w:before="120" w:after="120"/>
      </w:pPr>
      <w:r w:rsidRPr="00DB16F0">
        <w:lastRenderedPageBreak/>
        <w:t xml:space="preserve">Negative binomial regression was used to model medication orders per </w:t>
      </w:r>
      <w:proofErr w:type="gramStart"/>
      <w:r w:rsidRPr="00DB16F0">
        <w:t>ICU day</w:t>
      </w:r>
      <w:proofErr w:type="gramEnd"/>
      <w:r w:rsidRPr="00DB16F0">
        <w:t>, with ICU unit type, patient age, and gender included as predictors and log-transformed ICU length of stay specified as an offset. Results are reported as Incidence Rate Ratios (IRRs), where values greater than 1.0 indicate higher medication ordering rates relative to the cardiovascular ICU (CVICU) reference group, and values less than 1.0 indicate lower rates. Full model results are presented in Table 7.</w:t>
      </w:r>
    </w:p>
    <w:p w14:paraId="6E0B9289" w14:textId="77777777" w:rsidR="00DB16F0" w:rsidRPr="00DB16F0" w:rsidRDefault="00DB16F0" w:rsidP="00E74AB2">
      <w:pPr>
        <w:pBdr>
          <w:bottom w:val="dashed" w:sz="4" w:space="0" w:color="CCCCCC"/>
        </w:pBdr>
        <w:spacing w:before="120" w:after="120"/>
      </w:pPr>
      <w:r w:rsidRPr="00DB16F0">
        <w:t>ICU unit type emerged as a strong and statistically significant predictor of medication ordering intensity. The Post-Anesthesia Care Unit (PACU) exhibited the highest burden, with patients generating approximately 620% more medication orders per day than CVICU patients (IRR = 7.205, 95% CI: 6.039–8.672, p &lt; 0.0001). In contrast, Neuro Intermediate patients had substantially lower ordering rates, generating approximately 69% fewer medication orders per day (IRR = 0.310, 95% CI: 0.300–0.319, p &lt; 0.0001).</w:t>
      </w:r>
    </w:p>
    <w:p w14:paraId="4D017593" w14:textId="04B18D83" w:rsidR="00DB16F0" w:rsidRPr="00DB16F0" w:rsidRDefault="00DB16F0" w:rsidP="00E74AB2">
      <w:pPr>
        <w:pBdr>
          <w:bottom w:val="dashed" w:sz="4" w:space="0" w:color="CCCCCC"/>
        </w:pBdr>
        <w:spacing w:before="120" w:after="120"/>
      </w:pPr>
      <w:r w:rsidRPr="00DB16F0">
        <w:t>Several additional units also demonstrated significantly lower medication ordering rates compared to CVICU. These included the Medicine unit (IRR = 0.297, p &lt; 0.0001), Neuro Stepdown (IRR = 0.351, p &lt; 0.0001), Medical ICU (MICU) (IRR = 0.816, p &lt; 0.0001), and Surgical ICU (SICU) (IRR = 0.853, p &lt; 0.0001). Two units—Med/Surg and Trauma SICU</w:t>
      </w:r>
      <w:r w:rsidR="00875E6E">
        <w:t xml:space="preserve"> </w:t>
      </w:r>
      <w:r w:rsidRPr="00DB16F0">
        <w:t>did not show statistically significant differences from CVICU (p = 0.583 and p = 0.542, respectively), indicating comparable prescribing intensity after adjusting for covariates.</w:t>
      </w:r>
    </w:p>
    <w:p w14:paraId="4C086025" w14:textId="77777777" w:rsidR="00DB16F0" w:rsidRPr="00DB16F0" w:rsidRDefault="00DB16F0" w:rsidP="00E74AB2">
      <w:pPr>
        <w:pBdr>
          <w:bottom w:val="dashed" w:sz="4" w:space="0" w:color="CCCCCC"/>
        </w:pBdr>
        <w:spacing w:before="120" w:after="120"/>
      </w:pPr>
      <w:r w:rsidRPr="00DB16F0">
        <w:t>Patient age was a statistically significant predictor of medication ordering rates (IRR = 0.998, 95% CI: 0.997–0.998, p &lt; 0.0001), though the effect size was minimal. Each additional year of age was associated with an approximate 0.2% decrease in daily medication orders, suggesting that age has a measurable but limited practical impact on prescribing intensity.</w:t>
      </w:r>
    </w:p>
    <w:p w14:paraId="785D39D0" w14:textId="77777777" w:rsidR="00DB16F0" w:rsidRPr="00DB16F0" w:rsidRDefault="00DB16F0" w:rsidP="00E74AB2">
      <w:pPr>
        <w:pBdr>
          <w:bottom w:val="dashed" w:sz="4" w:space="0" w:color="CCCCCC"/>
        </w:pBdr>
        <w:spacing w:before="120" w:after="120"/>
      </w:pPr>
      <w:r w:rsidRPr="00DB16F0">
        <w:t>Gender was not a statistically significant predictor (IRR = 1.006, 95% CI: 0.993–1.019, p = 0.358), indicating that male and female patients experienced comparable medication ordering rates after controlling for ICU unit type, age, and length of stay. Overall, these findings suggest that medication ordering intensity in the ICU is driven primarily by the clinical environment and unit-specific workflows rather than by patient demographic characteristics.</w:t>
      </w:r>
    </w:p>
    <w:p w14:paraId="05192C2E" w14:textId="77777777" w:rsidR="00DB16F0" w:rsidRDefault="00DB16F0" w:rsidP="00E74AB2">
      <w:pPr>
        <w:pBdr>
          <w:bottom w:val="dashed" w:sz="4" w:space="0" w:color="CCCCCC"/>
        </w:pBdr>
        <w:spacing w:before="120" w:after="120"/>
      </w:pPr>
    </w:p>
    <w:p w14:paraId="312832E0" w14:textId="4DD0FB5D" w:rsidR="00D14598" w:rsidRDefault="00000000" w:rsidP="00E74AB2">
      <w:pPr>
        <w:pStyle w:val="Heading2"/>
      </w:pPr>
      <w:bookmarkStart w:id="20" w:name="_Toc226493004"/>
      <w:r>
        <w:t>4.3 Model Results — Laboratory Events (</w:t>
      </w:r>
      <w:proofErr w:type="spellStart"/>
      <w:r>
        <w:t>labs_per_day</w:t>
      </w:r>
      <w:proofErr w:type="spellEnd"/>
      <w:r>
        <w:t>)</w:t>
      </w:r>
      <w:bookmarkEnd w:id="20"/>
    </w:p>
    <w:p w14:paraId="6FF49131" w14:textId="77777777" w:rsidR="001267B5" w:rsidRPr="001267B5" w:rsidRDefault="001267B5" w:rsidP="00E74AB2">
      <w:pPr>
        <w:pBdr>
          <w:bottom w:val="dashed" w:sz="4" w:space="0" w:color="CCCCCC"/>
        </w:pBdr>
        <w:spacing w:before="120" w:after="120"/>
      </w:pPr>
      <w:r w:rsidRPr="001267B5">
        <w:t xml:space="preserve">Negative binomial regression was used to model laboratory events per </w:t>
      </w:r>
      <w:proofErr w:type="gramStart"/>
      <w:r w:rsidRPr="001267B5">
        <w:t>ICU day</w:t>
      </w:r>
      <w:proofErr w:type="gramEnd"/>
      <w:r w:rsidRPr="001267B5">
        <w:t>, using the same predictors and offset structure as Model 1. Results are reported as Incidence Rate Ratios (IRRs) relative to the CVICU reference group. Full model results are presented in Table 8.</w:t>
      </w:r>
    </w:p>
    <w:p w14:paraId="1472E756" w14:textId="709EB45A" w:rsidR="001267B5" w:rsidRPr="001267B5" w:rsidRDefault="001267B5" w:rsidP="00E74AB2">
      <w:pPr>
        <w:pBdr>
          <w:bottom w:val="dashed" w:sz="4" w:space="0" w:color="CCCCCC"/>
        </w:pBdr>
        <w:spacing w:before="120" w:after="120"/>
      </w:pPr>
      <w:r w:rsidRPr="001267B5">
        <w:t xml:space="preserve">ICU unit type </w:t>
      </w:r>
      <w:r w:rsidR="00BF5DF8">
        <w:t xml:space="preserve">remained the dominant predictor of laboratory event rates, though the pattern differed notably from that in </w:t>
      </w:r>
      <w:r w:rsidRPr="001267B5">
        <w:t xml:space="preserve">the medication orders model. Patients in the Medical/Surgical ICU (MICU/SICU) generated approximately 42% more laboratory events per day than CVICU patients (IRR = 1.423, 95% CI: 1.361–1.487, p &lt; 0.0001), a larger difference than observed for medication orders alone. This suggests that </w:t>
      </w:r>
      <w:r w:rsidRPr="001267B5">
        <w:lastRenderedPageBreak/>
        <w:t>MICU/SICU patients drive disproportionate laboratory burden</w:t>
      </w:r>
      <w:r w:rsidR="00BF5DF8">
        <w:t>,</w:t>
      </w:r>
      <w:r w:rsidRPr="001267B5">
        <w:t xml:space="preserve"> specifically, likely </w:t>
      </w:r>
      <w:proofErr w:type="gramStart"/>
      <w:r w:rsidRPr="001267B5">
        <w:t>reflecting</w:t>
      </w:r>
      <w:proofErr w:type="gramEnd"/>
      <w:r w:rsidRPr="001267B5">
        <w:t xml:space="preserve"> the complexity and acuity of their care needs.</w:t>
      </w:r>
    </w:p>
    <w:p w14:paraId="17217C53" w14:textId="77777777" w:rsidR="001267B5" w:rsidRPr="001267B5" w:rsidRDefault="001267B5" w:rsidP="00E74AB2">
      <w:pPr>
        <w:pBdr>
          <w:bottom w:val="dashed" w:sz="4" w:space="0" w:color="CCCCCC"/>
        </w:pBdr>
        <w:spacing w:before="120" w:after="120"/>
      </w:pPr>
      <w:r w:rsidRPr="001267B5">
        <w:t>Neuro Intermediate patients again exhibited the lowest event rates, generating approximately 84% fewer laboratory events per day than CVICU patients (IRR = 0.164, 95% CI: 0.154–0.174, p &lt; 0.0001). Neuro Stepdown (IRR = 0.486, p &lt; 0.0001) and Neuro SICU (IRR = 0.546, p &lt; 0.0001) also demonstrated significantly lower laboratory activity, suggesting a pattern of less intensive monitoring across neurology-focused units.</w:t>
      </w:r>
    </w:p>
    <w:p w14:paraId="7AAB4AD3" w14:textId="3C7C565D" w:rsidR="001267B5" w:rsidRPr="001267B5" w:rsidRDefault="001267B5" w:rsidP="00E74AB2">
      <w:pPr>
        <w:pBdr>
          <w:bottom w:val="dashed" w:sz="4" w:space="0" w:color="CCCCCC"/>
        </w:pBdr>
        <w:spacing w:before="120" w:after="120"/>
      </w:pPr>
      <w:r w:rsidRPr="001267B5">
        <w:t xml:space="preserve">A notable reversal was observed for PACU patients. While PACU had the highest medication ordering rate in Model 1, it had dramatically lower laboratory event rates in this model (IRR = 0.004, p &lt; 0.0001). This likely reflects the nature of PACU care </w:t>
      </w:r>
      <w:proofErr w:type="gramStart"/>
      <w:r w:rsidRPr="001267B5">
        <w:t>short-duration</w:t>
      </w:r>
      <w:proofErr w:type="gramEnd"/>
      <w:r w:rsidRPr="001267B5">
        <w:t xml:space="preserve"> stays characterized by active medication management following procedures but with limited need for ongoing laboratory monitoring.</w:t>
      </w:r>
    </w:p>
    <w:p w14:paraId="18627638" w14:textId="77777777" w:rsidR="001267B5" w:rsidRPr="001267B5" w:rsidRDefault="001267B5" w:rsidP="00E74AB2">
      <w:pPr>
        <w:pBdr>
          <w:bottom w:val="dashed" w:sz="4" w:space="0" w:color="CCCCCC"/>
        </w:pBdr>
        <w:spacing w:before="120" w:after="120"/>
      </w:pPr>
      <w:r w:rsidRPr="001267B5">
        <w:t>Several smaller unit categories, including Med/Surg, Medicine, Medicine/Cardiology Intermediate, Surgery/Trauma, and Surgery/Vascular/Intermediate, produced unstable estimates with extremely wide confidence intervals and p-values near 1.0. These results reflect a separation problem caused by sparse observations in those groups and should not be interpreted as meaningful findings. Results for those units are excluded from substantive interpretation.</w:t>
      </w:r>
    </w:p>
    <w:p w14:paraId="4F92D85A" w14:textId="2135E474" w:rsidR="00CF6087" w:rsidRDefault="001267B5" w:rsidP="00E74AB2">
      <w:pPr>
        <w:pBdr>
          <w:bottom w:val="dashed" w:sz="4" w:space="0" w:color="CCCCCC"/>
        </w:pBdr>
        <w:spacing w:before="120" w:after="120"/>
      </w:pPr>
      <w:r w:rsidRPr="001267B5">
        <w:t>Patient age was a statistically significant predictor (IRR = 0.999, 95% CI: 0.998–0.999, p = 0.0004), though the effect size was negligibly small, with each additional year of age associated with less than a 0.1% decrease in daily laboratory events. Gender was not a statistically significant predictor (IRR = 1.015, 95% CI: 0.989–1.041, p = 0.255), indicating that male and female patients had comparable laboratory event rates after controlling for ICU unit type, age, and length of stay. As with medication orders, these findings suggest that laboratory activity in the ICU is driven primarily by unit-level care context rather than patient demographic characteristics.</w:t>
      </w:r>
    </w:p>
    <w:p w14:paraId="49BA1360" w14:textId="77777777" w:rsidR="00E74AB2" w:rsidRDefault="00E74AB2" w:rsidP="00E74AB2">
      <w:pPr>
        <w:pBdr>
          <w:bottom w:val="dashed" w:sz="4" w:space="0" w:color="CCCCCC"/>
        </w:pBdr>
        <w:spacing w:before="120" w:after="120"/>
        <w:jc w:val="right"/>
      </w:pPr>
    </w:p>
    <w:p w14:paraId="6FF18BCF" w14:textId="4C64635A" w:rsidR="00D14598" w:rsidRDefault="00000000" w:rsidP="00E74AB2">
      <w:pPr>
        <w:pStyle w:val="Heading2"/>
      </w:pPr>
      <w:bookmarkStart w:id="21" w:name="_Toc226493005"/>
      <w:r>
        <w:t>4.4 Model Results — Total CDS Events (</w:t>
      </w:r>
      <w:proofErr w:type="spellStart"/>
      <w:r>
        <w:t>total_events_per_day</w:t>
      </w:r>
      <w:proofErr w:type="spellEnd"/>
      <w:r>
        <w:t>)</w:t>
      </w:r>
      <w:bookmarkEnd w:id="21"/>
    </w:p>
    <w:p w14:paraId="61806166" w14:textId="77777777" w:rsidR="001267B5" w:rsidRPr="001267B5" w:rsidRDefault="001267B5" w:rsidP="00E74AB2">
      <w:pPr>
        <w:spacing w:before="120" w:after="120"/>
        <w:rPr>
          <w:color w:val="000000"/>
        </w:rPr>
      </w:pPr>
      <w:r w:rsidRPr="001267B5">
        <w:rPr>
          <w:color w:val="000000"/>
        </w:rPr>
        <w:t xml:space="preserve">The total CDS events model is the primary outcome of this study, combining medication orders and laboratory events into a single measure of overall clinical activity burden per </w:t>
      </w:r>
      <w:proofErr w:type="gramStart"/>
      <w:r w:rsidRPr="001267B5">
        <w:rPr>
          <w:color w:val="000000"/>
        </w:rPr>
        <w:t>ICU day</w:t>
      </w:r>
      <w:proofErr w:type="gramEnd"/>
      <w:r w:rsidRPr="001267B5">
        <w:rPr>
          <w:color w:val="000000"/>
        </w:rPr>
        <w:t>. Results are reported as IRRs relative to the CVICU reference group, with log-transformed ICU length of stay included as an offset. Full model results are presented in Table 9.</w:t>
      </w:r>
    </w:p>
    <w:p w14:paraId="152563CB" w14:textId="77777777" w:rsidR="001267B5" w:rsidRPr="001267B5" w:rsidRDefault="001267B5" w:rsidP="00E74AB2">
      <w:pPr>
        <w:spacing w:before="120" w:after="120"/>
        <w:rPr>
          <w:color w:val="000000"/>
        </w:rPr>
      </w:pPr>
      <w:r w:rsidRPr="001267B5">
        <w:rPr>
          <w:color w:val="000000"/>
        </w:rPr>
        <w:t>ICU unit type was the strongest predictor of total daily CDS burden across all three models. Patients in the Medical/Surgical ICU (MICU/SICU) generated approximately 20% more total CDS-triggering events per day than CVICU patients (IRR = 1.202, 95% CI: 1.170–1.235, p &lt; 0.0001). PACU patients also exhibited significantly higher total event rates (IRR = 1.659, 95% CI: 1.343–2.050, p &lt; 0.0001), driven largely by the high medication ordering intensity observed in Model 1.</w:t>
      </w:r>
    </w:p>
    <w:p w14:paraId="56721F23" w14:textId="77777777" w:rsidR="001267B5" w:rsidRPr="001267B5" w:rsidRDefault="001267B5" w:rsidP="00E74AB2">
      <w:pPr>
        <w:spacing w:before="120" w:after="120"/>
        <w:rPr>
          <w:color w:val="000000"/>
        </w:rPr>
      </w:pPr>
      <w:r w:rsidRPr="001267B5">
        <w:rPr>
          <w:color w:val="000000"/>
        </w:rPr>
        <w:t xml:space="preserve">Neuro Intermediate patients had the lowest total event burden by a substantial margin, generating approximately 81% fewer CDS-triggering events per day than CVICU </w:t>
      </w:r>
      <w:r w:rsidRPr="001267B5">
        <w:rPr>
          <w:color w:val="000000"/>
        </w:rPr>
        <w:lastRenderedPageBreak/>
        <w:t>patients (IRR = 0.189, 95% CI: 0.182–0.196, p &lt; 0.0001). Neuro Stepdown (IRR = 0.418, p &lt; 0.0001), Neuro SICU (IRR = 0.522, p &lt; 0.0001), and the Coronary Care Unit (IRR = 0.859, p &lt; 0.0001) also demonstrated significantly lower daily event rates. Med/Surg and Medicine/Cardiology Intermediate did not reach statistical significance, consistent with the sparse data issues identified in earlier models.</w:t>
      </w:r>
    </w:p>
    <w:p w14:paraId="73216AFC" w14:textId="77777777" w:rsidR="001267B5" w:rsidRPr="001267B5" w:rsidRDefault="001267B5" w:rsidP="00E74AB2">
      <w:pPr>
        <w:spacing w:before="120" w:after="120"/>
        <w:rPr>
          <w:color w:val="000000"/>
        </w:rPr>
      </w:pPr>
      <w:r w:rsidRPr="001267B5">
        <w:rPr>
          <w:color w:val="000000"/>
        </w:rPr>
        <w:t>Patient age was a statistically significant predictor (IRR = 0.998, 95% CI: 0.997–0.998, p &lt; 0.0001), with each additional year of age associated with approximately a 0.2% decrease in total daily events. While statistically significant given the large sample size, the practical magnitude of this effect is small relative to the large differences observed across ICU unit types.</w:t>
      </w:r>
    </w:p>
    <w:p w14:paraId="64124D9D" w14:textId="77777777" w:rsidR="001267B5" w:rsidRPr="001267B5" w:rsidRDefault="001267B5" w:rsidP="00E74AB2">
      <w:pPr>
        <w:spacing w:before="120" w:after="120"/>
        <w:rPr>
          <w:color w:val="000000"/>
        </w:rPr>
      </w:pPr>
      <w:r w:rsidRPr="001267B5">
        <w:rPr>
          <w:color w:val="000000"/>
        </w:rPr>
        <w:t xml:space="preserve">Gender was also a statistically significant predictor in the total events model (IRR = 1.035, 95% CI: 1.019–1.051, p &lt; 0.0001), with male patients generating approximately 3.5% more total CDS-triggering events per day than female patients. Although this difference is statistically significant, it is modest in practical terms and unlikely to drive meaningful variation in alert exposure at the unit level. Notably, gender was not significant in either Model 1 or Model 2 individually, suggesting that the combined effect across </w:t>
      </w:r>
      <w:proofErr w:type="gramStart"/>
      <w:r w:rsidRPr="001267B5">
        <w:rPr>
          <w:color w:val="000000"/>
        </w:rPr>
        <w:t>both event</w:t>
      </w:r>
      <w:proofErr w:type="gramEnd"/>
      <w:r w:rsidRPr="001267B5">
        <w:rPr>
          <w:color w:val="000000"/>
        </w:rPr>
        <w:t xml:space="preserve"> types produces a detectable but small aggregate difference. This finding warrants further investigation in future studies examining whether gender differences in clinical activity reflect differences in care complexity, diagnosis patterns, or ordering behavior.</w:t>
      </w:r>
    </w:p>
    <w:p w14:paraId="1CEE6444" w14:textId="506274D3" w:rsidR="00CF6087" w:rsidRPr="00CF6087" w:rsidRDefault="00CF6087" w:rsidP="00E74AB2">
      <w:pPr>
        <w:spacing w:before="120" w:after="120"/>
        <w:rPr>
          <w:color w:val="000000"/>
        </w:rPr>
      </w:pPr>
    </w:p>
    <w:p w14:paraId="3BBD75FB" w14:textId="77777777" w:rsidR="00D14598" w:rsidRDefault="00000000" w:rsidP="00E74AB2">
      <w:pPr>
        <w:pStyle w:val="Heading2"/>
      </w:pPr>
      <w:bookmarkStart w:id="22" w:name="_Toc226493006"/>
      <w:r>
        <w:t>4.5 Discussion</w:t>
      </w:r>
      <w:bookmarkEnd w:id="22"/>
    </w:p>
    <w:p w14:paraId="38E81954" w14:textId="28B71B36" w:rsidR="004A51BE" w:rsidRDefault="004A51BE" w:rsidP="00E74AB2">
      <w:r w:rsidRPr="004A51BE">
        <w:t xml:space="preserve">The findings of this study </w:t>
      </w:r>
      <w:r>
        <w:t>support a central argument in alert fatigue research: clinical activity burden in ICU settings varies substantially across care settings. It cannot</w:t>
      </w:r>
      <w:r w:rsidRPr="004A51BE">
        <w:t xml:space="preserve"> be effectively managed through uniform, system-wide alert strategies. Across all three negative binomial regression models, ICU unit type emerged as the strongest and most consistent predictor of daily CDS-triggering event rates</w:t>
      </w:r>
      <w:r>
        <w:t>. At the same time,</w:t>
      </w:r>
      <w:r w:rsidRPr="004A51BE">
        <w:t xml:space="preserve"> patient demographic characteristics played a comparatively minor role. These results align with and build on prior work suggesting that the clinical environment itself, rather than individual patient characteristics, is the primary driver of alert exposure in critical care settings (Wong et al., 2023).</w:t>
      </w:r>
    </w:p>
    <w:p w14:paraId="5E16B7A9" w14:textId="77777777" w:rsidR="004A51BE" w:rsidRPr="004A51BE" w:rsidRDefault="004A51BE" w:rsidP="00E74AB2"/>
    <w:p w14:paraId="3B20867B" w14:textId="77777777" w:rsidR="004A51BE" w:rsidRPr="004A51BE" w:rsidRDefault="004A51BE" w:rsidP="00E74AB2">
      <w:pPr>
        <w:pStyle w:val="Heading4"/>
      </w:pPr>
      <w:r w:rsidRPr="004A51BE">
        <w:t>ICU Unit Type and Alert Burden</w:t>
      </w:r>
    </w:p>
    <w:p w14:paraId="69D3E3CA" w14:textId="19662714" w:rsidR="004A51BE" w:rsidRPr="004A51BE" w:rsidRDefault="004A51BE" w:rsidP="00E74AB2">
      <w:r w:rsidRPr="004A51BE">
        <w:t xml:space="preserve">The differences between units were substantial and statistically significant. MICU/SICU patients generated approximately 20% more CDS-triggering events per day than CVICU patients, while Neuro Intermediate patients generated approximately 81% fewer. These patterns </w:t>
      </w:r>
      <w:r w:rsidR="002B7C67">
        <w:t>persisted after adjusting for age, gender, and length of stay, suggesting</w:t>
      </w:r>
      <w:r w:rsidRPr="004A51BE">
        <w:t xml:space="preserve"> unit-specific workflows and ordering practices as the main sources of variation in alert exposure. This is consistent with Wong et al. (2023), who identified unit workflow demands and excess alert quantity as key barriers to effective CDS interaction in ICU settings, and with Bakker et al. (2024), who demonstrated that tailoring alerts to specific ICU units rather than applying system-wide suppression produced the most meaningful reductions in high-risk clinical events.</w:t>
      </w:r>
    </w:p>
    <w:p w14:paraId="00D6A4B0" w14:textId="77777777" w:rsidR="004A51BE" w:rsidRDefault="004A51BE" w:rsidP="00E74AB2">
      <w:r w:rsidRPr="004A51BE">
        <w:lastRenderedPageBreak/>
        <w:t>The PACU results highlight how much unit workflows matter. PACU patients had over 620% more medication orders per day than CVICU patients but far fewer laboratory events. This reflects the PACU's focus on short, intensive medication management after procedures with little need for ongoing laboratory monitoring. Using the same alert thresholds across both units would be poorly calibrated for either setting, underscoring the practical importance of unit-specific alert configuration (Bakker et al., 2024). These findings directly address RQ1 and RQ2 by demonstrating the scale of variation in event burden across units and the different ways medication and laboratory events contribute to that burden.</w:t>
      </w:r>
    </w:p>
    <w:p w14:paraId="18DBB25A" w14:textId="77777777" w:rsidR="004A51BE" w:rsidRPr="004A51BE" w:rsidRDefault="004A51BE" w:rsidP="00E74AB2"/>
    <w:p w14:paraId="7CC31415" w14:textId="62E6579F" w:rsidR="004A51BE" w:rsidRPr="004A51BE" w:rsidRDefault="004A51BE" w:rsidP="00E74AB2">
      <w:pPr>
        <w:pStyle w:val="Heading4"/>
      </w:pPr>
      <w:r w:rsidRPr="004A51BE">
        <w:t>Demographic Predictors and Non-Significant Findings</w:t>
      </w:r>
    </w:p>
    <w:p w14:paraId="3FD56987" w14:textId="5BB3BAC0" w:rsidR="004A51BE" w:rsidRDefault="004A51BE" w:rsidP="00E74AB2">
      <w:r w:rsidRPr="004A51BE">
        <w:t xml:space="preserve">Age was a statistically significant predictor across all three models, but the effect was negligibly </w:t>
      </w:r>
      <w:proofErr w:type="gramStart"/>
      <w:r w:rsidRPr="004A51BE">
        <w:t>small</w:t>
      </w:r>
      <w:proofErr w:type="gramEnd"/>
      <w:r w:rsidRPr="004A51BE">
        <w:t xml:space="preserve"> approximately a 0.2% decrease in daily events per additional year of age. This difference is too small to matter in practice and suggests that customizing alerts based on patient demographics alone is not a productive strategy. Knowing what does not drive alert burden is just as informative as knowing what does, since it helps CDS governance teams avoid directing optimization efforts toward factors with limited impact (Ancker et al., 2017).</w:t>
      </w:r>
    </w:p>
    <w:p w14:paraId="1EA70FE2" w14:textId="77777777" w:rsidR="004A51BE" w:rsidRPr="004A51BE" w:rsidRDefault="004A51BE" w:rsidP="00E74AB2"/>
    <w:p w14:paraId="793E354F" w14:textId="77777777" w:rsidR="004A51BE" w:rsidRDefault="004A51BE" w:rsidP="00E74AB2">
      <w:r w:rsidRPr="004A51BE">
        <w:t xml:space="preserve">Gender only reached statistical significance in the total events model, with male patients generating about 3.5% more events per day than female patients. This small difference likely reflects minor variations in ordering patterns rather than meaningful differences in care intensity. Taken together, the demographic findings confirm that basic patient characteristics are weak predictors of alert burden compared to unit-level factors, which </w:t>
      </w:r>
      <w:proofErr w:type="gramStart"/>
      <w:r w:rsidRPr="004A51BE">
        <w:t>has</w:t>
      </w:r>
      <w:proofErr w:type="gramEnd"/>
      <w:r w:rsidRPr="004A51BE">
        <w:t xml:space="preserve"> direct implications for where CDS design and calibration efforts should be focused.</w:t>
      </w:r>
    </w:p>
    <w:p w14:paraId="3CA78C60" w14:textId="77777777" w:rsidR="00EF548A" w:rsidRPr="004A51BE" w:rsidRDefault="00EF548A" w:rsidP="00E74AB2"/>
    <w:p w14:paraId="62900CA9" w14:textId="77777777" w:rsidR="004A51BE" w:rsidRPr="004A51BE" w:rsidRDefault="004A51BE" w:rsidP="00E74AB2">
      <w:pPr>
        <w:pStyle w:val="Heading4"/>
      </w:pPr>
      <w:r w:rsidRPr="004A51BE">
        <w:t>Temporal Clustering and Burst Activity</w:t>
      </w:r>
    </w:p>
    <w:p w14:paraId="4BD26D2D" w14:textId="77777777" w:rsidR="00597AF9" w:rsidRDefault="004A51BE" w:rsidP="00E74AB2">
      <w:r w:rsidRPr="004A51BE">
        <w:t xml:space="preserve">Alert systems are </w:t>
      </w:r>
      <w:proofErr w:type="gramStart"/>
      <w:r w:rsidRPr="004A51BE">
        <w:t>most overloaded</w:t>
      </w:r>
      <w:proofErr w:type="gramEnd"/>
      <w:r w:rsidRPr="004A51BE">
        <w:t xml:space="preserve"> precisely when </w:t>
      </w:r>
      <w:r w:rsidR="00597AF9">
        <w:t>the clinician's</w:t>
      </w:r>
      <w:r w:rsidRPr="004A51BE">
        <w:t xml:space="preserve"> cognitive demand is already highest. With 81.4% of medication orders concentrated in the day and evening shifts and peak activity at 8am, 10am, and 8pm</w:t>
      </w:r>
      <w:r w:rsidR="00597AF9">
        <w:t>, during morning rounds and shift transitions,</w:t>
      </w:r>
      <w:r w:rsidRPr="004A51BE">
        <w:t xml:space="preserve"> the conditions for alert fatigue are most acute at the moments when accurate clinical decision-making matters most. This pattern is consistent with prior research identifying cognitive overload as a primary mechanism of alert fatigue alongside desensitization from repeated alerts (Ancker et al., 2017).</w:t>
      </w:r>
    </w:p>
    <w:p w14:paraId="0E871AB8" w14:textId="77777777" w:rsidR="00597AF9" w:rsidRDefault="00597AF9" w:rsidP="00E74AB2"/>
    <w:p w14:paraId="4B429E10" w14:textId="5349A882" w:rsidR="004A51BE" w:rsidRDefault="004A51BE" w:rsidP="00E74AB2">
      <w:r w:rsidRPr="004A51BE">
        <w:t xml:space="preserve"> The burst metric further reveals that many ICU admissions experience concentrated spikes of ordering activity within 60-minute windows, with a median burst intensity of 18 orders per hour. These spikes represent particularly high-risk windows for alert fatigue, as clinicians must process </w:t>
      </w:r>
      <w:proofErr w:type="gramStart"/>
      <w:r w:rsidRPr="004A51BE">
        <w:t>a large number of</w:t>
      </w:r>
      <w:proofErr w:type="gramEnd"/>
      <w:r w:rsidRPr="004A51BE">
        <w:t xml:space="preserve"> notifications in a short time.</w:t>
      </w:r>
    </w:p>
    <w:p w14:paraId="5816C19A" w14:textId="77777777" w:rsidR="00EF548A" w:rsidRPr="004A51BE" w:rsidRDefault="00EF548A" w:rsidP="00E74AB2"/>
    <w:p w14:paraId="55B6B084" w14:textId="77777777" w:rsidR="004A51BE" w:rsidRPr="004A51BE" w:rsidRDefault="004A51BE" w:rsidP="00E74AB2">
      <w:pPr>
        <w:pStyle w:val="Heading4"/>
      </w:pPr>
      <w:r w:rsidRPr="004A51BE">
        <w:t>Suppression Scenario Analysis</w:t>
      </w:r>
    </w:p>
    <w:p w14:paraId="5C9E9696" w14:textId="77777777" w:rsidR="004A51BE" w:rsidRDefault="004A51BE" w:rsidP="00E74AB2">
      <w:r w:rsidRPr="004A51BE">
        <w:t xml:space="preserve">The suppression scenario analysis shows what targeted interventions could realistically achieve. Simulating a 15% reduction in duplicate medication orders and a 20% reduction in redundant laboratory events produced meaningful shifts in the distribution of high-burden encounters, demonstrating that even modest, focused changes can make a real difference in alert exposure at the population level. These findings are </w:t>
      </w:r>
      <w:r w:rsidRPr="004A51BE">
        <w:lastRenderedPageBreak/>
        <w:t>framed as simulations rather than measured reductions, and their real-world impact would depend on the specific CDS configurations and clinical workflows at each institution. Nevertheless, they give CDS governance teams concrete, data-grounded estimates to support the case for targeted alert optimization rather than broad system-wide suppression.</w:t>
      </w:r>
    </w:p>
    <w:p w14:paraId="49E4BCDE" w14:textId="77777777" w:rsidR="00EF548A" w:rsidRPr="004A51BE" w:rsidRDefault="00EF548A" w:rsidP="00E74AB2"/>
    <w:p w14:paraId="4B03E224" w14:textId="77777777" w:rsidR="004A51BE" w:rsidRPr="004A51BE" w:rsidRDefault="004A51BE" w:rsidP="00E74AB2">
      <w:pPr>
        <w:pStyle w:val="Heading4"/>
      </w:pPr>
      <w:r w:rsidRPr="004A51BE">
        <w:t>Implications for CDS Design and Alert Management</w:t>
      </w:r>
    </w:p>
    <w:p w14:paraId="6F075D43" w14:textId="77777777" w:rsidR="004A51BE" w:rsidRDefault="004A51BE" w:rsidP="00E74AB2">
      <w:r w:rsidRPr="004A51BE">
        <w:t>These results have clear implications for how CDS systems should be designed and managed in ICU settings. Alert thresholds and suppression rules need to be set at the unit level rather than applied uniformly across a hospital system. High-volume units like MICU/SICU are at greater risk for alert fatigue and should be the primary focus for deduplication and suppression strategies (Bakker et al., 2024). Lower-volume units may need less aggressive intervention, but their alerts should be as relevant and actionable as possible to preserve clinician trust in the system (Wong et al., 2023).</w:t>
      </w:r>
    </w:p>
    <w:p w14:paraId="16688000" w14:textId="77777777" w:rsidR="00597AF9" w:rsidRPr="004A51BE" w:rsidRDefault="00597AF9" w:rsidP="00E74AB2"/>
    <w:p w14:paraId="0891B98C" w14:textId="77777777" w:rsidR="004A51BE" w:rsidRDefault="004A51BE" w:rsidP="00E74AB2">
      <w:r w:rsidRPr="004A51BE">
        <w:t xml:space="preserve">Shift-aware alert management offers another practical </w:t>
      </w:r>
      <w:proofErr w:type="gramStart"/>
      <w:r w:rsidRPr="004A51BE">
        <w:t>lever</w:t>
      </w:r>
      <w:proofErr w:type="gramEnd"/>
      <w:r w:rsidRPr="004A51BE">
        <w:t>. Reducing non-urgent notifications during peak ordering windows can lower alert fatigue without suppressing clinically critical warnings. This aligns with the core CDS design principle of delivering the right alert to the right clinician at the right time, which has been identified as a key determinant of CDS effectiveness in prior research (Sutton et al., 2020).</w:t>
      </w:r>
    </w:p>
    <w:p w14:paraId="1366F821" w14:textId="77777777" w:rsidR="00597AF9" w:rsidRPr="004A51BE" w:rsidRDefault="00597AF9" w:rsidP="00E74AB2"/>
    <w:p w14:paraId="5987DA0B" w14:textId="77777777" w:rsidR="004A51BE" w:rsidRPr="004A51BE" w:rsidRDefault="004A51BE" w:rsidP="00E74AB2">
      <w:r w:rsidRPr="004A51BE">
        <w:t>Finally, this study demonstrates that open, publicly available ICU data can serve as a practical and reproducible alternative to proprietary EHR alert logs for studying CDS event burden. By using MIMIC-IV and applying negative binomial regression, this analysis provides a framework that other researchers and CDS teams can replicate and adapt without requiring access to institutional alert data, helping to close a gap in the literature where most prior work has been limited to single-institution studies with closed data (Wong et al., 2023; Kouri et al., 2023).</w:t>
      </w:r>
    </w:p>
    <w:p w14:paraId="0E11BA21" w14:textId="77777777" w:rsidR="00D14598" w:rsidRDefault="00000000" w:rsidP="00E74AB2">
      <w:r>
        <w:br w:type="page"/>
      </w:r>
    </w:p>
    <w:p w14:paraId="591E355D" w14:textId="77777777" w:rsidR="00D14598" w:rsidRDefault="00000000" w:rsidP="00E74AB2">
      <w:pPr>
        <w:pStyle w:val="Heading1"/>
      </w:pPr>
      <w:bookmarkStart w:id="23" w:name="_Toc226493007"/>
      <w:r>
        <w:lastRenderedPageBreak/>
        <w:t>5. Conclusions</w:t>
      </w:r>
      <w:bookmarkEnd w:id="23"/>
    </w:p>
    <w:p w14:paraId="7C25A566" w14:textId="62D592AB" w:rsidR="00355D66" w:rsidRDefault="00355D66" w:rsidP="00E74AB2">
      <w:r w:rsidRPr="00355D66">
        <w:t xml:space="preserve">Alert fatigue in ICU clinical decision support is not just about having too many alerts. The real issue is that </w:t>
      </w:r>
      <w:r>
        <w:t>the alert burden varies widely by</w:t>
      </w:r>
      <w:r w:rsidRPr="00355D66">
        <w:t xml:space="preserve"> unit type, workflow, and patient encounter. Using medication orders and laboratory events from MIMIC-IV as proxies for CDS-triggering activity, this study found that some ICUs</w:t>
      </w:r>
      <w:r>
        <w:t>, particularly MICU/SICU, face substantially higher daily event volumes than others,</w:t>
      </w:r>
      <w:r w:rsidRPr="00355D66">
        <w:t xml:space="preserve"> such as CVICU or Neuro Intermediate. The data make clear that alert burden is uneven and closely tied to the care setting, which means that generic, one-size-fits-all solutions are unlikely to work. The structure of ICU workflows themselves drives much of the alert burden (Wong et al., 2023).</w:t>
      </w:r>
    </w:p>
    <w:p w14:paraId="207AD9CA" w14:textId="77777777" w:rsidR="00355D66" w:rsidRPr="00355D66" w:rsidRDefault="00355D66" w:rsidP="00E74AB2"/>
    <w:p w14:paraId="4B474353" w14:textId="29576B0D" w:rsidR="00355D66" w:rsidRDefault="00355D66" w:rsidP="00E74AB2">
      <w:r w:rsidRPr="00355D66">
        <w:t>This study addressed three research questions</w:t>
      </w:r>
      <w:r>
        <w:t>,</w:t>
      </w:r>
      <w:r w:rsidRPr="00355D66">
        <w:t xml:space="preserve"> moving from description to modeling to intervention simulation. RQ1 was answered by documenting substantial variation in CDS-triggering event rates across ICU encounters, with ICU unit type emerging as the strongest predictor. RQ2 was addressed by showing that medication orders and laboratory events contribute differently to overall burden </w:t>
      </w:r>
      <w:r>
        <w:t xml:space="preserve">across units, most notably </w:t>
      </w:r>
      <w:r w:rsidRPr="00355D66">
        <w:t>in PACU, where high medication ordering rates coincided with very low laboratory activity. RQ3 was addressed through suppression scenario simulations</w:t>
      </w:r>
      <w:r>
        <w:t>, which demonstrated</w:t>
      </w:r>
      <w:r w:rsidRPr="00355D66">
        <w:t xml:space="preserve"> that targeted reductions in duplicate medication orders and redundant laboratory events could meaningfully lower high-burden encounters without broad system-wide suppression (Kouri et al., 2023).</w:t>
      </w:r>
    </w:p>
    <w:p w14:paraId="20EC5E03" w14:textId="77777777" w:rsidR="00355D66" w:rsidRPr="00355D66" w:rsidRDefault="00355D66" w:rsidP="00E74AB2"/>
    <w:p w14:paraId="07EE9801" w14:textId="77777777" w:rsidR="00355D66" w:rsidRDefault="00355D66" w:rsidP="00E74AB2">
      <w:r w:rsidRPr="00355D66">
        <w:t>Timing and type of CDS-triggering events also matter. Medication orders and laboratory tests are not spread evenly throughout the day. Clinicians often face bursts of activity during already demanding periods, particularly at shift transitions and morning rounds (Ancker et al., 2017). This helps explain why alert fatigue persists even when alerts are designed to improve safety. When too many low-value or repetitive alerts accumulate during peak times, clinicians start ignoring them — including the ones that matter. The problem is not just how many alerts there are, but whether they are relevant, well-timed, and suited to the clinical context.</w:t>
      </w:r>
    </w:p>
    <w:p w14:paraId="5FB44668" w14:textId="77777777" w:rsidR="00355D66" w:rsidRPr="00355D66" w:rsidRDefault="00355D66" w:rsidP="00E74AB2"/>
    <w:p w14:paraId="674A1176" w14:textId="77777777" w:rsidR="00355D66" w:rsidRPr="00355D66" w:rsidRDefault="00355D66" w:rsidP="00E74AB2">
      <w:r w:rsidRPr="00355D66">
        <w:t xml:space="preserve">This project also offers a practical framework for studying alert fatigue without access to proprietary alert logs. By using clinical activity as a proxy for alert exposure, health systems can identify where CDS burden is highest and where to focus optimization efforts. The next step is to test these findings with real alert data, examine how clinicians </w:t>
      </w:r>
      <w:proofErr w:type="gramStart"/>
      <w:r w:rsidRPr="00355D66">
        <w:t>actually respond</w:t>
      </w:r>
      <w:proofErr w:type="gramEnd"/>
      <w:r w:rsidRPr="00355D66">
        <w:t xml:space="preserve"> to alerts in high-burden units, and evaluate whether unit-specific CDS redesigns improve workflow, responsiveness, and patient safety. Reducing alert fatigue will take more than uniform alerting. We need smarter CDS systems that deliver the right alert to the right clinician at the right time (Sutton et al., 2020).</w:t>
      </w:r>
    </w:p>
    <w:p w14:paraId="42965F5E" w14:textId="2D735A7A" w:rsidR="00D14598" w:rsidRDefault="00EF548A" w:rsidP="00E74AB2">
      <w:r>
        <w:t xml:space="preserve"> </w:t>
      </w:r>
    </w:p>
    <w:p w14:paraId="0F028DA7" w14:textId="77777777" w:rsidR="00C8399C" w:rsidRDefault="00C8399C" w:rsidP="00E74AB2"/>
    <w:p w14:paraId="71E6A84E" w14:textId="77777777" w:rsidR="00C8399C" w:rsidRDefault="00C8399C" w:rsidP="00E74AB2"/>
    <w:p w14:paraId="5E072D08" w14:textId="77777777" w:rsidR="00C8399C" w:rsidRDefault="00C8399C" w:rsidP="00E74AB2"/>
    <w:p w14:paraId="1DD58353" w14:textId="2E54A7C3" w:rsidR="00D14598" w:rsidRDefault="00000000" w:rsidP="00E74AB2">
      <w:pPr>
        <w:pStyle w:val="Heading1"/>
      </w:pPr>
      <w:bookmarkStart w:id="24" w:name="_Toc226493008"/>
      <w:r>
        <w:lastRenderedPageBreak/>
        <w:t>6. Recommendations and Future Work</w:t>
      </w:r>
      <w:bookmarkEnd w:id="24"/>
    </w:p>
    <w:p w14:paraId="231BC964" w14:textId="77777777" w:rsidR="00D14598" w:rsidRDefault="00000000" w:rsidP="00E74AB2">
      <w:pPr>
        <w:pStyle w:val="Heading2"/>
      </w:pPr>
      <w:bookmarkStart w:id="25" w:name="_Toc226493009"/>
      <w:r>
        <w:t>6.1 Practical Recommendations</w:t>
      </w:r>
      <w:bookmarkEnd w:id="25"/>
    </w:p>
    <w:p w14:paraId="414DED38" w14:textId="77777777" w:rsidR="00EE3D61" w:rsidRDefault="00EE3D61" w:rsidP="00E74AB2">
      <w:r w:rsidRPr="00EE3D61">
        <w:t>Based on these findings, healthcare systems and CDS designers should move away from a one-size-fits-all alert strategy. The results suggest that alert burden is shaped by unit workflow, patient acuity, and timing, which means the same alert logic will not have the same impact in every ICU setting (Wong et al., 2023). A better approach would be to tailor alert behavior to the clinical environment. Units with consistently higher CDS-triggering activity, such as mixed medical-surgical settings, may benefit from more aggressive filtering of low-value or repetitive alerts, while lower-burden units may need a different threshold for interruption (Bakker et al., 2024).</w:t>
      </w:r>
    </w:p>
    <w:p w14:paraId="7E1A447F" w14:textId="77777777" w:rsidR="00EE3D61" w:rsidRPr="00EE3D61" w:rsidRDefault="00EE3D61" w:rsidP="00E74AB2"/>
    <w:p w14:paraId="65924D4A" w14:textId="77777777" w:rsidR="00EE3D61" w:rsidRDefault="00EE3D61" w:rsidP="00E74AB2">
      <w:r w:rsidRPr="00EE3D61">
        <w:t xml:space="preserve">Another practical step is to reduce duplicate and redundant alerts. If the same medication issue or laboratory concern is being flagged repeatedly within a short time frame, the system should recognize that repetition and avoid interrupting the clinician with the same warning </w:t>
      </w:r>
      <w:proofErr w:type="gramStart"/>
      <w:r w:rsidRPr="00EE3D61">
        <w:t>over and over again</w:t>
      </w:r>
      <w:proofErr w:type="gramEnd"/>
      <w:r w:rsidRPr="00EE3D61">
        <w:t>. This kind of suppression would help preserve attention for alerts that are new, time-sensitive, or clinically meaningful (Ancker et al., 2017). In the same way, designers should think more carefully about when alerts appear. If alert burden tends to cluster during already busy periods, then shift-aware timing rules or less interruptive alert formats could help reduce unnecessary disruption to workflow (AHRQ, 2019).</w:t>
      </w:r>
    </w:p>
    <w:p w14:paraId="58645713" w14:textId="77777777" w:rsidR="00EE3D61" w:rsidRPr="00EE3D61" w:rsidRDefault="00EE3D61" w:rsidP="00E74AB2"/>
    <w:p w14:paraId="38AC08D1" w14:textId="77777777" w:rsidR="00EE3D61" w:rsidRDefault="00EE3D61" w:rsidP="00E74AB2">
      <w:r w:rsidRPr="00EE3D61">
        <w:t>Healthcare organizations should also use local data more actively when evaluating CDS performance. Even when direct alert-log data are not available, hospitals can still examine patterns in medication orders, laboratory activity, unit type, and length of stay to identify where alert burden is likely to be highest. That kind of monitoring can help organizations prioritize CDS improvements in the places where clinicians are most at risk of overload (Kouri et al., 2023). Overall, the practical takeaway from this study is that CDS systems should aim to be more selective, more context-aware, and more responsive to real clinical workflow rather than simply generating more warnings in the name of safety (Sutton et al., 2020).</w:t>
      </w:r>
    </w:p>
    <w:p w14:paraId="1EB16EBF" w14:textId="28A15637" w:rsidR="00D14598" w:rsidRDefault="00000000" w:rsidP="00E74AB2">
      <w:pPr>
        <w:pStyle w:val="Heading2"/>
      </w:pPr>
      <w:bookmarkStart w:id="26" w:name="_Toc226493010"/>
      <w:r>
        <w:t>6.2 Limitations</w:t>
      </w:r>
      <w:bookmarkEnd w:id="26"/>
    </w:p>
    <w:p w14:paraId="0ABDE434" w14:textId="77777777" w:rsidR="00EE3D61" w:rsidRDefault="00EE3D61" w:rsidP="00E74AB2">
      <w:r w:rsidRPr="00EE3D61">
        <w:t>This study has several important limitations. The most significant is that it does not use actual CDS alert logs. Instead, medication orders and laboratory events from MIMIC-IV were used as proxies for CDS-triggering activity. That is a practical and defensible approach, especially when proprietary alert data are unavailable, but it still means the analysis estimates likely alert burden rather than measuring true alert exposure directly (Kouri et al., 2023). Not every medication order or laboratory event leads to an alert, and the number or type of alerts generated may differ depending on the EHR system and local CDS configuration.</w:t>
      </w:r>
    </w:p>
    <w:p w14:paraId="6B547DA4" w14:textId="77777777" w:rsidR="00EE3D61" w:rsidRPr="00EE3D61" w:rsidRDefault="00EE3D61" w:rsidP="00E74AB2"/>
    <w:p w14:paraId="31E8440E" w14:textId="77777777" w:rsidR="00EE3D61" w:rsidRDefault="00EE3D61" w:rsidP="00E74AB2">
      <w:r w:rsidRPr="00EE3D61">
        <w:t xml:space="preserve">A second limitation is generalizability. MIMIC-IV is a large and well-respected ICU dataset, but it represents care from a specific clinical setting and health system (Johnson et al., 2023). Alerting practices, workflow patterns, staffing models, and EHR </w:t>
      </w:r>
      <w:r w:rsidRPr="00EE3D61">
        <w:lastRenderedPageBreak/>
        <w:t xml:space="preserve">configurations differ across hospitals, so the burden patterns identified here may not look </w:t>
      </w:r>
      <w:proofErr w:type="gramStart"/>
      <w:r w:rsidRPr="00EE3D61">
        <w:t>exactly the same</w:t>
      </w:r>
      <w:proofErr w:type="gramEnd"/>
      <w:r w:rsidRPr="00EE3D61">
        <w:t xml:space="preserve"> in other institutions. For that reason, the findings should be interpreted as strong evidence of how alert burden can vary, rather than as fixed estimates that apply equally everywhere.</w:t>
      </w:r>
    </w:p>
    <w:p w14:paraId="1AE1E126" w14:textId="77777777" w:rsidR="00EE3D61" w:rsidRPr="00EE3D61" w:rsidRDefault="00EE3D61" w:rsidP="00E74AB2"/>
    <w:p w14:paraId="3687AA86" w14:textId="77777777" w:rsidR="00EE3D61" w:rsidRPr="00EE3D61" w:rsidRDefault="00EE3D61" w:rsidP="00E74AB2">
      <w:r w:rsidRPr="00EE3D61">
        <w:t>There are also methodological constraints to consider. The negative binomial models used in this study focus on observable clinical event counts and encounter characteristics, but they do not account for potential interactions between ICU unit type and other clinical factors such as patient diagnosis category or severity of illness, which may further explain variation in event burden. Additionally, the analysis cannot fully capture the clinical nuance behind why events occur or whether alerts were appropriate, useful, or ignored. It also does not measure clinician response, override behavior, or patient outcomes directly. As a result, the study can identify patterns associated with higher likely alert burden, but it cannot determine which specific alerts were harmful, which were beneficial, or whether reducing event volume would necessarily improve safety in practice. Finally, because the suppression scenarios are simulated, they should be understood as estimates of potential impact rather than proof of what would happen in a live CDS environment.</w:t>
      </w:r>
    </w:p>
    <w:p w14:paraId="4879EE93" w14:textId="77777777" w:rsidR="00D14598" w:rsidRDefault="00000000" w:rsidP="00E74AB2">
      <w:pPr>
        <w:pStyle w:val="Heading2"/>
      </w:pPr>
      <w:bookmarkStart w:id="27" w:name="_Toc226493011"/>
      <w:r>
        <w:t>6.3 Future Work</w:t>
      </w:r>
      <w:bookmarkEnd w:id="27"/>
    </w:p>
    <w:p w14:paraId="7B02CDC4" w14:textId="77777777" w:rsidR="00EE3D61" w:rsidRDefault="00EE3D61" w:rsidP="00E74AB2">
      <w:r w:rsidRPr="00EE3D61">
        <w:t>Future research should build on this work by connecting proxy measures of alert burden with actual alert-log data whenever possible. Doing so would allow researchers to test how closely medication and laboratory activity track with real alert exposure and to identify which types of alerts are most likely to contribute to fatigue (Wong et al., 2023). That would strengthen the practical value of this framework and make it easier to translate these findings into real CDS redesign efforts.</w:t>
      </w:r>
    </w:p>
    <w:p w14:paraId="1BEBF5CE" w14:textId="77777777" w:rsidR="00E74AB2" w:rsidRDefault="00E74AB2" w:rsidP="00E74AB2"/>
    <w:p w14:paraId="359CE538" w14:textId="77777777" w:rsidR="00EE3D61" w:rsidRDefault="00EE3D61" w:rsidP="00E74AB2">
      <w:r w:rsidRPr="00EE3D61">
        <w:t>It would also be valuable to expand the set of variables used in the analysis. Future studies could include clinician role, shift timing, patient severity, diagnosis categories, order urgency, and override behavior to better understand not just where burden is highest, but why it develops (Ancker et al., 2017). Looking across multiple institutions would also help determine whether the patterns found here are consistent across different hospital settings or whether alert burden is shaped mainly by local workflow and EHR design choices. As artificial intelligence and machine learning approaches become more integrated into CDS systems, future work should also explore whether these tools can be used to predict high-burden encounters in real time and proactively adjust alert delivery to reduce fatigue before it occurs.</w:t>
      </w:r>
    </w:p>
    <w:p w14:paraId="5F12697D" w14:textId="77777777" w:rsidR="00EE3D61" w:rsidRPr="00EE3D61" w:rsidRDefault="00EE3D61" w:rsidP="00E74AB2">
      <w:r w:rsidRPr="00EE3D61">
        <w:t xml:space="preserve">The next step beyond retrospective analysis is prospective and implementation-focused research. Hospitals could test unit-specific alert suppression rules, duplicate-alert reduction strategies, or less interruptive alert formats in real clinical settings and then evaluate their effects on clinician workload, alert acceptance, workflow efficiency, and patient safety outcomes (Bakker et al., 2024). That kind of implementation research is especially important because the </w:t>
      </w:r>
      <w:proofErr w:type="gramStart"/>
      <w:r w:rsidRPr="00EE3D61">
        <w:t>ultimate goal</w:t>
      </w:r>
      <w:proofErr w:type="gramEnd"/>
      <w:r w:rsidRPr="00EE3D61">
        <w:t xml:space="preserve"> is not only to describe alert fatigue, but to reduce it in a way that improves both usability and care quality. In that sense, future work should move from measuring the problem to testing and refining solutions in practice.</w:t>
      </w:r>
    </w:p>
    <w:p w14:paraId="6065B993" w14:textId="77777777" w:rsidR="00EE3D61" w:rsidRDefault="00EE3D61" w:rsidP="00E74AB2"/>
    <w:p w14:paraId="206090CE" w14:textId="77777777" w:rsidR="00D14598" w:rsidRDefault="00000000" w:rsidP="00E74AB2">
      <w:r>
        <w:br w:type="page"/>
      </w:r>
    </w:p>
    <w:p w14:paraId="339FEC34" w14:textId="77777777" w:rsidR="00D14598" w:rsidRDefault="00000000" w:rsidP="00E74AB2">
      <w:pPr>
        <w:pStyle w:val="Heading1"/>
      </w:pPr>
      <w:bookmarkStart w:id="28" w:name="_Toc226493012"/>
      <w:r>
        <w:lastRenderedPageBreak/>
        <w:t>References</w:t>
      </w:r>
      <w:bookmarkEnd w:id="28"/>
    </w:p>
    <w:p w14:paraId="34632FE2" w14:textId="77777777" w:rsidR="008D0C09" w:rsidRDefault="008D0C09" w:rsidP="008D0C09">
      <w:r w:rsidRPr="008D0C09">
        <w:t xml:space="preserve">Ancker, J. S., Edwards, A., Nosal, S., Hauser, D., Mauer, E., &amp; Kaushal, R. (2017). Effects of workload, work complexity, and repeated alerts on alert fatigue in a clinical decision support system. </w:t>
      </w:r>
      <w:r w:rsidRPr="008D0C09">
        <w:rPr>
          <w:i/>
          <w:iCs/>
        </w:rPr>
        <w:t>BMC Medical Informatics and Decision Making, 17</w:t>
      </w:r>
      <w:r w:rsidRPr="008D0C09">
        <w:t xml:space="preserve">(1), 36. </w:t>
      </w:r>
      <w:hyperlink r:id="rId10" w:history="1">
        <w:r w:rsidRPr="008D0C09">
          <w:rPr>
            <w:rStyle w:val="Hyperlink"/>
          </w:rPr>
          <w:t>https://doi.org/10.1186/s12911-017-0430-8</w:t>
        </w:r>
      </w:hyperlink>
    </w:p>
    <w:p w14:paraId="226D1387" w14:textId="77777777" w:rsidR="008D0C09" w:rsidRPr="008D0C09" w:rsidRDefault="008D0C09" w:rsidP="008D0C09"/>
    <w:p w14:paraId="5C30CADD" w14:textId="77777777" w:rsidR="008D0C09" w:rsidRDefault="008D0C09" w:rsidP="008D0C09">
      <w:r w:rsidRPr="008D0C09">
        <w:t xml:space="preserve">Agency for Healthcare Research and Quality. (2019). </w:t>
      </w:r>
      <w:r w:rsidRPr="008D0C09">
        <w:rPr>
          <w:i/>
          <w:iCs/>
        </w:rPr>
        <w:t>Alert fatigue</w:t>
      </w:r>
      <w:r w:rsidRPr="008D0C09">
        <w:t xml:space="preserve">. </w:t>
      </w:r>
      <w:proofErr w:type="spellStart"/>
      <w:r w:rsidRPr="008D0C09">
        <w:t>PSNet</w:t>
      </w:r>
      <w:proofErr w:type="spellEnd"/>
      <w:r w:rsidRPr="008D0C09">
        <w:t xml:space="preserve">. </w:t>
      </w:r>
      <w:hyperlink r:id="rId11" w:history="1">
        <w:r w:rsidRPr="008D0C09">
          <w:rPr>
            <w:rStyle w:val="Hyperlink"/>
          </w:rPr>
          <w:t>https://psnet.ahrq.gov/primer/alert-fatigue</w:t>
        </w:r>
      </w:hyperlink>
    </w:p>
    <w:p w14:paraId="14E26352" w14:textId="77777777" w:rsidR="008D0C09" w:rsidRPr="008D0C09" w:rsidRDefault="008D0C09" w:rsidP="008D0C09"/>
    <w:p w14:paraId="56E3715A" w14:textId="77777777" w:rsidR="008D0C09" w:rsidRDefault="008D0C09" w:rsidP="008D0C09">
      <w:r w:rsidRPr="008D0C09">
        <w:t xml:space="preserve">Bakker, T., </w:t>
      </w:r>
      <w:proofErr w:type="spellStart"/>
      <w:r w:rsidRPr="008D0C09">
        <w:t>Klopotowska</w:t>
      </w:r>
      <w:proofErr w:type="spellEnd"/>
      <w:r w:rsidRPr="008D0C09">
        <w:t xml:space="preserve">, J. E., &amp; </w:t>
      </w:r>
      <w:proofErr w:type="spellStart"/>
      <w:r w:rsidRPr="008D0C09">
        <w:t>Dongelmans</w:t>
      </w:r>
      <w:proofErr w:type="spellEnd"/>
      <w:r w:rsidRPr="008D0C09">
        <w:t xml:space="preserve">, D. A. (2024). The effect of </w:t>
      </w:r>
      <w:proofErr w:type="spellStart"/>
      <w:r w:rsidRPr="008D0C09">
        <w:t>computerised</w:t>
      </w:r>
      <w:proofErr w:type="spellEnd"/>
      <w:r w:rsidRPr="008D0C09">
        <w:t xml:space="preserve"> decision support alerts tailored to intensive care on the administration of high-risk drug combinations, and their monitoring: A cluster </w:t>
      </w:r>
      <w:proofErr w:type="spellStart"/>
      <w:r w:rsidRPr="008D0C09">
        <w:t>randomised</w:t>
      </w:r>
      <w:proofErr w:type="spellEnd"/>
      <w:r w:rsidRPr="008D0C09">
        <w:t xml:space="preserve"> stepped-wedge trial. </w:t>
      </w:r>
      <w:r w:rsidRPr="008D0C09">
        <w:rPr>
          <w:i/>
          <w:iCs/>
        </w:rPr>
        <w:t>The Lancet, 403</w:t>
      </w:r>
      <w:r w:rsidRPr="008D0C09">
        <w:t xml:space="preserve">(10425), 439–449. </w:t>
      </w:r>
      <w:hyperlink r:id="rId12" w:history="1">
        <w:r w:rsidRPr="008D0C09">
          <w:rPr>
            <w:rStyle w:val="Hyperlink"/>
          </w:rPr>
          <w:t>https://doi.org/10.1016/S0140-6736(23)02465-0</w:t>
        </w:r>
      </w:hyperlink>
    </w:p>
    <w:p w14:paraId="5A0838E5" w14:textId="77777777" w:rsidR="00F62D0C" w:rsidRDefault="00F62D0C" w:rsidP="008D0C09"/>
    <w:p w14:paraId="308BF859" w14:textId="22AEDF54" w:rsidR="00F62D0C" w:rsidRDefault="00F62D0C" w:rsidP="008D0C09">
      <w:r w:rsidRPr="00F62D0C">
        <w:t xml:space="preserve">Byers, A. L., Allore, H., Gill, T. M., &amp; Peduzzi, P. N. (2003). Application of negative binomial modeling for discrete outcomes: A case study in aging research. </w:t>
      </w:r>
      <w:r w:rsidRPr="00F62D0C">
        <w:rPr>
          <w:i/>
          <w:iCs/>
        </w:rPr>
        <w:t>Journal of Clinical Epidemiology, 56</w:t>
      </w:r>
      <w:r w:rsidRPr="00F62D0C">
        <w:t xml:space="preserve">(6), 559–564. </w:t>
      </w:r>
      <w:hyperlink r:id="rId13" w:history="1">
        <w:r w:rsidRPr="00F62D0C">
          <w:rPr>
            <w:rStyle w:val="Hyperlink"/>
          </w:rPr>
          <w:t>https://doi.org/10.1016/S0895-4356(03)00028-3</w:t>
        </w:r>
      </w:hyperlink>
    </w:p>
    <w:p w14:paraId="5E9A58D5" w14:textId="77777777" w:rsidR="00BF5DF8" w:rsidRDefault="00BF5DF8" w:rsidP="008D0C09"/>
    <w:p w14:paraId="0E1CAB8D" w14:textId="322C0526" w:rsidR="008D0C09" w:rsidRDefault="00C8399C" w:rsidP="008D0C09">
      <w:proofErr w:type="spellStart"/>
      <w:r w:rsidRPr="00C8399C">
        <w:t>Hilbe</w:t>
      </w:r>
      <w:proofErr w:type="spellEnd"/>
      <w:r w:rsidRPr="00C8399C">
        <w:t xml:space="preserve">, J. M., de Souza, R. S., &amp; Ishida, E. E. O. (2022). A comparison of statistical methods for modeling count data with an application to hospital length of stay. </w:t>
      </w:r>
      <w:r w:rsidRPr="00C8399C">
        <w:rPr>
          <w:i/>
          <w:iCs/>
        </w:rPr>
        <w:t>BMC Medical Research Methodology, 22</w:t>
      </w:r>
      <w:r w:rsidRPr="00C8399C">
        <w:t xml:space="preserve">, Article 213. </w:t>
      </w:r>
      <w:hyperlink r:id="rId14" w:history="1">
        <w:r w:rsidRPr="00C8399C">
          <w:rPr>
            <w:rStyle w:val="Hyperlink"/>
          </w:rPr>
          <w:t>https://doi.org/10.1186/s12874-022-01664-3</w:t>
        </w:r>
      </w:hyperlink>
    </w:p>
    <w:p w14:paraId="08ED7089" w14:textId="77777777" w:rsidR="00C8399C" w:rsidRPr="008D0C09" w:rsidRDefault="00C8399C" w:rsidP="008D0C09"/>
    <w:p w14:paraId="6E806734" w14:textId="77777777" w:rsidR="008D0C09" w:rsidRDefault="008D0C09" w:rsidP="008D0C09">
      <w:r w:rsidRPr="008D0C09">
        <w:t xml:space="preserve">Johnson, A. E. W., Bulgarelli, L., Shen, L., Gayles, A., </w:t>
      </w:r>
      <w:proofErr w:type="spellStart"/>
      <w:r w:rsidRPr="008D0C09">
        <w:t>Shammout</w:t>
      </w:r>
      <w:proofErr w:type="spellEnd"/>
      <w:r w:rsidRPr="008D0C09">
        <w:t xml:space="preserve">, A., Horng, S., Pollard, T. J., Hao, S., Moody, B., Gow, B., Lehman, L. H., Celi, L. A., &amp; Mark, R. G. (2023). MIMIC-IV, a freely accessible electronic health record dataset. </w:t>
      </w:r>
      <w:r w:rsidRPr="008D0C09">
        <w:rPr>
          <w:i/>
          <w:iCs/>
        </w:rPr>
        <w:t>Scientific Data, 10</w:t>
      </w:r>
      <w:r w:rsidRPr="008D0C09">
        <w:t xml:space="preserve">(1), 1. </w:t>
      </w:r>
      <w:hyperlink r:id="rId15" w:history="1">
        <w:r w:rsidRPr="008D0C09">
          <w:rPr>
            <w:rStyle w:val="Hyperlink"/>
          </w:rPr>
          <w:t>https://doi.org/10.1038/s41597-022-01899-x</w:t>
        </w:r>
      </w:hyperlink>
    </w:p>
    <w:p w14:paraId="514E98D1" w14:textId="77777777" w:rsidR="008D0C09" w:rsidRPr="008D0C09" w:rsidRDefault="008D0C09" w:rsidP="008D0C09"/>
    <w:p w14:paraId="4F042A1B" w14:textId="77777777" w:rsidR="008D0C09" w:rsidRDefault="008D0C09" w:rsidP="008D0C09">
      <w:r w:rsidRPr="008D0C09">
        <w:t xml:space="preserve">Kouri, A., Yamada, J., Lam Antflick, J., Harel, Z., Chan, C. T., Fralick, M., &amp; Ginsburg, L. (2023). Defining the problem of alert fatigue in healthcare: A scoping review protocol. </w:t>
      </w:r>
      <w:r w:rsidRPr="008D0C09">
        <w:rPr>
          <w:i/>
          <w:iCs/>
        </w:rPr>
        <w:t>BMJ Open, 13</w:t>
      </w:r>
      <w:r w:rsidRPr="008D0C09">
        <w:t xml:space="preserve">(4), e069416. </w:t>
      </w:r>
      <w:hyperlink r:id="rId16" w:history="1">
        <w:r w:rsidRPr="008D0C09">
          <w:rPr>
            <w:rStyle w:val="Hyperlink"/>
          </w:rPr>
          <w:t>https://doi.org/10.1136/bmjopen-2022-069416</w:t>
        </w:r>
      </w:hyperlink>
    </w:p>
    <w:p w14:paraId="417B8EEE" w14:textId="77777777" w:rsidR="00D40A27" w:rsidRDefault="00D40A27" w:rsidP="008D0C09"/>
    <w:p w14:paraId="0CD62AE6" w14:textId="7D7F03C7" w:rsidR="00BF5DF8" w:rsidRDefault="007C2995" w:rsidP="008D0C09">
      <w:r w:rsidRPr="007C2995">
        <w:t>Payne, E. H., Gebregziabher, M., Hardin, J. W., Ramakrishnan, V., &amp; Egede, L. E. (2018). An empirical approach to determine a threshold for assessing overdispersion in Poisson and negative binomial models for count data. </w:t>
      </w:r>
      <w:r w:rsidRPr="007C2995">
        <w:rPr>
          <w:i/>
          <w:iCs/>
        </w:rPr>
        <w:t>Communications in statistics: Simulation and computation</w:t>
      </w:r>
      <w:r w:rsidRPr="007C2995">
        <w:t>, </w:t>
      </w:r>
      <w:r w:rsidRPr="007C2995">
        <w:rPr>
          <w:i/>
          <w:iCs/>
        </w:rPr>
        <w:t>47</w:t>
      </w:r>
      <w:r w:rsidRPr="007C2995">
        <w:t xml:space="preserve">(6), 1722–1738. </w:t>
      </w:r>
      <w:hyperlink r:id="rId17" w:history="1">
        <w:r w:rsidRPr="00822C98">
          <w:rPr>
            <w:rStyle w:val="Hyperlink"/>
          </w:rPr>
          <w:t>https://doi.org/10.1080/03610918.2017.1323223</w:t>
        </w:r>
      </w:hyperlink>
    </w:p>
    <w:p w14:paraId="6E41FB52" w14:textId="77777777" w:rsidR="007C2995" w:rsidRDefault="007C2995" w:rsidP="008D0C09"/>
    <w:p w14:paraId="36588B99" w14:textId="1B1700D3" w:rsidR="00BF5DF8" w:rsidRDefault="00C8399C" w:rsidP="008D0C09">
      <w:r w:rsidRPr="00C8399C">
        <w:t xml:space="preserve">Perkins, N. J., Cole, S. R., Harel, O., </w:t>
      </w:r>
      <w:proofErr w:type="spellStart"/>
      <w:r w:rsidRPr="00C8399C">
        <w:t>Tchetgen</w:t>
      </w:r>
      <w:proofErr w:type="spellEnd"/>
      <w:r w:rsidRPr="00C8399C">
        <w:t xml:space="preserve"> </w:t>
      </w:r>
      <w:proofErr w:type="spellStart"/>
      <w:r w:rsidRPr="00C8399C">
        <w:t>Tchetgen</w:t>
      </w:r>
      <w:proofErr w:type="spellEnd"/>
      <w:r w:rsidRPr="00C8399C">
        <w:t xml:space="preserve">, E. J., Sun, B., Mitchell, E. M., &amp; Kaufman, J. S. (2021). Too many zeros and/or highly skewed? A tutorial on modelling health </w:t>
      </w:r>
      <w:proofErr w:type="spellStart"/>
      <w:r w:rsidRPr="00C8399C">
        <w:t>behaviour</w:t>
      </w:r>
      <w:proofErr w:type="spellEnd"/>
      <w:r w:rsidRPr="00C8399C">
        <w:t xml:space="preserve"> as count data with Poisson and negative binomial regression. </w:t>
      </w:r>
      <w:r w:rsidRPr="00C8399C">
        <w:rPr>
          <w:i/>
          <w:iCs/>
        </w:rPr>
        <w:t>Health Psychology and Behavioral Medicine, 9</w:t>
      </w:r>
      <w:r w:rsidRPr="00C8399C">
        <w:t xml:space="preserve">(1), 361–381. </w:t>
      </w:r>
      <w:hyperlink r:id="rId18" w:history="1">
        <w:r w:rsidRPr="00C8399C">
          <w:rPr>
            <w:rStyle w:val="Hyperlink"/>
          </w:rPr>
          <w:t>https://doi.org/10.1080/21642850.2021.1920416</w:t>
        </w:r>
      </w:hyperlink>
    </w:p>
    <w:p w14:paraId="564E5E5B" w14:textId="2E1C74E6" w:rsidR="00BF5DF8" w:rsidRDefault="00BF5DF8" w:rsidP="008D0C09">
      <w:r w:rsidRPr="00BF5DF8">
        <w:lastRenderedPageBreak/>
        <w:t xml:space="preserve">Schober, P., &amp; Vetter, T. R. (2021). Count data in medical research: Poisson regression and negative binomial regression. </w:t>
      </w:r>
      <w:r w:rsidRPr="00BF5DF8">
        <w:rPr>
          <w:i/>
          <w:iCs/>
        </w:rPr>
        <w:t>Anesthesia &amp; Analgesia, 132</w:t>
      </w:r>
      <w:r w:rsidRPr="00BF5DF8">
        <w:t xml:space="preserve">(5), 1378–1379. </w:t>
      </w:r>
      <w:hyperlink r:id="rId19" w:history="1">
        <w:r w:rsidRPr="00BF5DF8">
          <w:rPr>
            <w:rStyle w:val="Hyperlink"/>
          </w:rPr>
          <w:t>https://doi.org/10.1213/ANE.0000000000005398</w:t>
        </w:r>
      </w:hyperlink>
    </w:p>
    <w:p w14:paraId="4F4593B3" w14:textId="77777777" w:rsidR="008D0C09" w:rsidRPr="008D0C09" w:rsidRDefault="008D0C09" w:rsidP="008D0C09"/>
    <w:p w14:paraId="6DD01D28" w14:textId="77777777" w:rsidR="008D0C09" w:rsidRDefault="008D0C09" w:rsidP="008D0C09">
      <w:r w:rsidRPr="008D0C09">
        <w:t xml:space="preserve">Seto, E., </w:t>
      </w:r>
      <w:proofErr w:type="spellStart"/>
      <w:r w:rsidRPr="008D0C09">
        <w:t>Cafazzo</w:t>
      </w:r>
      <w:proofErr w:type="spellEnd"/>
      <w:r w:rsidRPr="008D0C09">
        <w:t xml:space="preserve">, J. A., &amp; </w:t>
      </w:r>
      <w:proofErr w:type="spellStart"/>
      <w:r w:rsidRPr="008D0C09">
        <w:t>Farshchian</w:t>
      </w:r>
      <w:proofErr w:type="spellEnd"/>
      <w:r w:rsidRPr="008D0C09">
        <w:t>, B. A. (2020). Reducing alert fatigue by sharing low-level alerts with patients and enhancing collaborative decision making using blockchain technology: Scoping review and proposed framework (</w:t>
      </w:r>
      <w:proofErr w:type="spellStart"/>
      <w:r w:rsidRPr="008D0C09">
        <w:t>MedAlert</w:t>
      </w:r>
      <w:proofErr w:type="spellEnd"/>
      <w:r w:rsidRPr="008D0C09">
        <w:t xml:space="preserve">). </w:t>
      </w:r>
      <w:r w:rsidRPr="008D0C09">
        <w:rPr>
          <w:i/>
          <w:iCs/>
        </w:rPr>
        <w:t>Journal of Medical Internet Research, 22</w:t>
      </w:r>
      <w:r w:rsidRPr="008D0C09">
        <w:t xml:space="preserve">(11), e18360. </w:t>
      </w:r>
      <w:hyperlink r:id="rId20" w:history="1">
        <w:r w:rsidRPr="008D0C09">
          <w:rPr>
            <w:rStyle w:val="Hyperlink"/>
          </w:rPr>
          <w:t>https://doi.org/10.2196/18360</w:t>
        </w:r>
      </w:hyperlink>
    </w:p>
    <w:p w14:paraId="259A2E10" w14:textId="77777777" w:rsidR="008D0C09" w:rsidRPr="008D0C09" w:rsidRDefault="008D0C09" w:rsidP="008D0C09"/>
    <w:p w14:paraId="63FB6F15" w14:textId="77777777" w:rsidR="008D0C09" w:rsidRDefault="008D0C09" w:rsidP="008D0C09">
      <w:r w:rsidRPr="008D0C09">
        <w:t xml:space="preserve">Slight, S. P., Berner, E. S., Galanter, W., Huff, S., Lambert, B. L., Lannon, C., Lehmann, C. U., McCourt, B. J., McNamara, M., Menachemi, N., Payne, T. H., Spooner, S. A., Vandermeer, M. L., Wang, T. Y., </w:t>
      </w:r>
      <w:proofErr w:type="spellStart"/>
      <w:r w:rsidRPr="008D0C09">
        <w:t>Akincigil</w:t>
      </w:r>
      <w:proofErr w:type="spellEnd"/>
      <w:r w:rsidRPr="008D0C09">
        <w:t xml:space="preserve">, A., Crystal, S., Fortmann, S. P., &amp; </w:t>
      </w:r>
      <w:proofErr w:type="spellStart"/>
      <w:r w:rsidRPr="008D0C09">
        <w:t>Bloomrosen</w:t>
      </w:r>
      <w:proofErr w:type="spellEnd"/>
      <w:r w:rsidRPr="008D0C09">
        <w:t xml:space="preserve">, M. (2019). Meaningful use of electronic health records: Experiences from the field and future opportunities. </w:t>
      </w:r>
      <w:r w:rsidRPr="008D0C09">
        <w:rPr>
          <w:i/>
          <w:iCs/>
        </w:rPr>
        <w:t>Journal of the American Medical Informatics Association, 26</w:t>
      </w:r>
      <w:r w:rsidRPr="008D0C09">
        <w:t xml:space="preserve">(10), 1141–1148. </w:t>
      </w:r>
      <w:hyperlink r:id="rId21" w:history="1">
        <w:r w:rsidRPr="008D0C09">
          <w:rPr>
            <w:rStyle w:val="Hyperlink"/>
          </w:rPr>
          <w:t>https://doi.org/10.1093/jamia/ocz095</w:t>
        </w:r>
      </w:hyperlink>
    </w:p>
    <w:p w14:paraId="5B1A06DC" w14:textId="77777777" w:rsidR="008D0C09" w:rsidRPr="008D0C09" w:rsidRDefault="008D0C09" w:rsidP="008D0C09"/>
    <w:p w14:paraId="3FE153AB" w14:textId="77777777" w:rsidR="008D0C09" w:rsidRDefault="008D0C09" w:rsidP="008D0C09">
      <w:r w:rsidRPr="008D0C09">
        <w:t xml:space="preserve">Sutton, R. T., Pincock, D., Baumgart, D. C., Sadowski, D. C., Fedorak, R. N., &amp; Kroeker, K. I. (2020). An overview of clinical decision support systems: Benefits, risks, and strategies for success. </w:t>
      </w:r>
      <w:proofErr w:type="spellStart"/>
      <w:r w:rsidRPr="008D0C09">
        <w:rPr>
          <w:i/>
          <w:iCs/>
        </w:rPr>
        <w:t>npj</w:t>
      </w:r>
      <w:proofErr w:type="spellEnd"/>
      <w:r w:rsidRPr="008D0C09">
        <w:rPr>
          <w:i/>
          <w:iCs/>
        </w:rPr>
        <w:t xml:space="preserve"> Digital Medicine, 3</w:t>
      </w:r>
      <w:r w:rsidRPr="008D0C09">
        <w:t xml:space="preserve">(1), 17. </w:t>
      </w:r>
      <w:hyperlink r:id="rId22" w:history="1">
        <w:r w:rsidRPr="008D0C09">
          <w:rPr>
            <w:rStyle w:val="Hyperlink"/>
          </w:rPr>
          <w:t>https://doi.org/10.1038/s41746-020-0221-y</w:t>
        </w:r>
      </w:hyperlink>
    </w:p>
    <w:p w14:paraId="3D4076CE" w14:textId="77777777" w:rsidR="005F2763" w:rsidRPr="008D0C09" w:rsidRDefault="005F2763" w:rsidP="008D0C09"/>
    <w:p w14:paraId="42539532" w14:textId="77777777" w:rsidR="008D0C09" w:rsidRPr="008D0C09" w:rsidRDefault="008D0C09" w:rsidP="008D0C09">
      <w:r w:rsidRPr="008D0C09">
        <w:t xml:space="preserve">Wong, A., Plasek, J. M., Montague, E., &amp; Seger, D. L. (2023). Facilitators and barriers to interacting with clinical decision support in the ICU: A mixed-methods approach. </w:t>
      </w:r>
      <w:r w:rsidRPr="008D0C09">
        <w:rPr>
          <w:i/>
          <w:iCs/>
        </w:rPr>
        <w:t>Critical Care Explorations, 5</w:t>
      </w:r>
      <w:r w:rsidRPr="008D0C09">
        <w:t xml:space="preserve">(9), e0967. </w:t>
      </w:r>
      <w:hyperlink r:id="rId23" w:history="1">
        <w:r w:rsidRPr="008D0C09">
          <w:rPr>
            <w:rStyle w:val="Hyperlink"/>
          </w:rPr>
          <w:t>https://doi.org/10.1097/CCE.0000000000000967</w:t>
        </w:r>
      </w:hyperlink>
    </w:p>
    <w:p w14:paraId="2E70E741" w14:textId="77777777" w:rsidR="00D14598" w:rsidRDefault="00000000">
      <w:r>
        <w:br w:type="page"/>
      </w:r>
    </w:p>
    <w:p w14:paraId="3C6481EE" w14:textId="77777777" w:rsidR="00D14598" w:rsidRDefault="00000000">
      <w:pPr>
        <w:pStyle w:val="Heading1"/>
      </w:pPr>
      <w:bookmarkStart w:id="29" w:name="_Toc226493013"/>
      <w:r>
        <w:lastRenderedPageBreak/>
        <w:t>Appendices</w:t>
      </w:r>
      <w:bookmarkEnd w:id="29"/>
    </w:p>
    <w:p w14:paraId="76D94EB7" w14:textId="77777777" w:rsidR="00D14598" w:rsidRDefault="00000000">
      <w:pPr>
        <w:pStyle w:val="Heading2"/>
      </w:pPr>
      <w:bookmarkStart w:id="30" w:name="_Toc226493014"/>
      <w:r>
        <w:t>Appendix A: Codebook</w:t>
      </w:r>
      <w:bookmarkEnd w:id="30"/>
    </w:p>
    <w:p w14:paraId="1ED191CB" w14:textId="77777777" w:rsidR="0056406F" w:rsidRDefault="00000000">
      <w:pPr>
        <w:spacing w:before="120" w:after="120"/>
        <w:jc w:val="both"/>
        <w:rPr>
          <w:color w:val="000000"/>
        </w:rPr>
      </w:pPr>
      <w:r>
        <w:rPr>
          <w:color w:val="000000"/>
        </w:rPr>
        <w:t>The full codebook is available at:</w:t>
      </w:r>
    </w:p>
    <w:p w14:paraId="09ADB8B9" w14:textId="68D2D523" w:rsidR="00D14598" w:rsidRDefault="00000000">
      <w:pPr>
        <w:spacing w:before="120" w:after="120"/>
        <w:jc w:val="both"/>
      </w:pPr>
      <w:r>
        <w:rPr>
          <w:color w:val="000000"/>
        </w:rPr>
        <w:t>Evaluating-Alert-Fatigue-in-Clinical-Decision-Support-Systems-Codebook.html</w:t>
      </w:r>
    </w:p>
    <w:p w14:paraId="68943698" w14:textId="76CD431C" w:rsidR="00D14598" w:rsidRDefault="00D14598">
      <w:pPr>
        <w:pBdr>
          <w:bottom w:val="dashed" w:sz="4" w:space="0" w:color="CCCCCC"/>
        </w:pBdr>
        <w:spacing w:before="120" w:after="120"/>
      </w:pPr>
    </w:p>
    <w:p w14:paraId="18FF5790" w14:textId="77777777" w:rsidR="00D14598" w:rsidRDefault="00000000">
      <w:pPr>
        <w:pStyle w:val="Heading2"/>
      </w:pPr>
      <w:bookmarkStart w:id="31" w:name="_Toc226493015"/>
      <w:r>
        <w:t>Appendix B: Reproducible Code</w:t>
      </w:r>
      <w:bookmarkEnd w:id="31"/>
    </w:p>
    <w:p w14:paraId="519BF62B" w14:textId="130423C2" w:rsidR="00EF09DE" w:rsidRDefault="00EF09DE" w:rsidP="00EF09DE">
      <w:r w:rsidRPr="00EF09DE">
        <w:t xml:space="preserve">The complete R Markdown source code, rendered codebook, and final report are available at: </w:t>
      </w:r>
      <w:hyperlink r:id="rId24" w:history="1">
        <w:r w:rsidRPr="00EF09DE">
          <w:rPr>
            <w:rStyle w:val="Hyperlink"/>
          </w:rPr>
          <w:t>https://github.com/briannajackson1211-wq/alert-fatigue-mimic-iv</w:t>
        </w:r>
      </w:hyperlink>
    </w:p>
    <w:p w14:paraId="47111E89" w14:textId="77777777" w:rsidR="00EF09DE" w:rsidRDefault="00EF09DE" w:rsidP="00EF09DE"/>
    <w:p w14:paraId="16CEE9D6" w14:textId="4BC32111" w:rsidR="00D14598" w:rsidRDefault="00D14598">
      <w:pPr>
        <w:pBdr>
          <w:bottom w:val="dashed" w:sz="4" w:space="0" w:color="CCCCCC"/>
        </w:pBdr>
        <w:spacing w:before="120" w:after="120"/>
      </w:pPr>
    </w:p>
    <w:p w14:paraId="1AED64E7" w14:textId="77777777" w:rsidR="00D14598" w:rsidRDefault="00000000">
      <w:pPr>
        <w:pStyle w:val="Heading2"/>
      </w:pPr>
      <w:bookmarkStart w:id="32" w:name="_Toc226493016"/>
      <w:r>
        <w:t>Appendix C: Additional Tables and Figures</w:t>
      </w:r>
      <w:bookmarkEnd w:id="32"/>
    </w:p>
    <w:p w14:paraId="32C0D606" w14:textId="53A97F8F" w:rsidR="00446715"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288F6851" wp14:editId="46AE69F8">
            <wp:extent cx="5943600" cy="4436745"/>
            <wp:effectExtent l="0" t="0" r="0" b="1905"/>
            <wp:docPr id="13197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3921" name=""/>
                    <pic:cNvPicPr/>
                  </pic:nvPicPr>
                  <pic:blipFill>
                    <a:blip r:embed="rId25"/>
                    <a:stretch>
                      <a:fillRect/>
                    </a:stretch>
                  </pic:blipFill>
                  <pic:spPr>
                    <a:xfrm>
                      <a:off x="0" y="0"/>
                      <a:ext cx="5943600" cy="4436745"/>
                    </a:xfrm>
                    <a:prstGeom prst="rect">
                      <a:avLst/>
                    </a:prstGeom>
                  </pic:spPr>
                </pic:pic>
              </a:graphicData>
            </a:graphic>
          </wp:inline>
        </w:drawing>
      </w:r>
    </w:p>
    <w:p w14:paraId="04EF4BB8" w14:textId="2187748B" w:rsidR="00446715" w:rsidRDefault="00446715" w:rsidP="0056406F">
      <w:pPr>
        <w:pBdr>
          <w:bottom w:val="dashed" w:sz="4" w:space="0" w:color="CCCCCC"/>
        </w:pBdr>
        <w:spacing w:before="120" w:after="120"/>
        <w:rPr>
          <w:i/>
          <w:iCs/>
          <w:color w:val="999999"/>
        </w:rPr>
      </w:pPr>
      <w:r w:rsidRPr="00446715">
        <w:rPr>
          <w:i/>
          <w:iCs/>
          <w:color w:val="999999"/>
        </w:rPr>
        <w:lastRenderedPageBreak/>
        <w:drawing>
          <wp:inline distT="0" distB="0" distL="0" distR="0" wp14:anchorId="648EBE67" wp14:editId="2ACB2CD2">
            <wp:extent cx="4933950" cy="4013577"/>
            <wp:effectExtent l="0" t="0" r="0" b="6350"/>
            <wp:docPr id="10359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1736" name=""/>
                    <pic:cNvPicPr/>
                  </pic:nvPicPr>
                  <pic:blipFill>
                    <a:blip r:embed="rId26"/>
                    <a:stretch>
                      <a:fillRect/>
                    </a:stretch>
                  </pic:blipFill>
                  <pic:spPr>
                    <a:xfrm>
                      <a:off x="0" y="0"/>
                      <a:ext cx="4947929" cy="4024948"/>
                    </a:xfrm>
                    <a:prstGeom prst="rect">
                      <a:avLst/>
                    </a:prstGeom>
                  </pic:spPr>
                </pic:pic>
              </a:graphicData>
            </a:graphic>
          </wp:inline>
        </w:drawing>
      </w:r>
    </w:p>
    <w:p w14:paraId="34EB5E20" w14:textId="77777777" w:rsidR="00446715" w:rsidRDefault="00446715" w:rsidP="0056406F">
      <w:pPr>
        <w:pBdr>
          <w:bottom w:val="dashed" w:sz="4" w:space="0" w:color="CCCCCC"/>
        </w:pBdr>
        <w:spacing w:before="120" w:after="120"/>
        <w:rPr>
          <w:i/>
          <w:iCs/>
          <w:color w:val="999999"/>
        </w:rPr>
      </w:pPr>
    </w:p>
    <w:p w14:paraId="1F464AEB" w14:textId="4752685D" w:rsidR="00446715"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3F7A9705" wp14:editId="0C30626E">
            <wp:extent cx="5219700" cy="3818858"/>
            <wp:effectExtent l="0" t="0" r="0" b="0"/>
            <wp:docPr id="9815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33" name=""/>
                    <pic:cNvPicPr/>
                  </pic:nvPicPr>
                  <pic:blipFill>
                    <a:blip r:embed="rId27"/>
                    <a:stretch>
                      <a:fillRect/>
                    </a:stretch>
                  </pic:blipFill>
                  <pic:spPr>
                    <a:xfrm>
                      <a:off x="0" y="0"/>
                      <a:ext cx="5230636" cy="3826859"/>
                    </a:xfrm>
                    <a:prstGeom prst="rect">
                      <a:avLst/>
                    </a:prstGeom>
                  </pic:spPr>
                </pic:pic>
              </a:graphicData>
            </a:graphic>
          </wp:inline>
        </w:drawing>
      </w:r>
    </w:p>
    <w:p w14:paraId="7D4076B5" w14:textId="1112FAAE" w:rsidR="00446715" w:rsidRDefault="00446715" w:rsidP="0056406F">
      <w:pPr>
        <w:pBdr>
          <w:bottom w:val="dashed" w:sz="4" w:space="0" w:color="CCCCCC"/>
        </w:pBdr>
        <w:spacing w:before="120" w:after="120"/>
        <w:rPr>
          <w:i/>
          <w:iCs/>
          <w:color w:val="999999"/>
        </w:rPr>
      </w:pPr>
      <w:r w:rsidRPr="00446715">
        <w:rPr>
          <w:i/>
          <w:iCs/>
          <w:color w:val="999999"/>
        </w:rPr>
        <w:lastRenderedPageBreak/>
        <w:drawing>
          <wp:inline distT="0" distB="0" distL="0" distR="0" wp14:anchorId="468AA926" wp14:editId="175F122F">
            <wp:extent cx="5943600" cy="4370705"/>
            <wp:effectExtent l="0" t="0" r="0" b="0"/>
            <wp:docPr id="14723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6547" name=""/>
                    <pic:cNvPicPr/>
                  </pic:nvPicPr>
                  <pic:blipFill>
                    <a:blip r:embed="rId28"/>
                    <a:stretch>
                      <a:fillRect/>
                    </a:stretch>
                  </pic:blipFill>
                  <pic:spPr>
                    <a:xfrm>
                      <a:off x="0" y="0"/>
                      <a:ext cx="5943600" cy="4370705"/>
                    </a:xfrm>
                    <a:prstGeom prst="rect">
                      <a:avLst/>
                    </a:prstGeom>
                  </pic:spPr>
                </pic:pic>
              </a:graphicData>
            </a:graphic>
          </wp:inline>
        </w:drawing>
      </w:r>
    </w:p>
    <w:p w14:paraId="5BB08BA3" w14:textId="0B6ADE8F" w:rsidR="00446715" w:rsidRPr="0056406F" w:rsidRDefault="00446715" w:rsidP="0056406F">
      <w:pPr>
        <w:pBdr>
          <w:bottom w:val="dashed" w:sz="4" w:space="0" w:color="CCCCCC"/>
        </w:pBdr>
        <w:spacing w:before="120" w:after="120"/>
        <w:rPr>
          <w:i/>
          <w:iCs/>
          <w:color w:val="999999"/>
        </w:rPr>
      </w:pPr>
      <w:r w:rsidRPr="00446715">
        <w:rPr>
          <w:i/>
          <w:iCs/>
          <w:color w:val="999999"/>
        </w:rPr>
        <w:drawing>
          <wp:inline distT="0" distB="0" distL="0" distR="0" wp14:anchorId="1DE8D0B8" wp14:editId="2CA104DC">
            <wp:extent cx="5010150" cy="3730849"/>
            <wp:effectExtent l="0" t="0" r="0" b="3175"/>
            <wp:docPr id="19395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9585" name=""/>
                    <pic:cNvPicPr/>
                  </pic:nvPicPr>
                  <pic:blipFill>
                    <a:blip r:embed="rId29"/>
                    <a:stretch>
                      <a:fillRect/>
                    </a:stretch>
                  </pic:blipFill>
                  <pic:spPr>
                    <a:xfrm>
                      <a:off x="0" y="0"/>
                      <a:ext cx="5018176" cy="3736825"/>
                    </a:xfrm>
                    <a:prstGeom prst="rect">
                      <a:avLst/>
                    </a:prstGeom>
                  </pic:spPr>
                </pic:pic>
              </a:graphicData>
            </a:graphic>
          </wp:inline>
        </w:drawing>
      </w:r>
    </w:p>
    <w:p w14:paraId="4489513C" w14:textId="5F9A3699" w:rsidR="003A0A8A" w:rsidRDefault="003A0A8A">
      <w:pPr>
        <w:pBdr>
          <w:bottom w:val="dashed" w:sz="4" w:space="0" w:color="CCCCCC"/>
        </w:pBdr>
        <w:spacing w:before="120" w:after="120"/>
        <w:rPr>
          <w:i/>
          <w:iCs/>
          <w:color w:val="999999"/>
        </w:rPr>
      </w:pPr>
      <w:r w:rsidRPr="003A0A8A">
        <w:rPr>
          <w:i/>
          <w:iCs/>
          <w:color w:val="999999"/>
        </w:rPr>
        <w:lastRenderedPageBreak/>
        <w:drawing>
          <wp:inline distT="0" distB="0" distL="0" distR="0" wp14:anchorId="3A2D6B44" wp14:editId="1EAAFF56">
            <wp:extent cx="5676900" cy="4183075"/>
            <wp:effectExtent l="0" t="0" r="0" b="8255"/>
            <wp:docPr id="5494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52716" name=""/>
                    <pic:cNvPicPr/>
                  </pic:nvPicPr>
                  <pic:blipFill>
                    <a:blip r:embed="rId30"/>
                    <a:stretch>
                      <a:fillRect/>
                    </a:stretch>
                  </pic:blipFill>
                  <pic:spPr>
                    <a:xfrm>
                      <a:off x="0" y="0"/>
                      <a:ext cx="5680214" cy="4185517"/>
                    </a:xfrm>
                    <a:prstGeom prst="rect">
                      <a:avLst/>
                    </a:prstGeom>
                  </pic:spPr>
                </pic:pic>
              </a:graphicData>
            </a:graphic>
          </wp:inline>
        </w:drawing>
      </w:r>
    </w:p>
    <w:p w14:paraId="4ADAFAF7" w14:textId="13D68ACD" w:rsidR="003A0A8A" w:rsidRDefault="003A0A8A" w:rsidP="003A0A8A">
      <w:pPr>
        <w:pStyle w:val="Heading4"/>
      </w:pPr>
    </w:p>
    <w:p w14:paraId="52AD3FAE" w14:textId="5CA301A1" w:rsidR="003A0A8A" w:rsidRDefault="003A0A8A">
      <w:pPr>
        <w:pBdr>
          <w:bottom w:val="dashed" w:sz="4" w:space="0" w:color="CCCCCC"/>
        </w:pBdr>
        <w:spacing w:before="120" w:after="120"/>
        <w:rPr>
          <w:i/>
          <w:iCs/>
          <w:color w:val="999999"/>
        </w:rPr>
      </w:pPr>
      <w:r w:rsidRPr="003A0A8A">
        <w:rPr>
          <w:i/>
          <w:iCs/>
          <w:color w:val="999999"/>
        </w:rPr>
        <w:drawing>
          <wp:inline distT="0" distB="0" distL="0" distR="0" wp14:anchorId="3D3A8B1C" wp14:editId="59862F0E">
            <wp:extent cx="5160306" cy="3543300"/>
            <wp:effectExtent l="0" t="0" r="2540" b="0"/>
            <wp:docPr id="129079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1078" name=""/>
                    <pic:cNvPicPr/>
                  </pic:nvPicPr>
                  <pic:blipFill>
                    <a:blip r:embed="rId31"/>
                    <a:stretch>
                      <a:fillRect/>
                    </a:stretch>
                  </pic:blipFill>
                  <pic:spPr>
                    <a:xfrm>
                      <a:off x="0" y="0"/>
                      <a:ext cx="5168892" cy="3549196"/>
                    </a:xfrm>
                    <a:prstGeom prst="rect">
                      <a:avLst/>
                    </a:prstGeom>
                  </pic:spPr>
                </pic:pic>
              </a:graphicData>
            </a:graphic>
          </wp:inline>
        </w:drawing>
      </w:r>
    </w:p>
    <w:p w14:paraId="3805994A" w14:textId="64524976" w:rsidR="003A0A8A" w:rsidRDefault="003A0A8A" w:rsidP="003A0A8A">
      <w:pPr>
        <w:pStyle w:val="Heading4"/>
      </w:pPr>
    </w:p>
    <w:p w14:paraId="1DDAEB38" w14:textId="003A4399" w:rsidR="003A0A8A" w:rsidRDefault="003A0A8A" w:rsidP="003A0A8A">
      <w:pPr>
        <w:pStyle w:val="Heading4"/>
      </w:pPr>
      <w:r w:rsidRPr="003A0A8A">
        <w:drawing>
          <wp:inline distT="0" distB="0" distL="0" distR="0" wp14:anchorId="563FFE5A" wp14:editId="43BBEA55">
            <wp:extent cx="5114925" cy="3594655"/>
            <wp:effectExtent l="0" t="0" r="0" b="6350"/>
            <wp:docPr id="35876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6042" name=""/>
                    <pic:cNvPicPr/>
                  </pic:nvPicPr>
                  <pic:blipFill>
                    <a:blip r:embed="rId32"/>
                    <a:stretch>
                      <a:fillRect/>
                    </a:stretch>
                  </pic:blipFill>
                  <pic:spPr>
                    <a:xfrm>
                      <a:off x="0" y="0"/>
                      <a:ext cx="5114925" cy="3594655"/>
                    </a:xfrm>
                    <a:prstGeom prst="rect">
                      <a:avLst/>
                    </a:prstGeom>
                  </pic:spPr>
                </pic:pic>
              </a:graphicData>
            </a:graphic>
          </wp:inline>
        </w:drawing>
      </w:r>
    </w:p>
    <w:p w14:paraId="3005531F" w14:textId="77777777" w:rsidR="0056406F" w:rsidRDefault="0056406F" w:rsidP="003A0A8A">
      <w:pPr>
        <w:pStyle w:val="Heading4"/>
      </w:pPr>
    </w:p>
    <w:p w14:paraId="33AF4CF5" w14:textId="24D8D7D4" w:rsidR="0056406F" w:rsidRDefault="0056406F" w:rsidP="003A0A8A">
      <w:pPr>
        <w:pStyle w:val="Heading4"/>
      </w:pPr>
      <w:r w:rsidRPr="0056406F">
        <w:drawing>
          <wp:inline distT="0" distB="0" distL="0" distR="0" wp14:anchorId="6503CA84" wp14:editId="75161A06">
            <wp:extent cx="4971738" cy="3790950"/>
            <wp:effectExtent l="0" t="0" r="635" b="0"/>
            <wp:docPr id="84557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8716" name=""/>
                    <pic:cNvPicPr/>
                  </pic:nvPicPr>
                  <pic:blipFill>
                    <a:blip r:embed="rId33"/>
                    <a:stretch>
                      <a:fillRect/>
                    </a:stretch>
                  </pic:blipFill>
                  <pic:spPr>
                    <a:xfrm>
                      <a:off x="0" y="0"/>
                      <a:ext cx="4985097" cy="3801136"/>
                    </a:xfrm>
                    <a:prstGeom prst="rect">
                      <a:avLst/>
                    </a:prstGeom>
                  </pic:spPr>
                </pic:pic>
              </a:graphicData>
            </a:graphic>
          </wp:inline>
        </w:drawing>
      </w:r>
    </w:p>
    <w:p w14:paraId="2193FEE9" w14:textId="77777777" w:rsidR="0056406F" w:rsidRDefault="0056406F" w:rsidP="003A0A8A">
      <w:pPr>
        <w:pStyle w:val="Heading4"/>
      </w:pPr>
    </w:p>
    <w:p w14:paraId="1610D3D6" w14:textId="5805DB8A" w:rsidR="0056406F" w:rsidRDefault="0056406F" w:rsidP="003A0A8A">
      <w:pPr>
        <w:pStyle w:val="Heading4"/>
      </w:pPr>
      <w:r w:rsidRPr="0056406F">
        <w:lastRenderedPageBreak/>
        <w:drawing>
          <wp:inline distT="0" distB="0" distL="0" distR="0" wp14:anchorId="73C4261B" wp14:editId="48F786E9">
            <wp:extent cx="4695825" cy="2937901"/>
            <wp:effectExtent l="0" t="0" r="0" b="0"/>
            <wp:docPr id="16567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1952" name=""/>
                    <pic:cNvPicPr/>
                  </pic:nvPicPr>
                  <pic:blipFill>
                    <a:blip r:embed="rId34"/>
                    <a:stretch>
                      <a:fillRect/>
                    </a:stretch>
                  </pic:blipFill>
                  <pic:spPr>
                    <a:xfrm>
                      <a:off x="0" y="0"/>
                      <a:ext cx="4708212" cy="2945651"/>
                    </a:xfrm>
                    <a:prstGeom prst="rect">
                      <a:avLst/>
                    </a:prstGeom>
                  </pic:spPr>
                </pic:pic>
              </a:graphicData>
            </a:graphic>
          </wp:inline>
        </w:drawing>
      </w:r>
    </w:p>
    <w:sectPr w:rsidR="0056406F">
      <w:pgSz w:w="12240" w:h="15840"/>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57"/>
    <w:multiLevelType w:val="hybridMultilevel"/>
    <w:tmpl w:val="F62824C0"/>
    <w:lvl w:ilvl="0" w:tplc="1C182E6C">
      <w:start w:val="1"/>
      <w:numFmt w:val="bullet"/>
      <w:lvlText w:val="•"/>
      <w:lvlJc w:val="left"/>
      <w:pPr>
        <w:ind w:left="720" w:hanging="360"/>
      </w:pPr>
    </w:lvl>
    <w:lvl w:ilvl="1" w:tplc="33AE1C58">
      <w:numFmt w:val="decimal"/>
      <w:lvlText w:val=""/>
      <w:lvlJc w:val="left"/>
    </w:lvl>
    <w:lvl w:ilvl="2" w:tplc="DB061B4E">
      <w:numFmt w:val="decimal"/>
      <w:lvlText w:val=""/>
      <w:lvlJc w:val="left"/>
    </w:lvl>
    <w:lvl w:ilvl="3" w:tplc="EEDAE90C">
      <w:numFmt w:val="decimal"/>
      <w:lvlText w:val=""/>
      <w:lvlJc w:val="left"/>
    </w:lvl>
    <w:lvl w:ilvl="4" w:tplc="1A1C2646">
      <w:numFmt w:val="decimal"/>
      <w:lvlText w:val=""/>
      <w:lvlJc w:val="left"/>
    </w:lvl>
    <w:lvl w:ilvl="5" w:tplc="C846AB3C">
      <w:numFmt w:val="decimal"/>
      <w:lvlText w:val=""/>
      <w:lvlJc w:val="left"/>
    </w:lvl>
    <w:lvl w:ilvl="6" w:tplc="A4003820">
      <w:numFmt w:val="decimal"/>
      <w:lvlText w:val=""/>
      <w:lvlJc w:val="left"/>
    </w:lvl>
    <w:lvl w:ilvl="7" w:tplc="7CAAEC8E">
      <w:numFmt w:val="decimal"/>
      <w:lvlText w:val=""/>
      <w:lvlJc w:val="left"/>
    </w:lvl>
    <w:lvl w:ilvl="8" w:tplc="AC167D7A">
      <w:numFmt w:val="decimal"/>
      <w:lvlText w:val=""/>
      <w:lvlJc w:val="left"/>
    </w:lvl>
  </w:abstractNum>
  <w:abstractNum w:abstractNumId="1" w15:restartNumberingAfterBreak="0">
    <w:nsid w:val="10460C99"/>
    <w:multiLevelType w:val="hybridMultilevel"/>
    <w:tmpl w:val="D9E4B122"/>
    <w:lvl w:ilvl="0" w:tplc="FA40FD14">
      <w:start w:val="1"/>
      <w:numFmt w:val="bullet"/>
      <w:lvlText w:val="●"/>
      <w:lvlJc w:val="left"/>
      <w:pPr>
        <w:ind w:left="720" w:hanging="360"/>
      </w:pPr>
    </w:lvl>
    <w:lvl w:ilvl="1" w:tplc="80584762">
      <w:start w:val="1"/>
      <w:numFmt w:val="bullet"/>
      <w:lvlText w:val="○"/>
      <w:lvlJc w:val="left"/>
      <w:pPr>
        <w:ind w:left="1440" w:hanging="360"/>
      </w:pPr>
    </w:lvl>
    <w:lvl w:ilvl="2" w:tplc="0E0C3FFE">
      <w:start w:val="1"/>
      <w:numFmt w:val="bullet"/>
      <w:lvlText w:val="■"/>
      <w:lvlJc w:val="left"/>
      <w:pPr>
        <w:ind w:left="2160" w:hanging="360"/>
      </w:pPr>
    </w:lvl>
    <w:lvl w:ilvl="3" w:tplc="8218488C">
      <w:start w:val="1"/>
      <w:numFmt w:val="bullet"/>
      <w:lvlText w:val="●"/>
      <w:lvlJc w:val="left"/>
      <w:pPr>
        <w:ind w:left="2880" w:hanging="360"/>
      </w:pPr>
    </w:lvl>
    <w:lvl w:ilvl="4" w:tplc="B14AF4A8">
      <w:start w:val="1"/>
      <w:numFmt w:val="bullet"/>
      <w:lvlText w:val="○"/>
      <w:lvlJc w:val="left"/>
      <w:pPr>
        <w:ind w:left="3600" w:hanging="360"/>
      </w:pPr>
    </w:lvl>
    <w:lvl w:ilvl="5" w:tplc="817E5198">
      <w:start w:val="1"/>
      <w:numFmt w:val="bullet"/>
      <w:lvlText w:val="■"/>
      <w:lvlJc w:val="left"/>
      <w:pPr>
        <w:ind w:left="4320" w:hanging="360"/>
      </w:pPr>
    </w:lvl>
    <w:lvl w:ilvl="6" w:tplc="AC8E4734">
      <w:start w:val="1"/>
      <w:numFmt w:val="bullet"/>
      <w:lvlText w:val="●"/>
      <w:lvlJc w:val="left"/>
      <w:pPr>
        <w:ind w:left="5040" w:hanging="360"/>
      </w:pPr>
    </w:lvl>
    <w:lvl w:ilvl="7" w:tplc="F2CABED0">
      <w:start w:val="1"/>
      <w:numFmt w:val="bullet"/>
      <w:lvlText w:val="●"/>
      <w:lvlJc w:val="left"/>
      <w:pPr>
        <w:ind w:left="5760" w:hanging="360"/>
      </w:pPr>
    </w:lvl>
    <w:lvl w:ilvl="8" w:tplc="E8F80240">
      <w:start w:val="1"/>
      <w:numFmt w:val="bullet"/>
      <w:lvlText w:val="●"/>
      <w:lvlJc w:val="left"/>
      <w:pPr>
        <w:ind w:left="6480" w:hanging="360"/>
      </w:pPr>
    </w:lvl>
  </w:abstractNum>
  <w:abstractNum w:abstractNumId="2" w15:restartNumberingAfterBreak="0">
    <w:nsid w:val="6C385C02"/>
    <w:multiLevelType w:val="multilevel"/>
    <w:tmpl w:val="252ED4D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2758926">
    <w:abstractNumId w:val="1"/>
    <w:lvlOverride w:ilvl="0">
      <w:startOverride w:val="1"/>
    </w:lvlOverride>
  </w:num>
  <w:num w:numId="2" w16cid:durableId="1040587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8"/>
    <w:rsid w:val="00085616"/>
    <w:rsid w:val="000E6432"/>
    <w:rsid w:val="001267B5"/>
    <w:rsid w:val="00132AEC"/>
    <w:rsid w:val="00173F2D"/>
    <w:rsid w:val="00190581"/>
    <w:rsid w:val="001D04C5"/>
    <w:rsid w:val="002003CB"/>
    <w:rsid w:val="0022204D"/>
    <w:rsid w:val="002348E7"/>
    <w:rsid w:val="00255A55"/>
    <w:rsid w:val="00267C50"/>
    <w:rsid w:val="002B7C67"/>
    <w:rsid w:val="002D1AE8"/>
    <w:rsid w:val="002D254D"/>
    <w:rsid w:val="002E259A"/>
    <w:rsid w:val="0032527B"/>
    <w:rsid w:val="00355D66"/>
    <w:rsid w:val="003869EF"/>
    <w:rsid w:val="003A0A8A"/>
    <w:rsid w:val="003A37AE"/>
    <w:rsid w:val="004041B8"/>
    <w:rsid w:val="004275E1"/>
    <w:rsid w:val="00446715"/>
    <w:rsid w:val="004A51BE"/>
    <w:rsid w:val="0056406F"/>
    <w:rsid w:val="00597AF9"/>
    <w:rsid w:val="005F2763"/>
    <w:rsid w:val="006C7014"/>
    <w:rsid w:val="006D1A18"/>
    <w:rsid w:val="006D39D9"/>
    <w:rsid w:val="007505FF"/>
    <w:rsid w:val="007515DF"/>
    <w:rsid w:val="007C2995"/>
    <w:rsid w:val="00803239"/>
    <w:rsid w:val="008647B4"/>
    <w:rsid w:val="00871F7B"/>
    <w:rsid w:val="00875E6E"/>
    <w:rsid w:val="00895DD8"/>
    <w:rsid w:val="008D0C09"/>
    <w:rsid w:val="008F71EF"/>
    <w:rsid w:val="00921A59"/>
    <w:rsid w:val="0098554D"/>
    <w:rsid w:val="00986DBE"/>
    <w:rsid w:val="00A34AD9"/>
    <w:rsid w:val="00A65957"/>
    <w:rsid w:val="00A91DFD"/>
    <w:rsid w:val="00AB1D5F"/>
    <w:rsid w:val="00B07184"/>
    <w:rsid w:val="00B56889"/>
    <w:rsid w:val="00BC127F"/>
    <w:rsid w:val="00BF5DF8"/>
    <w:rsid w:val="00C8399C"/>
    <w:rsid w:val="00CD72CF"/>
    <w:rsid w:val="00CF6087"/>
    <w:rsid w:val="00D14598"/>
    <w:rsid w:val="00D40A27"/>
    <w:rsid w:val="00D4224F"/>
    <w:rsid w:val="00D5454F"/>
    <w:rsid w:val="00D86550"/>
    <w:rsid w:val="00DB16F0"/>
    <w:rsid w:val="00DC3FB8"/>
    <w:rsid w:val="00E22B04"/>
    <w:rsid w:val="00E634CD"/>
    <w:rsid w:val="00E74AB2"/>
    <w:rsid w:val="00EB50E8"/>
    <w:rsid w:val="00EE3D61"/>
    <w:rsid w:val="00EF09DE"/>
    <w:rsid w:val="00EF318E"/>
    <w:rsid w:val="00EF548A"/>
    <w:rsid w:val="00F116C8"/>
    <w:rsid w:val="00F24F92"/>
    <w:rsid w:val="00F62D0C"/>
    <w:rsid w:val="00F65019"/>
    <w:rsid w:val="00FD0D74"/>
    <w:rsid w:val="00FD558E"/>
    <w:rsid w:val="00FE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DC7D"/>
  <w15:docId w15:val="{6E4FF1FB-FDD9-4ECD-A207-7E73526C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41B8"/>
    <w:pPr>
      <w:spacing w:after="100"/>
    </w:pPr>
  </w:style>
  <w:style w:type="paragraph" w:styleId="TOC2">
    <w:name w:val="toc 2"/>
    <w:basedOn w:val="Normal"/>
    <w:next w:val="Normal"/>
    <w:autoRedefine/>
    <w:uiPriority w:val="39"/>
    <w:unhideWhenUsed/>
    <w:rsid w:val="004041B8"/>
    <w:pPr>
      <w:spacing w:after="100"/>
      <w:ind w:left="240"/>
    </w:pPr>
  </w:style>
  <w:style w:type="table" w:styleId="TableGrid">
    <w:name w:val="Table Grid"/>
    <w:basedOn w:val="TableNormal"/>
    <w:uiPriority w:val="39"/>
    <w:rsid w:val="00085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0C09"/>
    <w:rPr>
      <w:color w:val="605E5C"/>
      <w:shd w:val="clear" w:color="auto" w:fill="E1DFDD"/>
    </w:rPr>
  </w:style>
  <w:style w:type="character" w:styleId="FollowedHyperlink">
    <w:name w:val="FollowedHyperlink"/>
    <w:basedOn w:val="DefaultParagraphFont"/>
    <w:uiPriority w:val="99"/>
    <w:semiHidden/>
    <w:unhideWhenUsed/>
    <w:rsid w:val="007C29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S0895-4356(03)00028-3" TargetMode="External"/><Relationship Id="rId18" Type="http://schemas.openxmlformats.org/officeDocument/2006/relationships/hyperlink" Target="https://doi.org/10.1080/21642850.2021.1920416"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doi.org/10.1093/jamia/ocz095" TargetMode="Externa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yperlink" Target="https://doi.org/10.1016/S0140-6736(23)02465-0" TargetMode="External"/><Relationship Id="rId17" Type="http://schemas.openxmlformats.org/officeDocument/2006/relationships/hyperlink" Target="https://doi.org/10.1080/03610918.2017.1323223" TargetMode="External"/><Relationship Id="rId25" Type="http://schemas.openxmlformats.org/officeDocument/2006/relationships/image" Target="media/image2.png"/><Relationship Id="rId33"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s://doi.org/10.1136/bmjopen-2022-069416" TargetMode="External"/><Relationship Id="rId20" Type="http://schemas.openxmlformats.org/officeDocument/2006/relationships/hyperlink" Target="https://doi.org/10.2196/18360"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snet.ahrq.gov/primer/alert-fatigue" TargetMode="External"/><Relationship Id="rId24" Type="http://schemas.openxmlformats.org/officeDocument/2006/relationships/hyperlink" Target="https://github.com/briannajackson1211-wq/alert-fatigue-mimic-iv" TargetMode="External"/><Relationship Id="rId32"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doi.org/10.1038/s41597-022-01899-x" TargetMode="External"/><Relationship Id="rId23" Type="http://schemas.openxmlformats.org/officeDocument/2006/relationships/hyperlink" Target="https://doi.org/10.1097/CCE.0000000000000967" TargetMode="External"/><Relationship Id="rId28" Type="http://schemas.openxmlformats.org/officeDocument/2006/relationships/image" Target="media/image5.png"/><Relationship Id="rId36" Type="http://schemas.openxmlformats.org/officeDocument/2006/relationships/theme" Target="theme/theme1.xml"/><Relationship Id="rId10" Type="http://schemas.openxmlformats.org/officeDocument/2006/relationships/hyperlink" Target="https://doi.org/10.1186/s12911-017-0430-8" TargetMode="External"/><Relationship Id="rId19" Type="http://schemas.openxmlformats.org/officeDocument/2006/relationships/hyperlink" Target="https://doi.org/10.1213/ANE.0000000000005398"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i.org/10.1186/s12874-022-01664-3" TargetMode="External"/><Relationship Id="rId22" Type="http://schemas.openxmlformats.org/officeDocument/2006/relationships/hyperlink" Target="https://doi.org/10.1038/s41746-020-0221-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453239c-3de8-4514-ba73-36af19a2b2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BF5A5073066C4180292A3E87CAE463" ma:contentTypeVersion="6" ma:contentTypeDescription="Create a new document." ma:contentTypeScope="" ma:versionID="5f0901d931f0c4dd6bd6e0f4a55a4912">
  <xsd:schema xmlns:xsd="http://www.w3.org/2001/XMLSchema" xmlns:xs="http://www.w3.org/2001/XMLSchema" xmlns:p="http://schemas.microsoft.com/office/2006/metadata/properties" xmlns:ns3="7453239c-3de8-4514-ba73-36af19a2b20c" targetNamespace="http://schemas.microsoft.com/office/2006/metadata/properties" ma:root="true" ma:fieldsID="60656fc087b6db8079e2a28f40b0a609" ns3:_="">
    <xsd:import namespace="7453239c-3de8-4514-ba73-36af19a2b2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3239c-3de8-4514-ba73-36af19a2b2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842D9-070A-40D0-86F1-4686907E45C8}">
  <ds:schemaRefs>
    <ds:schemaRef ds:uri="http://schemas.openxmlformats.org/officeDocument/2006/bibliography"/>
  </ds:schemaRefs>
</ds:datastoreItem>
</file>

<file path=customXml/itemProps2.xml><?xml version="1.0" encoding="utf-8"?>
<ds:datastoreItem xmlns:ds="http://schemas.openxmlformats.org/officeDocument/2006/customXml" ds:itemID="{F7E156B1-A525-4E69-A2FC-0304BE2A79A2}">
  <ds:schemaRefs>
    <ds:schemaRef ds:uri="http://schemas.microsoft.com/office/2006/metadata/properties"/>
    <ds:schemaRef ds:uri="http://schemas.microsoft.com/office/infopath/2007/PartnerControls"/>
    <ds:schemaRef ds:uri="7453239c-3de8-4514-ba73-36af19a2b20c"/>
  </ds:schemaRefs>
</ds:datastoreItem>
</file>

<file path=customXml/itemProps3.xml><?xml version="1.0" encoding="utf-8"?>
<ds:datastoreItem xmlns:ds="http://schemas.openxmlformats.org/officeDocument/2006/customXml" ds:itemID="{F154B0A4-B72E-4F4C-9B5E-F684BEE7D46C}">
  <ds:schemaRefs>
    <ds:schemaRef ds:uri="http://schemas.microsoft.com/sharepoint/v3/contenttype/forms"/>
  </ds:schemaRefs>
</ds:datastoreItem>
</file>

<file path=customXml/itemProps4.xml><?xml version="1.0" encoding="utf-8"?>
<ds:datastoreItem xmlns:ds="http://schemas.openxmlformats.org/officeDocument/2006/customXml" ds:itemID="{76B9F3FB-A8E2-45E9-A025-BB253E988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3239c-3de8-4514-ba73-36af19a2b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10746</Words>
  <Characters>61254</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Brianna Jackson</cp:lastModifiedBy>
  <cp:revision>2</cp:revision>
  <dcterms:created xsi:type="dcterms:W3CDTF">2026-04-20T18:26:00Z</dcterms:created>
  <dcterms:modified xsi:type="dcterms:W3CDTF">2026-04-20T18:26:00Z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162877de-c781-4b4f-8b7d-1005e667628e</vt:lpwstr>
  </property>
  <property fmtid="{D5CDD505-2E9C-101B-9397-08002B2CF9AE}" pid="3" name="ContentTypeId">
    <vt:lpwstr>0x01010084BF5A5073066C4180292A3E87CAE463</vt:lpwstr>
  </property>
</Properties>
</file>