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FTIR litter chemistry data. (a) an NMDS plot of the litter chemistry data. The dependent variable for each scatterplot subplot is the area under the curve assigned to a specific spectral range for each sample’s FTIR spectra, with spectral area for (b) 1450 - 1475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representative of C-H deformations in methyl and methylene groups, (c) 1700 - 1750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representative of lipids (d) 1015 - 1080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representative of C-O deformation of glycosidic bonds, (e) 1160 - 1230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representative of carbohydrate C-O stretches, amide spectral bands (f) 1620 - 1645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(amide 1) and (g) 1545 - 1600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(amide 2), and carbohydrate ester bands (h) 970 - 1015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(i) 1100 - 1160 cm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are representative of C-O stretches in carbohydrate esters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03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CAZyme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 abundance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where each panel is the abundance of CAZyme genes for a putative substrate. Significant effects by precipitation treatment, ecosystem, or their interaction or noted for each subplot with asterisks. Further information on p-values and effect sizes are in Table 3. The putative substrates are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peptidoglycan, (b) chitin, (c) cellulose, (d) hemicellulose, (e) starch, (f) polysaccharides, (g) lignin, (h) oligosaccharides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22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Changes in community composition over time and between different ecosystems estimated from reads. (a) Taxonomic diversity presented as the alpha diversity based on genus-level annotations derived from metagenomics. (b)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Fungal:bacterial ratios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estimated as abundance ratios of the two groups from the same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9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Vmax. Enzymes are (a) ɑ-glucosidase (AG), (b) β-glucosidase (BG), (c) β-xylosidase (BX), (d) cellobiohydrolase (CBH), (e) leucine aminopeptidase (LAP), and (f) N-acetyl-β-glucosaminidase. Vmax of the carbon-degrading hydrolases – AG, BG, BX, and CBH – are summed up in (g)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17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