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AgeClarity — PRD completo</w:t>
      </w:r>
    </w:p>
    <w:p>
      <w:r>
        <w:t>Versión 4.0.0 • Estado READY_TO_BUILD documental • 13/10/2026</w:t>
      </w:r>
    </w:p>
    <w:p>
      <w:pPr>
        <w:pStyle w:val="Heading1"/>
      </w:pPr>
      <w:r>
        <w:t>0. Ficha, versión y control</w:t>
      </w:r>
    </w:p>
    <w:p>
      <w:r>
        <w:t>AgeClarity — especificación de producto v4.0.0; fecha 2026-10-13; estado READY_TO_BUILD (documentación), no certificación clínica ni software ya desarrollado. Propietario: equipo fundador. Idiomas es, en, pt-BR. Fuente normativa interna: etapa 3 conservada íntegra en original_stage3/.</w:t>
      </w:r>
    </w:p>
    <w:p>
      <w:pPr>
        <w:pStyle w:val="Heading1"/>
      </w:pPr>
      <w:r>
        <w:t>1. Resumen ejecutivo</w:t>
      </w:r>
    </w:p>
    <w:p>
      <w:r>
        <w:t>Aplicación web responsive que calcula Clinical PhenoAge a partir de edad y nueve biomarcadores de laboratorio; muestra una vista previa gratuita y captura solicitudes explícitas de un informe ampliado. La estimación es poblacional, no diagnóstico, pronóstico personal ni sustituto de atención médica.</w:t>
      </w:r>
    </w:p>
    <w:p>
      <w:pPr>
        <w:pStyle w:val="Heading1"/>
      </w:pPr>
      <w:r>
        <w:t>2. Problema y evidencia</w:t>
      </w:r>
    </w:p>
    <w:p>
      <w:r>
        <w:t>Problema: los usuarios disponen de analíticas comunes, pero les cuesta interpretarlas. La metodología publicada permite una estimación fenotípica reproducible; su transferencia a poblaciones fuera de la validación original requiere cautela. Evidencia y citas S201–S214 en docs/brief_estrategico.md y docs/qa_report.md; datos comerciales marcados preliminares.</w:t>
      </w:r>
    </w:p>
    <w:p>
      <w:pPr>
        <w:pStyle w:val="Heading1"/>
      </w:pPr>
      <w:r>
        <w:t>3. Mercado y segmentos</w:t>
      </w:r>
    </w:p>
    <w:p>
      <w:r>
        <w:t>B2C: adultos de 30–60 años con análisis recientes; segundo público: profesionales que ayudan a interpretar resultados; B2B2C futuro: laboratorios. TAM/SAM/SOM son escenarios y supuestos, no cifras verificadas de demanda. Priorizar Perú, México, España y Brasil mediante tests de adquisición; habilitar países luego de revisión legal.</w:t>
      </w:r>
    </w:p>
    <w:p>
      <w:pPr>
        <w:pStyle w:val="Heading1"/>
      </w:pPr>
      <w:r>
        <w:t>4. Personas y JTBD</w:t>
      </w:r>
    </w:p>
    <w:p>
      <w:r>
        <w:t>P1 adulto informado: “cuando recibo mi analítica quiero una explicación transparente para preparar una conversación con un profesional”. P2 familiar: “quiero leer límites y calidad de los datos antes de compartir un resultado”. P3 laboratorio: “quiero un informe reproducible, sin claims diagnósticos”. Evitar recomendaciones clínicas personalizadas.</w:t>
      </w:r>
    </w:p>
    <w:p>
      <w:pPr>
        <w:pStyle w:val="Heading1"/>
      </w:pPr>
      <w:r>
        <w:t>5. Competencia</w:t>
      </w:r>
    </w:p>
    <w:p>
      <w:r>
        <w:t>Alternativas: cálculo Clinical PhenoAge en herramientas abiertas, calculadoras genéricas, interpretación profesional y pruebas epigenéticas. Ventaja: claridad sobre unidades, versión científica, auditabilidad, documentación multilingüe e informe estructurado, no pretender novedad de la fórmula.</w:t>
      </w:r>
    </w:p>
    <w:p>
      <w:pPr>
        <w:pStyle w:val="Heading1"/>
      </w:pPr>
      <w:r>
        <w:t>6. Propuesta de valor</w:t>
      </w:r>
    </w:p>
    <w:p>
      <w:r>
        <w:t>Promesa: “Entiende la estimación PhenoAge de tus resultados, con transparencia sobre supuestos y limitaciones”. Vista previa en &lt;90 s como objetivo UX medido; nueve biomarcadores obligatorios, sin OCR en MVP.</w:t>
      </w:r>
    </w:p>
    <w:p>
      <w:pPr>
        <w:pStyle w:val="Heading1"/>
      </w:pPr>
      <w:r>
        <w:t>7. Alcance MVP / fuera de alcance / v2</w:t>
      </w:r>
    </w:p>
    <w:p>
      <w:r>
        <w:t>MVP: entrada manual, validación estricta de unidades, cálculo exacto, visualización con advertencias, lead bajo consentimiento, email al usuario y aviso minimizado al propietario, PDF completo generado internamente solo para operación autorizada, panel admin mínimo, i18n. Fuera: OCR, diagnóstico, recomendaciones terapéuticas, benchmarking regional, percentiles, suscripción y predicción del tiempo de vida. V2: Stripe, historial con consentimiento específico, laboratorios, OCR sujeto a controles.</w:t>
      </w:r>
    </w:p>
    <w:p>
      <w:pPr>
        <w:pStyle w:val="Heading1"/>
      </w:pPr>
      <w:r>
        <w:t>8. Flujo end-to-end</w:t>
      </w:r>
    </w:p>
    <w:p>
      <w:r>
        <w:t>```mermaid</w:t>
      </w:r>
    </w:p>
    <w:p>
      <w:r>
        <w:t>flowchart TD</w:t>
      </w:r>
    </w:p>
    <w:p>
      <w:r>
        <w:t xml:space="preserve"> A[Landing / idioma] --&gt; B[Datos y unidades]</w:t>
      </w:r>
    </w:p>
    <w:p>
      <w:r>
        <w:t xml:space="preserve"> B --&gt; C{Validación Zod}</w:t>
      </w:r>
    </w:p>
    <w:p>
      <w:r>
        <w:t xml:space="preserve"> C -- inválido --&gt; B</w:t>
      </w:r>
    </w:p>
    <w:p>
      <w:r>
        <w:t xml:space="preserve"> C -- válido --&gt; D[Motor determinista]</w:t>
      </w:r>
    </w:p>
    <w:p>
      <w:r>
        <w:t xml:space="preserve"> D --&gt; E[Preview gratuita]</w:t>
      </w:r>
    </w:p>
    <w:p>
      <w:r>
        <w:t xml:space="preserve"> E --&gt; F{Solicita informe}</w:t>
      </w:r>
    </w:p>
    <w:p>
      <w:r>
        <w:t xml:space="preserve"> F -- no --&gt; G[Fin sin almacenar datos clínicos]</w:t>
      </w:r>
    </w:p>
    <w:p>
      <w:r>
        <w:t xml:space="preserve"> F -- sí --&gt; H[Email + consentimientos]</w:t>
      </w:r>
    </w:p>
    <w:p>
      <w:r>
        <w:t xml:space="preserve"> H --&gt; I[Lead seguro / cola envío]</w:t>
      </w:r>
    </w:p>
    <w:p>
      <w:r>
        <w:t xml:space="preserve"> I --&gt; J[Email confirmación y admin]</w:t>
      </w:r>
    </w:p>
    <w:p>
      <w:r>
        <w:t xml:space="preserve"> J --&gt; K[Entrega manual revisada]</w:t>
      </w:r>
    </w:p>
    <w:p>
      <w:r>
        <w:t>```</w:t>
      </w:r>
    </w:p>
    <w:p>
      <w:pPr>
        <w:pStyle w:val="Heading1"/>
      </w:pPr>
      <w:r>
        <w:t>9. Historias de usuario (Gherkin)</w:t>
      </w:r>
    </w:p>
    <w:p>
      <w:r>
        <w:t>US-01 Como visitante quiero introducir edad y nueve biomarcadores para calcular un resultado reproducible. GIVEN campos válidos WHEN envío THEN se muestra la edad fenotípica y brecha.</w:t>
      </w:r>
    </w:p>
    <w:p>
      <w:r>
        <w:t>US-02 Como visitante quiero elegir unidades válidas. GIVEN unidad incompatible WHEN envío THEN se rechaza y muestra corrección.</w:t>
      </w:r>
    </w:p>
    <w:p>
      <w:r>
        <w:t>US-03 Como usuario quiero ver explicación y límites. GIVEN preview WHEN leo THEN conozco que no es diagnóstico.</w:t>
      </w:r>
    </w:p>
    <w:p>
      <w:r>
        <w:t>US-04 Como visitante quiero solicitar informe con consentimiento. GIVEN email verificado y opt-in WHEN solicito THEN se guarda lead y se envía confirmación.</w:t>
      </w:r>
    </w:p>
    <w:p>
      <w:r>
        <w:t>US-05 Como administrador autorizado quiero revisar leads y reenviar correos sin mostrar salud en logs. GIVEN sesión admin WHEN consulto THEN veo información minimizada.</w:t>
      </w:r>
    </w:p>
    <w:p>
      <w:r>
        <w:t>US-06 Como lector quiero cambiar ES/EN/PT. GIVEN idioma seleccionado WHEN navego THEN toda la interfaz principal respeta su locale.</w:t>
      </w:r>
    </w:p>
    <w:p>
      <w:r>
        <w:t>US-07 Como operador quiero recibir el PDF solo por proceso autorizado. GIVEN solicitud válida WHEN genero informe THEN la entrega sigue el consentimiento registrado y queda auditada.</w:t>
      </w:r>
    </w:p>
    <w:p>
      <w:r>
        <w:t>US-08 Como operador quiero continuidad si Drive no responde. GIVEN snapshot válido WHEN Drive falla THEN se usa último snapshot validado y se registra estado.</w:t>
      </w:r>
    </w:p>
    <w:p>
      <w:pPr>
        <w:pStyle w:val="Heading1"/>
      </w:pPr>
      <w:r>
        <w:t>10. Requisitos funcionales y no funcionales</w:t>
      </w:r>
    </w:p>
    <w:p>
      <w:r>
        <w:t>FR-01 entrada/validación US-01,US-02; FR-02 cálculo motor US-01; FR-03 preview/disclaimer US-03; FR-04 captura lead y preferencias US-04; FR-05 email y PDF con minimización US-04,US-07; FR-06 admin y reenvío US-05; FR-07 localización US-06; FR-08 Drive con validación checksum US-08; FR-09 analytics sin PHI US-03/US-04; FR-10 exportación/borrado de datos US-04.</w:t>
      </w:r>
    </w:p>
    <w:p>
      <w:r>
        <w:t>NFR-01 p95 API cálculo &lt;2s bajo carga objetivo de 50 req/min; NFR-02 Lighthouse móvil &gt;=90 performance, accessibility, best practices, SEO en ruta pública; NFR-03 WCAG 2.2 AA; NFR-04 CSP, HTTPS, rate limit, Turnstile, RLS; NFR-05 no datos clínicos en PostHog/Sentry/URL; NFR-06 idempotencia de emails, reintentos y logs sin payload clínico; NFR-07 objetivo costo variable &lt;=US$0.12/informe (hipótesis, validar con facturas); NFR-08 ES/EN/PT-BR; NFR-09 paridad numérica con tolerancia 1e-6 relativo.</w:t>
      </w:r>
    </w:p>
    <w:p>
      <w:pPr>
        <w:pStyle w:val="Heading1"/>
      </w:pPr>
      <w:r>
        <w:t>11. Inputs</w:t>
      </w:r>
    </w:p>
    <w:p>
      <w:r>
        <w:t>Contrato fuente: spec/inputs.schema.json. Capturar edad 20–84 y valores obligatorios con unidad explícita: albúmina, creatinina, glucosa, fosfatasa alcalina, PCR/CRP, linfocitos %, MCV, RDW, leucocitos. Prohibir NaN, infinito, CRP &lt;= 0, campos faltantes y conversiones no autorizadas. El país no altera fórmula.</w:t>
      </w:r>
    </w:p>
    <w:p>
      <w:pPr>
        <w:pStyle w:val="Heading1"/>
      </w:pPr>
      <w:r>
        <w:t>12. Modelo</w:t>
      </w:r>
    </w:p>
    <w:p>
      <w:r>
        <w:t>Fuente: spec/model_spec.json, model/engine_reference.py, model/model_card.md, drive/model/coefficients.json y spec/test_vectors.json. Portar a TS de forma independiente sin copiar código GPL de terceras partes. Constante versión primaria 0.090165; escenario alternativo 0.09165 solo en informe completo. Sensibilidad +1% de uno en uno, sin atribución causal. Matemática estable en espacio logarítmico. Nunca usar IA generativa para cálculo.</w:t>
      </w:r>
    </w:p>
    <w:p>
      <w:pPr>
        <w:pStyle w:val="Heading1"/>
      </w:pPr>
      <w:r>
        <w:t>13. Base de datos y Drive</w:t>
      </w:r>
    </w:p>
    <w:p>
      <w:r>
        <w:t>SQL implementable: spec/db_schema.sql. API Drive: leer /Apps/ageclarity/ por nombre, según spec/drive_manifest.json, verificar SHA-256 antes de activar snapshot, cachear 24h; fallback snapshot local firmado/verificado; prohibir acceso público a service account. Escritura de usuarios en Supabase exclusivamente, NO guardar expedientes de usuario en Drive.</w:t>
      </w:r>
    </w:p>
    <w:p>
      <w:pPr>
        <w:pStyle w:val="Heading1"/>
      </w:pPr>
      <w:r>
        <w:t>14. Outputs y acceso</w:t>
      </w:r>
    </w:p>
    <w:p>
      <w:r>
        <w:t>Inventario contractual: spec/outputs_spec.json. Preview gratuito: phenoage, age_gap, gap_chart y free_insight. Completo sujeto a solicitud: local_sensitivity, formula_version_scenario, data_quality_audit, questions_for_professional, methodology. NO generar percentiles regionales ni tendencia como disponible en v1.</w:t>
      </w:r>
    </w:p>
    <w:p>
      <w:pPr>
        <w:pStyle w:val="Heading1"/>
      </w:pPr>
      <w:r>
        <w:t>15. UX/UI</w:t>
      </w:r>
    </w:p>
    <w:p>
      <w:r>
        <w:t>Usar ux/ux_spec.md, ux/sitemap_flows.md, ux/components.md, ux/prototype.html y spec/design_tokens.json. Formularios con etiquetas, unidad visible y ayudas. Diseño sobrio médico-informativo, sin alarmismo. Estados loading/error/éxito, validación inline, mobile-first.</w:t>
      </w:r>
    </w:p>
    <w:p>
      <w:pPr>
        <w:pStyle w:val="Heading1"/>
      </w:pPr>
      <w:r>
        <w:t>16. Informe PDF</w:t>
      </w:r>
    </w:p>
    <w:p>
      <w:r>
        <w:t>Referencia ux/report_layout.md y drive/templates/report_template.json. PDF multilingüe incluye fecha UTC, versión del modelo, valores normalizados, preview, tabla sensibilidad (+1%), escenario alternativo, metodología, advertencias, fuente y sello “solo informativo”. Nunca afirmar años causados por un biomarcador.</w:t>
      </w:r>
    </w:p>
    <w:p>
      <w:pPr>
        <w:pStyle w:val="Heading1"/>
      </w:pPr>
      <w:r>
        <w:t>17. Monetización y tracción</w:t>
      </w:r>
    </w:p>
    <w:p>
      <w:r>
        <w:t>MONETIZATION_MODE=validation. CTA solicita informe; no checkout ni cobro activo. spec/monetizacion.json fija objetivo &gt;=12% preview→email, &gt;=100 previews antes de valorar cobro y &gt;=15 entrevistas; lab piloto futuro. Stripe activable solo con flag y revisión legal. Precios locales PPP son hipótesis preliminares.</w:t>
      </w:r>
    </w:p>
    <w:p>
      <w:pPr>
        <w:pStyle w:val="Heading1"/>
      </w:pPr>
      <w:r>
        <w:t>18. Emails</w:t>
      </w:r>
    </w:p>
    <w:p>
      <w:r>
        <w:t>Resend. Mensaje al usuario: confirmación de solicitud con ID y aviso privacidad, sin biomarcadores en asunto. Mensaje al owner: [AgeClarity] Solicitud de informe &lt;id&gt;; por defecto solo ID, fecha y enlace admin seguro; PDF y detalle clínico disponibles únicamente en panel con autorización y consentimiento específico, no adjuntos en claro. Reenvío admin auditado. SPF/DKIM/DMARC requeridos.</w:t>
      </w:r>
    </w:p>
    <w:p>
      <w:pPr>
        <w:pStyle w:val="Heading1"/>
      </w:pPr>
      <w:r>
        <w:t>19. Arquitectura y stack</w:t>
      </w:r>
    </w:p>
    <w:p>
      <w:r>
        <w:t>Next.js App Router TS strict; Tailwind + shadcn/ui; API Route Handlers; motor puro TypeScript; Zod; Supabase Postgres+RLS; Drive API server-only service account; @react-pdf/renderer; next-intl ES/EN/PT-BR; Resend; Turnstile + rate limit; PostHog/Sentry con scrubbing; Vitest/Playwright; GitHub Actions; Vercel principal, Netlify alternativa. Stripe bajo flag.</w:t>
      </w:r>
    </w:p>
    <w:p>
      <w:pPr>
        <w:pStyle w:val="Heading1"/>
      </w:pPr>
      <w:r>
        <w:t>20. API</w:t>
      </w:r>
    </w:p>
    <w:p>
      <w:r>
        <w:t>Contrato completo spec/openapi.yaml: POST /api/v1/calculate (stateless), POST /api/v1/leads (consentimiento + referencia a cálculo minimizado), GET /api/v1/leads/{id} admin, POST /api/v1/leads/{id}/resend admin, GET /api/v1/health, POST /api/v1/stripe/webhook deshabilitada por flag. Nunca enviar datos de salud en query strings.</w:t>
      </w:r>
    </w:p>
    <w:p>
      <w:pPr>
        <w:pStyle w:val="Heading1"/>
      </w:pPr>
      <w:r>
        <w:t>21. Modelo de datos y RLS</w:t>
      </w:r>
    </w:p>
    <w:p>
      <w:r>
        <w:t>spec/db_schema.sql: leads, consent_records, calculations, email_deliveries, audit_log, webhook_events; tablas con RLS, sin SELECT público, escritura servidor mediante rol service exclusivo, panel admin por función auth uid y allowlist; minimización y TTL. La anon key jamás debe permitir exfiltrar leads.</w:t>
      </w:r>
    </w:p>
    <w:p>
      <w:pPr>
        <w:pStyle w:val="Heading1"/>
      </w:pPr>
      <w:r>
        <w:t>22. Seguridad, privacidad y legal</w:t>
      </w:r>
    </w:p>
    <w:p>
      <w:r>
        <w:t>Datos de analítica sanguínea pueden ser sensibles. Privacidad por diseño y evaluación de bases legales/consentimiento, retención/borrado, transferencias transfronterizas y DPA antes de lanzamiento. Revisar GDPR, CCPA/CPRA, LGPD y Ley peruana 29733 según público efectivo. Mensajes informativos y no clínicos; revisión legal/regulatoria antes de publicar claims. Seguridad TLS, CSP, noindex admin, secretos server-only, MFA admin, auditoría y response plan.</w:t>
      </w:r>
    </w:p>
    <w:p>
      <w:pPr>
        <w:pStyle w:val="Heading1"/>
      </w:pPr>
      <w:r>
        <w:t>23. Accesibilidad e i18n</w:t>
      </w:r>
    </w:p>
    <w:p>
      <w:r>
        <w:t>WCAG 2.2 AA, navegación teclado, lectores de pantalla, contraste AA, formatos locales de número sin alterar almacenamiento normalizado; locales es/en/pt-BR, rutas /es /en /pt, hreflang, tests de traducciones completas.</w:t>
      </w:r>
    </w:p>
    <w:p>
      <w:pPr>
        <w:pStyle w:val="Heading1"/>
      </w:pPr>
      <w:r>
        <w:t>24. Analítica y KPIs</w:t>
      </w:r>
    </w:p>
    <w:p>
      <w:r>
        <w:t>Eventos whitelist en spec/analytics_events.json: landing_view, form_start, preview_view, report_cta, lead_submitted, email_sent, error_validation. Solo locale, país seleccionado como categoría no sensible y versión; sin valores clínicos, email ni identificadores persistentes de salud. Funnel visit→start &gt;=45%, start→preview &gt;=60%, preview→email &gt;=12%.</w:t>
      </w:r>
    </w:p>
    <w:p>
      <w:pPr>
        <w:pStyle w:val="Heading1"/>
      </w:pPr>
      <w:r>
        <w:t>25. SEO y adquisición</w:t>
      </w:r>
    </w:p>
    <w:p>
      <w:r>
        <w:t>Landing indexable ES/EN/PT-BR, FAQ explicativa, páginas de interpretación educativa sin SEO clínico engañoso, schema.org SoftwareApplication cuando corresponda y canonical+hreflang. Experimentos de video educativo TikTok/Reels; claims verificados y enlaces a metodología. No prometer diagnóstico.</w:t>
      </w:r>
    </w:p>
    <w:p>
      <w:pPr>
        <w:pStyle w:val="Heading1"/>
      </w:pPr>
      <w:r>
        <w:t>26. Plan de pruebas</w:t>
      </w:r>
    </w:p>
    <w:p>
      <w:r>
        <w:t>unit Vitest + golden vectors completos, negativos, conversiones y fallback; contract OpenAPI, Playwright e2e desde formulario a lead/email simulado, tests RLS y permisos, amenazas OWASP, a11y axe y Lighthouse CI. docs/ACCEPTANCE_TESTS.md fija gates.</w:t>
      </w:r>
    </w:p>
    <w:p>
      <w:pPr>
        <w:pStyle w:val="Heading1"/>
      </w:pPr>
      <w:r>
        <w:t>27. Despliegue y operación</w:t>
      </w:r>
    </w:p>
    <w:p>
      <w:r>
        <w:t>Dev/staging/prod separados; GitHub Actions typecheck/lint/unit/e2e/dependency scan; Vercel secret store; Supabase migrations; deploy staging; smoke test; preview manual; despliegue gradual; alertas Sentry, backup y restore, rotación secretos; Drive service account con privilegios mínimos. Docs: DRIVE_SETUP.md, LAUNCH_CHECKLIST.md.</w:t>
      </w:r>
    </w:p>
    <w:p>
      <w:pPr>
        <w:pStyle w:val="Heading1"/>
      </w:pPr>
      <w:r>
        <w:t>28. Definition of Done</w:t>
      </w:r>
    </w:p>
    <w:p>
      <w:r>
        <w:t>Todos golden vectors PASS; TypeScript strict sin errores; CI verde; RLS probado; idiomas sin cadenas faltantes; emails con consentimiento y entrega segura; Drive checksum/cache/fallback probado; admin con MFA; Lighthouse móvil &gt;=90; p95 &lt;2s; políticas legales publicadas; smoke test en staging y producción; aceptación comercial y legal. READY_TO_BUILD no significa que estos gates ya hayan sido ejecutados.</w:t>
      </w:r>
    </w:p>
    <w:p>
      <w:pPr>
        <w:pStyle w:val="Heading1"/>
      </w:pPr>
      <w:r>
        <w:t>29. Riesgos</w:t>
      </w:r>
    </w:p>
    <w:p>
      <w:r>
        <w:t>R1 interpretación como diagnóstico (mitigar copy y revisión clínica), R2 parámetros PhenoAge y discrepancia histórica (golden tests/verificación fuentes), R3 filtración datos sensibles (minimización/RLS), R4 falla Drive (snapshot), R5 error de unidades (Zod+test), R6 regulación por país, R7 métricas de adquisición insuficientes. Documentar incidentes y no lanzar con riesgos críticos abiertos.</w:t>
      </w:r>
    </w:p>
    <w:p>
      <w:pPr>
        <w:pStyle w:val="Heading1"/>
      </w:pPr>
      <w:r>
        <w:t>30. Supuestos</w:t>
      </w:r>
    </w:p>
    <w:p>
      <w:r>
        <w:t>Público con laboratorios completos; unidades disponibles; validez general en población internacional NO demostrada; precios PPP y unit economics preliminares; no se requiere modelo entrenado; la solicitud y entrega manual requieren consentimiento; preview ideal &lt;90 segundos no verificado aún.</w:t>
      </w:r>
    </w:p>
    <w:p>
      <w:pPr>
        <w:pStyle w:val="Heading1"/>
      </w:pPr>
      <w:r>
        <w:t>31. Trazabilidad</w:t>
      </w:r>
    </w:p>
    <w:p>
      <w:r>
        <w:t>US-01 → FR-01,FR-02 → AT-01,AT-02,AT-03; US-02 → FR-01 → AT-02; US-03 → FR-03,FR-09 → AT-04,AT-12; US-04 → FR-04,FR-05,FR-10 → AT-05,AT-06,AT-14; US-05 → FR-06 → AT-07,AT-08; US-06 → FR-07 → AT-09; US-07 → FR-05 → AT-06,AT-10; US-08 → FR-08 → AT-11,AT-13.</w:t>
      </w:r>
    </w:p>
    <w:p>
      <w:pPr>
        <w:pStyle w:val="Heading1"/>
      </w:pPr>
      <w:r>
        <w:t>32. Anexos y decisiones</w:t>
      </w:r>
    </w:p>
    <w:p>
      <w:r>
        <w:t>Paquete original acumulativo: original_stage3/. Especificaciones: spec/. Pruebas: docs/ACCEPTANCE_TESTS.md. Historial: docs/decisions_log.md y handoff.json. Brief: docs/brief_estrategico.md. QA previo: docs/qa_report.md. Limitaciones y asuntos abiertos: docs/final_audit.md.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AgeClarity • Especificación de implementación • No constituye diagnóstico médico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AGECLARITY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Roboto" w:hAnsi="Robo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1445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1445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oboto" w:hAnsi="Roboto"/>
      <w:b/>
      <w:color w:val="1445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