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Roboto" w:hAnsi="Roboto"/>
          <w:b/>
          <w:color w:val="274C77"/>
          <w:sz w:val="18"/>
        </w:rPr>
        <w:t>AGECLARITY</w:t>
      </w:r>
    </w:p>
    <w:p>
      <w:pPr>
        <w:pStyle w:val="Title"/>
        <w:spacing w:after="40"/>
      </w:pPr>
      <w:r>
        <w:t>Brief estratégico</w:t>
      </w:r>
    </w:p>
    <w:p>
      <w:pPr>
        <w:spacing w:after="160"/>
      </w:pPr>
      <w:r>
        <w:rPr>
          <w:rFonts w:ascii="Roboto" w:hAnsi="Roboto"/>
          <w:sz w:val="20"/>
        </w:rPr>
        <w:t>Etapa 1 · GO 82/100 · Versión 1.0.0 · 13 octubre 2026</w:t>
      </w:r>
    </w:p>
    <w:p>
      <w:pPr>
        <w:spacing w:after="240"/>
      </w:pPr>
      <w:r>
        <w:rPr>
          <w:rFonts w:ascii="Roboto" w:hAnsi="Roboto"/>
          <w:b/>
          <w:color w:val="1F2937"/>
          <w:sz w:val="26"/>
        </w:rPr>
        <w:t>La capa de interpretación de PhenoAge para análisis de sangre que el usuario ya tiene.</w:t>
      </w:r>
    </w:p>
    <w:p>
      <w:r>
        <w:t>Documento para CEO y handoff al Agente 2 · Datos y Modelo.</w:t>
      </w:r>
    </w:p>
    <w:p>
      <w:pPr>
        <w:pStyle w:val="Heading2"/>
      </w:pPr>
      <w:r>
        <w:rPr>
          <w:rFonts w:ascii="Roboto" w:hAnsi="Roboto"/>
        </w:rPr>
        <w:t>Resumen ejecutivo</w:t>
      </w:r>
    </w:p>
    <w:p>
      <w:r>
        <w:rPr>
          <w:rFonts w:ascii="Roboto" w:hAnsi="Roboto"/>
          <w:sz w:val="18"/>
        </w:rPr>
        <w:t>La idea es construible y tiene una base científica excepcionalmente accesible: Clinical PhenoAge se calcula con edad + 9 biomarcadores rutinarios, la fórmula está publicada y existe una implementación científica open source para verificación. El mercado, sin embargo, ya ofrece calculadoras gratuitas. El moat no será el algoritmo: será la experiencia de datos (unidades, calidad, transparencia), el informe accionable sin prescribir, el seguimiento y el canal B2B2C.</w:t>
      </w:r>
    </w:p>
    <w:p>
      <w:r>
        <w:rPr>
          <w:rFonts w:ascii="Roboto" w:hAnsi="Roboto"/>
          <w:sz w:val="18"/>
        </w:rPr>
        <w:t>La recomendación es lanzar primero una experiencia bring-your-own-labs de &lt;90 segundos con vista previa gratuita y captura de email. El informe completo se valida sin cobro en Fase 1 y se monetiza en Fase 2. El 'Panel AgeClarity' de laboratorio es la vía de escala una vez cerradas precisión, privacidad y clasificación regulatoria.</w:t>
      </w:r>
    </w:p>
    <w:p>
      <w:pPr>
        <w:pStyle w:val="Heading1"/>
      </w:pPr>
      <w:r>
        <w:rPr>
          <w:rFonts w:ascii="Roboto" w:hAnsi="Roboto"/>
        </w:rPr>
        <w:t>1. One-liner</w:t>
      </w:r>
    </w:p>
    <w:p>
      <w:r>
        <w:rPr>
          <w:rFonts w:ascii="Roboto" w:hAnsi="Roboto"/>
          <w:sz w:val="18"/>
        </w:rPr>
        <w:t>Para adultos de 30–60 años que reciben análisis de sangre pero no saben convertirlos en una señal comprensible de envejecimiento, AgeClarity estima Clinical PhenoAge a partir de su edad y 9 biomarcadores rutinarios y entrega una edad fenotípica, su brecha frente a la edad cronológica y los factores del modelo que más mueven el resultado para que sepan qué conversar y seguir con un profesional de salud.</w:t>
      </w:r>
    </w:p>
    <w:p>
      <w:pPr>
        <w:pStyle w:val="Heading3"/>
      </w:pPr>
      <w:r>
        <w:rPr>
          <w:rFonts w:ascii="Roboto" w:hAnsi="Roboto"/>
        </w:rPr>
        <w:t>EN</w:t>
      </w:r>
    </w:p>
    <w:p>
      <w:r>
        <w:rPr>
          <w:rFonts w:ascii="Roboto" w:hAnsi="Roboto"/>
          <w:sz w:val="18"/>
        </w:rPr>
        <w:t>For adults 30–60 who receive routine bloodwork but struggle to turn it into a meaningful aging signal, AgeClarity estimates Clinical PhenoAge from age plus nine routine biomarkers and delivers a phenotypic age, age gap, and transparent model drivers so they know what to discuss and track with a healthcare professional.</w:t>
      </w:r>
    </w:p>
    <w:p>
      <w:pPr>
        <w:pStyle w:val="Heading3"/>
      </w:pPr>
      <w:r>
        <w:rPr>
          <w:rFonts w:ascii="Roboto" w:hAnsi="Roboto"/>
        </w:rPr>
        <w:t>PT-BR</w:t>
      </w:r>
    </w:p>
    <w:p>
      <w:r>
        <w:rPr>
          <w:rFonts w:ascii="Roboto" w:hAnsi="Roboto"/>
          <w:sz w:val="18"/>
        </w:rPr>
        <w:t>Para adultos de 30–60 anos que recebem exames de sangue de rotina mas não conseguem transformá-los em um sinal compreensível de envelhecimento, o AgeClarity estima o Clinical PhenoAge usando idade + nove biomarcadores e entrega idade fenotípica, diferença para a idade cronológica e os fatores do modelo que mais movem o resultado para orientar o que acompanhar e discutir com um profissional de saúde.</w:t>
      </w:r>
    </w:p>
    <w:p>
      <w:pPr>
        <w:pStyle w:val="Heading1"/>
      </w:pPr>
      <w:r>
        <w:rPr>
          <w:rFonts w:ascii="Roboto" w:hAnsi="Roboto"/>
        </w:rPr>
        <w:t>2. Dolor global con evidencia</w:t>
      </w:r>
    </w:p>
    <w:p>
      <w:r>
        <w:rPr>
          <w:rFonts w:ascii="Roboto" w:hAnsi="Roboto"/>
          <w:sz w:val="18"/>
        </w:rPr>
        <w:t>Hay dos dolores superpuestos: (1) el interés creciente por medir envejecimiento sin pagar un test dedicado de cientos de dólares; y (2) la fricción masiva de recibir resultados de laboratorio directamente y tener que interpretarlos sin contexto. AgeClarity se instala exactamente en el momento en que el resultado aparece en el portal.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Señal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Cifra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Año / región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Fuente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Envejecimiento global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1.4B personas 60+ en 2030; 2.1B en 2050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2025 / global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S01 OMS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Volumen de laboratorio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~14B pruebas/año; &gt;266k labs CLIA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2024 / EE.UU.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S02 CDC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Resultados antes del profesional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68.6%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2024 / EE.UU.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S03 JAMA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Estimación: ven resultados antes del profesional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~119.8M = 174.673M×68.6%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2024 / EE.UU.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S04 derivada de JAMA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Estimación: comprensión pobre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~7.9M = 119.826M×6.6%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2024 / EE.UU.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S04 derivada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Estimación: pobre o solo 'fairly well'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~40.0M = 119.826M×33.4%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2024 / EE.UU.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S04 derivada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Mayor preocupación con resultado anormal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16.5% vs 5.0% si normal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2023 / EE.UU.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S05 JAMA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Buscan en internet después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39.9% de quienes buscaron información adicional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2023 / EE.UU.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S06 JAMA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Alternativa dedicada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US$249 Tally; US$349 NOVOS; ~EUR499 GlycanAge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S13–S15</w:t>
            </w:r>
          </w:p>
        </w:tc>
      </w:tr>
    </w:tbl>
    <w:p>
      <w:pPr>
        <w:spacing w:after="20"/>
      </w:pPr>
    </w:p>
    <w:p>
      <w:r>
        <w:rPr>
          <w:rFonts w:ascii="Roboto" w:hAnsi="Roboto"/>
          <w:b/>
          <w:sz w:val="18"/>
        </w:rPr>
        <w:t>Frecuencia.</w:t>
      </w:r>
      <w:r>
        <w:rPr>
          <w:rFonts w:ascii="Roboto" w:hAnsi="Roboto"/>
          <w:sz w:val="18"/>
        </w:rPr>
        <w:t xml:space="preserve"> El trigger natural es anual o semestral: chequeo, analítica deportiva, seguimiento metabólico o nueva tanda de resultados. No se necesita inventar una rutina diaria; el producto se beneficia de una necesidad episódica pero de alto contexto.</w:t>
      </w:r>
    </w:p>
    <w:p>
      <w:r>
        <w:rPr>
          <w:rFonts w:ascii="Roboto" w:hAnsi="Roboto"/>
          <w:b/>
          <w:sz w:val="18"/>
        </w:rPr>
        <w:t>Coste actual.</w:t>
      </w:r>
      <w:r>
        <w:rPr>
          <w:rFonts w:ascii="Roboto" w:hAnsi="Roboto"/>
          <w:sz w:val="18"/>
        </w:rPr>
        <w:t xml:space="preserve"> El usuario puede pagar US$249–349 o ~EUR499 por un test dedicado, o intentar interpretar gratis múltiples marcadores. AgeClarity compite por reducir dinero, espera y fricción aprovechando resultados ya existentes; no afirma equivalencia biológica entre tecnologías distintas.</w:t>
      </w:r>
    </w:p>
    <w:p>
      <w:pPr>
        <w:pStyle w:val="Heading1"/>
      </w:pPr>
      <w:r>
        <w:rPr>
          <w:rFonts w:ascii="Roboto" w:hAnsi="Roboto"/>
        </w:rPr>
        <w:t>3. Señales de demanda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Keyword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Idioma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Volumen estimado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Tendencia / confianza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biological age test + check biological 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7,200/mes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Demanda confirmada por tercero con Keyword Planner · Media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biological age test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EN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7,600/mes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 intención de compra · Media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edad biológica / test de edad biológica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1,400–4,300/mes (estimación preliminar)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Validar en Keyword Planner antes de invertir · Baja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idade biológica / teste de idade biológica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PT-BR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900–2,900/mes (estimación preliminar)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Validar en Keyword Planner antes de invertir · Baja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PhenoAge calculator / calculadora PhenoAge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EN/ES/PT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360–1,080/mes (estimación preliminar)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SERP 2026 ya tiene múltiples calculadoras gratuitas · Baja</w:t>
            </w:r>
          </w:p>
        </w:tc>
      </w:tr>
    </w:tbl>
    <w:p>
      <w:pPr>
        <w:spacing w:after="20"/>
      </w:pPr>
    </w:p>
    <w:p>
      <w:r>
        <w:rPr>
          <w:rFonts w:ascii="Roboto" w:hAnsi="Roboto"/>
          <w:sz w:val="18"/>
        </w:rPr>
        <w:t xml:space="preserve">Los volúmenes ES/PT son </w:t>
      </w:r>
      <w:r>
        <w:rPr>
          <w:rFonts w:ascii="Roboto" w:hAnsi="Roboto"/>
          <w:b/>
          <w:sz w:val="18"/>
        </w:rPr>
        <w:t>estimaciones preliminares</w:t>
      </w:r>
      <w:r>
        <w:rPr>
          <w:rFonts w:ascii="Roboto" w:hAnsi="Roboto"/>
          <w:sz w:val="18"/>
        </w:rPr>
        <w:t>, no datos observados. Se derivan como fracciones explícitas del benchmark inglés de 7,200 búsquedas/mes: ES 20–60% (1,440–4,320) y PT-BR 12.5–40% (900–2,880). Deben verificarse con Keyword Planner/Semrush antes de decidir inversión SEO.</w:t>
      </w:r>
    </w:p>
    <w:p>
      <w:r>
        <w:rPr>
          <w:rFonts w:ascii="Roboto" w:hAnsi="Roboto"/>
          <w:b/>
          <w:sz w:val="18"/>
        </w:rPr>
        <w:t>Comunidades.</w:t>
      </w:r>
      <w:r>
        <w:rPr>
          <w:rFonts w:ascii="Roboto" w:hAnsi="Roboto"/>
          <w:sz w:val="18"/>
        </w:rPr>
        <w:t xml:space="preserve"> r/Biohackers muestra conversaciones repetidas sobre tests, discrepancias entre calculadoras y seguimiento; la categoría también vive en quantified-self, longevidad, fitness y medicina preventiva. Usar estas comunidades para entrevistas y distribución, no para afirmar eficacia clínica.</w:t>
      </w:r>
    </w:p>
    <w:p>
      <w:r>
        <w:rPr>
          <w:rFonts w:ascii="Roboto" w:hAnsi="Roboto"/>
          <w:b/>
          <w:sz w:val="18"/>
        </w:rPr>
        <w:t>Gasto en alternativas.</w:t>
      </w:r>
      <w:r>
        <w:rPr>
          <w:rFonts w:ascii="Roboto" w:hAnsi="Roboto"/>
          <w:sz w:val="18"/>
        </w:rPr>
        <w:t xml:space="preserve"> Function cobra US$365/año; NOVOS US$349/test; Tally US$249/test o US$129/mes; GlycanAge ~EUR499/test; Zentum desde S/599 en Lima. Esto prueba que existe gasto en 'medir + explicar', pero no prueba que el consumidor pagará US$15 por PhenoAge: esa es la hipótesis de monetización a validar.</w:t>
      </w:r>
    </w:p>
    <w:p>
      <w:pPr>
        <w:pStyle w:val="Heading1"/>
      </w:pPr>
      <w:r>
        <w:rPr>
          <w:rFonts w:ascii="Roboto" w:hAnsi="Roboto"/>
        </w:rPr>
        <w:t>4. Competencia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Alternativa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Precio 2026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Modelo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Debilidad explotable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HealthOS PhenoAge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Gratis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Calculadora web / adquisición SEO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El número es commodity; experiencia principalmente en inglés; no se observa propuesta white-label de laboratorio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AgeTrace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Gratis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App iPhone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Solo iPhone; idiomas inglés/turco; sin capa B2B2C de laboratorio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LabAge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Gratis / open source MIT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Proyecto web open source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Demo/proyecto; barrera de confianza comercial y soporte; no es producto de laboratorio listo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Function Health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US$365/año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Membresía de laboratorio + interpretación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Requiere comprar el servicio completo; principalmente EE.UU.; exceso de alcance para quien ya tiene analítica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NOVOS 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US$349/test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Kit dedicado de longevidad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Nueva muestra; 2–4 semanas; EE.UU./Canadá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Tally Health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US$249/test o US$129/mes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Epigenética + membresía/suplementos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Nueva muestra, semanas de espera y coste recurrente alto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GlycanAge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~EUR499/test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Test de glicanos + interpretación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Nueva muestra, coste alto y no reutiliza laboratorios rutinarios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Zentum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Desde S/599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Panel de longevidad + plan + dashboard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Servicio completo con 100+ biomarcadores; coste/operación altos; no es una capa ligera sobre análisis existentes</w:t>
            </w:r>
          </w:p>
        </w:tc>
      </w:tr>
    </w:tbl>
    <w:p>
      <w:pPr>
        <w:spacing w:after="20"/>
      </w:pPr>
    </w:p>
    <w:p>
      <w:r>
        <w:rPr>
          <w:rFonts w:ascii="Roboto" w:hAnsi="Roboto"/>
          <w:b/>
          <w:sz w:val="18"/>
        </w:rPr>
        <w:t>Hueco defendible:</w:t>
      </w:r>
      <w:r>
        <w:rPr>
          <w:rFonts w:ascii="Roboto" w:hAnsi="Roboto"/>
          <w:sz w:val="18"/>
        </w:rPr>
        <w:t xml:space="preserve"> browser-first, ES + EN + PT-BR, reutilización de analítica existente, conversiones/quality gates visibles, fórmula auditable, explicación no causal de drivers, PDF para profesional y distribución white-label. Ninguno de esos elementos por separado es moat; el paquete + canal laboratorio sí puede serlo.</w:t>
      </w:r>
    </w:p>
    <w:p>
      <w:r>
        <w:rPr>
          <w:rFonts w:ascii="Roboto" w:hAnsi="Roboto"/>
          <w:b/>
          <w:sz w:val="18"/>
        </w:rPr>
        <w:t>Implicación:</w:t>
      </w:r>
      <w:r>
        <w:rPr>
          <w:rFonts w:ascii="Roboto" w:hAnsi="Roboto"/>
          <w:sz w:val="18"/>
        </w:rPr>
        <w:t xml:space="preserve"> el resultado básico debe ser gratuito. Cobrar por 'tu PhenoAge' sin más tendrá presión inmediata de sustitutos gratis.</w:t>
      </w:r>
    </w:p>
    <w:p>
      <w:pPr>
        <w:pStyle w:val="Heading1"/>
      </w:pPr>
      <w:r>
        <w:rPr>
          <w:rFonts w:ascii="Roboto" w:hAnsi="Roboto"/>
        </w:rPr>
        <w:t>5. Público, tamaño y países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Segmento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Tamaño estimado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Job / necesidad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B2C · adultos 30–60 con analítica reciente y curiosidad por longevidad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~5–10M usuarios de alta intención/año en los 6 países prioritarios (estimación)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Entender una señal global sin pagar un nuevo test.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B2B2C · laboratorios clínicos y cadenas de chequeo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500–2,000 organizaciones partner-candidate en países prioritarios (estimación preliminar)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Añadir una capa premium/diferenciadora a pruebas ya vendidas.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B2B · médicos, nutricionistas y coaches con foco preventivo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250k–500k profesionales targetables (estimación preliminar)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Informe consistente y presentable para contextualizar resultados sin rehacer cálculos.</w:t>
            </w:r>
          </w:p>
        </w:tc>
      </w:tr>
    </w:tbl>
    <w:p>
      <w:pPr>
        <w:spacing w:after="20"/>
      </w:pPr>
    </w:p>
    <w:p>
      <w:r>
        <w:rPr>
          <w:rFonts w:ascii="Roboto" w:hAnsi="Roboto"/>
          <w:b/>
          <w:sz w:val="18"/>
        </w:rPr>
        <w:t>TAM/SAM B2C de trabajo (estimación, no hecho):</w:t>
      </w:r>
      <w:r>
        <w:rPr>
          <w:rFonts w:ascii="Roboto" w:hAnsi="Roboto"/>
          <w:sz w:val="18"/>
        </w:rPr>
        <w:t xml:space="preserve"> población conjunta de Brasil, México, España, Colombia, Perú y Argentina ≈524.5M (Banco Mundial 2024). Supuestos: 38% entre 30–59 ≈199M; 25% recibe/consulta analítica anual ≈50M; 10–20% tiene intención de quantified-health/longevidad ≈5–10M usuarios de alta intención/año. Agent 1 usa esto solo para dimensionar; debe reemplazarse por datos demográficos y de uso de laboratorio por país cuando existan.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Orden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País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Por qué entrar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México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130.9M habitantes; gran mercado hispanohablante, buen SEO potencial y posibilidad de alianzas con cadenas privadas.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España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48.85M; mayor poder adquisitivo y mercado de wellness digital; exige disciplina GDPR/MDR desde el diseño.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3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Brasil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212.0M; mayor población del grupo y expansión natural en portugués; requiere localización PT-BR y revisión ANVISA/LGPD.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4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Colombia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52.9M; mercado hispano relevante y buena continuidad lingüística.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Perú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34.2M; mercado menor pero evidencia local de oferta de longevidad premium (Zentum) útil para partnerships.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6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Argentina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45.7M; comunidad de salud/fitness sofisticada; pricing debe absorber volatilidad monetaria.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Roboto" w:hAnsi="Roboto"/>
        </w:rPr>
        <w:t>Persona principal</w:t>
      </w:r>
    </w:p>
    <w:p>
      <w:r>
        <w:rPr>
          <w:rFonts w:ascii="Roboto" w:hAnsi="Roboto"/>
          <w:b/>
          <w:sz w:val="18"/>
        </w:rPr>
        <w:t>María, 42 años.</w:t>
      </w:r>
      <w:r>
        <w:rPr>
          <w:rFonts w:ascii="Roboto" w:hAnsi="Roboto"/>
          <w:sz w:val="18"/>
        </w:rPr>
        <w:t xml:space="preserve"> Trabaja, entrena 3–4 veces por semana y recibe su analítica anual en un portal. Ve glucosa, PCR, RDW y otros valores, pero no sabe cómo integrarlos. Ha visto contenido sobre 'edad biológica' y no quiere pagar cientos de dólares ni esperar semanas por otro test.</w:t>
      </w:r>
    </w:p>
    <w:p>
      <w:r>
        <w:rPr>
          <w:rFonts w:ascii="Roboto" w:hAnsi="Roboto"/>
          <w:b/>
          <w:sz w:val="18"/>
        </w:rPr>
        <w:t>JTBD:</w:t>
      </w:r>
      <w:r>
        <w:rPr>
          <w:rFonts w:ascii="Roboto" w:hAnsi="Roboto"/>
          <w:sz w:val="18"/>
        </w:rPr>
        <w:t xml:space="preserve"> “Cuando me llegan mis análisis, ayúdame a convertir valores que ya tengo en una señal de envejecimiento defendible y en preguntas concretas para mi próxima conversación de salud, en menos de 90 segundos y sin pedir otro test.”</w:t>
      </w:r>
    </w:p>
    <w:p>
      <w:r>
        <w:rPr>
          <w:rFonts w:ascii="Roboto" w:hAnsi="Roboto"/>
          <w:b/>
          <w:sz w:val="18"/>
        </w:rPr>
        <w:t>Disparador de compra:</w:t>
      </w:r>
      <w:r>
        <w:rPr>
          <w:rFonts w:ascii="Roboto" w:hAnsi="Roboto"/>
          <w:sz w:val="18"/>
        </w:rPr>
        <w:t xml:space="preserve"> minutos/horas después de que el laboratorio libera resultados, o 24–72 h antes de la cita en la que quiere discutirlos. Segundo trigger: comparar una nueva analítica contra la anterior.</w:t>
      </w:r>
    </w:p>
    <w:p>
      <w:pPr>
        <w:pStyle w:val="Heading1"/>
      </w:pPr>
      <w:r>
        <w:rPr>
          <w:rFonts w:ascii="Roboto" w:hAnsi="Roboto"/>
        </w:rPr>
        <w:t>6. Tres enfoques de solución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rPr>
          <w:tblHeader w:val="true"/>
        </w:trPr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Enfoque</w:t>
            </w:r>
          </w:p>
        </w:tc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Valor</w:t>
            </w:r>
          </w:p>
        </w:tc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Precisión</w:t>
            </w:r>
          </w:p>
        </w:tc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Inputs</w:t>
            </w:r>
          </w:p>
        </w:tc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Costo op.</w:t>
            </w:r>
          </w:p>
        </w:tc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Seg. legal</w:t>
            </w:r>
          </w:p>
        </w:tc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Viralidad</w:t>
            </w:r>
          </w:p>
        </w:tc>
        <w:tc>
          <w:tcPr>
            <w:tcW w:type="dxa" w:w="130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Total /30</w:t>
            </w:r>
          </w:p>
        </w:tc>
      </w:tr>
      <w:tr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A. Calculadora instantánea pura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3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3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4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3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23</w:t>
            </w:r>
          </w:p>
        </w:tc>
      </w:tr>
      <w:tr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B. Bring-your-own-labs + informe explicativo (elegida)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4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4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4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27</w:t>
            </w:r>
          </w:p>
        </w:tc>
      </w:tr>
      <w:tr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C. Panel BioAge vendido con toma de muestra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5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3</w:t>
            </w:r>
          </w:p>
        </w:tc>
        <w:tc>
          <w:tcPr>
            <w:tcW w:type="dxa" w:w="130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22</w:t>
            </w:r>
          </w:p>
        </w:tc>
      </w:tr>
    </w:tbl>
    <w:p>
      <w:pPr>
        <w:spacing w:after="20"/>
      </w:pPr>
    </w:p>
    <w:p>
      <w:r>
        <w:rPr>
          <w:rFonts w:ascii="Roboto" w:hAnsi="Roboto"/>
          <w:sz w:val="18"/>
        </w:rPr>
        <w:t>Escala 1–5; en costo operativo y seguridad legal, 5 = mejor (menor costo/menor riesgo).</w:t>
      </w:r>
    </w:p>
    <w:p>
      <w:r>
        <w:rPr>
          <w:rFonts w:ascii="Roboto" w:hAnsi="Roboto"/>
          <w:b/>
          <w:sz w:val="18"/>
        </w:rPr>
        <w:t>Elegida: B — Bring-your-own-labs + AgeClarity Report.</w:t>
      </w:r>
      <w:r>
        <w:rPr>
          <w:rFonts w:ascii="Roboto" w:hAnsi="Roboto"/>
          <w:sz w:val="18"/>
        </w:rPr>
        <w:t xml:space="preserve"> La calculadora sola ya está commoditizada por opciones gratuitas. El valor defendible es interpretación confiable, control de unidades, trazabilidad, drivers transparentes y distribución con laboratorios. El panel propio queda para v2/B2B2C por operación y regulación.</w:t>
      </w:r>
    </w:p>
    <w:p>
      <w:r>
        <w:rPr>
          <w:rFonts w:ascii="Roboto" w:hAnsi="Roboto"/>
          <w:b/>
          <w:sz w:val="18"/>
        </w:rPr>
        <w:t>Pivote aplicado sin cambiar la idea central:</w:t>
      </w:r>
      <w:r>
        <w:rPr>
          <w:rFonts w:ascii="Roboto" w:hAnsi="Roboto"/>
          <w:sz w:val="18"/>
        </w:rPr>
        <w:t xml:space="preserve"> BioAge deja de vender una 'edad' y pasa a vender claridad, trazabilidad y seguimiento. El número solo abre el loop.</w:t>
      </w:r>
    </w:p>
    <w:p>
      <w:r>
        <w:rPr>
          <w:rFonts w:ascii="Roboto" w:hAnsi="Roboto"/>
          <w:b/>
          <w:sz w:val="18"/>
        </w:rPr>
        <w:t>Dos correcciones científicas obligatorias:</w:t>
      </w:r>
      <w:r>
        <w:rPr>
          <w:rFonts w:ascii="Roboto" w:hAnsi="Roboto"/>
          <w:sz w:val="18"/>
        </w:rPr>
        <w:t xml:space="preserve"> (1) no llamar “ritmo de envejecimiento” a PhenoAge/edad; no es una métrica publicada de pace-of-aging. (2) no afirmar que un marcador “causa X años”. La relación del modelo es no causal y no lineal.</w:t>
      </w:r>
    </w:p>
    <w:p>
      <w:pPr>
        <w:pStyle w:val="Heading1"/>
      </w:pPr>
      <w:r>
        <w:rPr>
          <w:rFonts w:ascii="Roboto" w:hAnsi="Roboto"/>
        </w:rPr>
        <w:t>7. Qué predice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Campo</w:t>
            </w:r>
          </w:p>
        </w:tc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Definición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Variable objetivo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Phenotypic Age (Clinical PhenoAge) y brecha PhenoAge - edad cronológica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Unidad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años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Horizonte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snapshot actual; internamente la fórmula parte de riesgo de mortalidad a 120 meses (10 años), transformado a una edad equivalente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Granularidad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individual por fecha de analítica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Tipo de problema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modelo determinista publicado: regresión de riesgo/parametric proportional hazards Gompertz transformado a edad; no LLM</w:t>
            </w:r>
          </w:p>
        </w:tc>
      </w:tr>
    </w:tbl>
    <w:p>
      <w:pPr>
        <w:spacing w:after="20"/>
      </w:pPr>
    </w:p>
    <w:p>
      <w:r>
        <w:rPr>
          <w:rFonts w:ascii="Roboto" w:hAnsi="Roboto"/>
          <w:b/>
          <w:sz w:val="18"/>
        </w:rPr>
        <w:t>Fuente científica.</w:t>
      </w:r>
      <w:r>
        <w:rPr>
          <w:rFonts w:ascii="Roboto" w:hAnsi="Roboto"/>
          <w:sz w:val="18"/>
        </w:rPr>
        <w:t xml:space="preserve"> Levine et al. desarrolló Phenotypic Age con 9,926 adultos NHANES III, seleccionando 9 biomarcadores + edad de 42 candidatos; lo validó en 6,209 adultos NHANES IV. En esa validación, r=0.94 con edad cronológica y cada +1 año ajustado por edad se asoció con HR 1.09 de mortalidad por todas las causas. Eso es asociación poblacional, no pronóstico individual.</w:t>
      </w:r>
    </w:p>
    <w:p>
      <w:pPr>
        <w:pStyle w:val="Heading2"/>
      </w:pPr>
      <w:r>
        <w:rPr>
          <w:rFonts w:ascii="Roboto" w:hAnsi="Roboto"/>
        </w:rPr>
        <w:t>Fórmula candidata de fuente de verdad</w:t>
      </w:r>
    </w:p>
    <w:p>
      <w:r>
        <w:rPr>
          <w:rFonts w:ascii="Roboto" w:hAnsi="Roboto"/>
          <w:sz w:val="18"/>
        </w:rPr>
        <w:t>xb = -19.90667 -0.03359355*albumin_gL +0.009506491*creatinine_umolL +0.1953192*glucose_mmolL +0.09536762*ln(CRP_mg_dL) -0.01199984*lymphocyte_pct +0.02676401*MCV_fL +0.3306156*RDW_pct +0.001868778*ALP_UL +0.05542406*WBC_10e3uL +0.08035356*age; M=1-exp((-1.51714*exp(xb))/0.007692696); PhenoAge=ln(-0.0055305*ln(1-M))/0.090165+141.50225</w:t>
      </w:r>
    </w:p>
    <w:p>
      <w:r>
        <w:rPr>
          <w:rFonts w:ascii="Roboto" w:hAnsi="Roboto"/>
          <w:sz w:val="18"/>
        </w:rPr>
        <w:t xml:space="preserve">La implementación actual del paquete BioAge usa </w:t>
      </w:r>
      <w:r>
        <w:rPr>
          <w:rFonts w:ascii="Roboto Mono" w:hAnsi="Roboto Mono"/>
          <w:sz w:val="18"/>
        </w:rPr>
        <w:t>0.090165</w:t>
      </w:r>
      <w:r>
        <w:rPr>
          <w:rFonts w:ascii="Roboto" w:hAnsi="Roboto"/>
          <w:sz w:val="18"/>
        </w:rPr>
        <w:t xml:space="preserve"> y coeficientes de mayor precisión. Existen artículos secundarios que transcriben </w:t>
      </w:r>
      <w:r>
        <w:rPr>
          <w:rFonts w:ascii="Roboto Mono" w:hAnsi="Roboto Mono"/>
          <w:sz w:val="18"/>
        </w:rPr>
        <w:t>0.09165</w:t>
      </w:r>
      <w:r>
        <w:rPr>
          <w:rFonts w:ascii="Roboto" w:hAnsi="Roboto"/>
          <w:sz w:val="18"/>
        </w:rPr>
        <w:t>; Agent 2 debe fijar una versión canónica mediante paper/suplemento + BioAge actual + casos de referencia y bloquearla con tests.</w:t>
      </w:r>
    </w:p>
    <w:p>
      <w:pPr>
        <w:pStyle w:val="Heading2"/>
      </w:pPr>
      <w:r>
        <w:rPr>
          <w:rFonts w:ascii="Roboto" w:hAnsi="Roboto"/>
        </w:rPr>
        <w:t>Candidatos de modelo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Levine et al. 2018, ecuación clínica original (fuente de verdad científica).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BioAge R package, phenoage_calc.R, como implementación independiente de verificación.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Reproducción sobre NHANES III/IV para pruebas de paridad y validación estadística.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Implementaciones web externas (HealthOS/FixFirst/BioAgeIQ) solo para differential testing, nunca como fuente de verdad.</w:t>
      </w:r>
    </w:p>
    <w:p>
      <w:pPr>
        <w:pStyle w:val="Heading2"/>
      </w:pPr>
      <w:r>
        <w:rPr>
          <w:rFonts w:ascii="Roboto" w:hAnsi="Roboto"/>
        </w:rPr>
        <w:t>Atribución de drivers</w:t>
      </w:r>
    </w:p>
    <w:p>
      <w:r>
        <w:rPr>
          <w:rFonts w:ascii="Roboto" w:hAnsi="Roboto"/>
          <w:sz w:val="18"/>
        </w:rPr>
        <w:t>No usar coef×desviación/0.090165 como 'años causados' sin advertencia. MVP: impacto contrafactual por marcador = PhenoAge(actual) - PhenoAge(mismo perfil reemplazando solo marcador i por referencia). Es descriptivo, no causal. Agent 2 debe fijar la referencia; Shapley exacto sobre 9 marcadores puede evaluarse para atribución aditiva.</w:t>
      </w:r>
    </w:p>
    <w:p>
      <w:r>
        <w:rPr>
          <w:rFonts w:ascii="Roboto" w:hAnsi="Roboto"/>
          <w:b/>
          <w:sz w:val="18"/>
        </w:rPr>
        <w:t>Regla de fábrica:</w:t>
      </w:r>
      <w:r>
        <w:rPr>
          <w:rFonts w:ascii="Roboto" w:hAnsi="Roboto"/>
          <w:sz w:val="18"/>
        </w:rPr>
        <w:t xml:space="preserve"> un LLM puede redactar explicaciones a partir de valores ya calculados, pero nunca calcula PhenoAge, conversiones, drivers o flags.</w:t>
      </w:r>
    </w:p>
    <w:p>
      <w:pPr>
        <w:pStyle w:val="Heading1"/>
      </w:pPr>
      <w:r>
        <w:rPr>
          <w:rFonts w:ascii="Roboto" w:hAnsi="Roboto"/>
        </w:rPr>
        <w:t>8. Inputs — hipótesis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Input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Requerido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Tiempo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Notas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Edad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sí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&lt;10 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años cumplidos; entra en la fórmula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Albúmina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sí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copiar analítica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aceptar g/L o g/dL y convertir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Creatinina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sí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copiar analítica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aceptar µmol/L o mg/dL y convertir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Glucosa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sí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copiar analítica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aceptar mmol/L o mg/dL y convertir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PCR / hs-CRP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sí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copiar analítica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aceptar mg/dL o mg/L; debe ser &gt;0 para log; no inventar valores censurados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Hemograma (linfocitos %, VCM/MCV, ADE/RDW, leucocitos/WBC)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sí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copiar 4 valores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WBC x10^9/L y x10^3/µL son numéricamente equivalentes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Fosfatasa alcalina (ALP)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sí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copiar analítica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U/L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Fecha de analítica + país/unidades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fecha recomendada; país opcional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&lt;10 s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no cambia la fórmula; sirve para calidad, localización y tendencias</w:t>
            </w:r>
          </w:p>
        </w:tc>
      </w:tr>
    </w:tbl>
    <w:p>
      <w:pPr>
        <w:spacing w:after="20"/>
      </w:pPr>
    </w:p>
    <w:p>
      <w:r>
        <w:rPr>
          <w:rFonts w:ascii="Roboto" w:hAnsi="Roboto"/>
          <w:sz w:val="18"/>
        </w:rPr>
        <w:t>Aunque hay 10 valores escalares (edad + 9 biomarcadores), la UX los agrupa en 4 bloques de laboratorio y puede completarse en &lt;2 minutos copiando una analítica. No se pide laboratorio adicional, wearable ni instrumento.</w:t>
      </w:r>
    </w:p>
    <w:p>
      <w:r>
        <w:rPr>
          <w:rFonts w:ascii="Roboto" w:hAnsi="Roboto"/>
          <w:b/>
          <w:sz w:val="18"/>
        </w:rPr>
        <w:t>Conversiones necesarias:</w:t>
      </w:r>
      <w:r>
        <w:rPr>
          <w:rFonts w:ascii="Roboto" w:hAnsi="Roboto"/>
          <w:sz w:val="18"/>
        </w:rPr>
        <w:t xml:space="preserve"> albúmina g/dL↔g/L; creatinina mg/dL↔µmol/L; glucosa mg/dL↔mmol/L; PCR mg/L↔mg/dL; WBC ×10^9/L↔×10^3/µL. Agent 2 debe escribir tests de equivalencia y decidir cómo tratar resultados censurados tipo </w:t>
      </w:r>
      <w:r>
        <w:rPr>
          <w:rFonts w:ascii="Roboto Mono" w:hAnsi="Roboto Mono"/>
          <w:sz w:val="18"/>
        </w:rPr>
        <w:t>&lt;0.3</w:t>
      </w:r>
      <w:r>
        <w:rPr>
          <w:rFonts w:ascii="Roboto" w:hAnsi="Roboto"/>
          <w:sz w:val="18"/>
        </w:rPr>
        <w:t>.</w:t>
      </w:r>
    </w:p>
    <w:p>
      <w:pPr>
        <w:pStyle w:val="Heading1"/>
      </w:pPr>
      <w:r>
        <w:rPr>
          <w:rFonts w:ascii="Roboto" w:hAnsi="Roboto"/>
        </w:rPr>
        <w:t>9. Alcance del MVP</w:t>
      </w:r>
    </w:p>
    <w:p>
      <w:pPr>
        <w:pStyle w:val="Heading2"/>
      </w:pPr>
      <w:r>
        <w:rPr>
          <w:rFonts w:ascii="Roboto" w:hAnsi="Roboto"/>
        </w:rPr>
        <w:t>IN — imprescindible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Landing y flujo trilingüe ES/EN/PT-BR.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Entrada manual optimizada y opción de pegar texto estructurado; autoconversión explícita de unidades.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Cálculo determinista client-side/server-side sin LLM para el número.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Quality gates: faltantes, unidades improbables, CRP&lt;=0/censurada, plausibilidad fisiológica amplia y confirmación antes de calcular.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Vista previa &lt;90 s: PhenoAge, brecha vs edad y explicación metodológica corta.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Semáforo orientativo de brecha solo como UX, no como umbral clínico; evitar afirmar que ±2 años es una categoría validada.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Top drivers mediante recomputación contrafactual si y solo si la referencia queda validada por Agent 2; etiqueta 'impacto del modelo, no causa'.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Fase 1: CTA a email para recibir informe completo; consentimiento explícito; copia al dueño solo de forma pseudonimizada/minimizada y conforme a base legal.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Informe completo: contexto por marcador, preguntas para comentar con profesional, limitaciones, método y fecha para repetir.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Analytics de funnel y eventos de error/unidad sin almacenar valores clínicos en analítica de producto.</w:t>
      </w:r>
    </w:p>
    <w:p>
      <w:pPr>
        <w:pStyle w:val="Heading2"/>
      </w:pPr>
      <w:r>
        <w:rPr>
          <w:rFonts w:ascii="Roboto" w:hAnsi="Roboto"/>
        </w:rPr>
        <w:t>OUT — explícitamente fuera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Diagnóstico, tratamiento, prescripción, suplementos o afirmaciones de reversión del envejecimiento.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Predicción de esperanza de vida individual.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Cociente PhenoAge/edad presentado como 'ritmo de envejecimiento'.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Pago en Fase 1.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Pedido/toma de muestra propia.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Integración EHR/LIS, dashboard profesional, white-label y multiusuario.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Interpretación por LLM de la fórmula o sustitución de biomarcadores faltantes.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Carga OCR de PDFs/fotos si compromete el plazo del MVP; preferir pegar/manual primero.</w:t>
      </w:r>
    </w:p>
    <w:p>
      <w:pPr>
        <w:pStyle w:val="Heading2"/>
      </w:pPr>
      <w:r>
        <w:rPr>
          <w:rFonts w:ascii="Roboto" w:hAnsi="Roboto"/>
        </w:rPr>
        <w:t>V2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OCR/parseo de PDF/foto con confirmación humana campo por campo.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Pago y reportes premium.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Historial longitudinal con intervalos y comparaciones de misma condición de extracción.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Percentiles basados en NHANES y/o cohortes regionales, si Agent 2 los valida.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White-label para laboratorios y portal profesional.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Importación batch/API para partners.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Atribución Shapley exacta y perfiles de referencia estratificados si se justifican estadísticamente.</w:t>
      </w:r>
    </w:p>
    <w:p>
      <w:r>
        <w:rPr>
          <w:rFonts w:ascii="Roboto" w:hAnsi="Roboto"/>
          <w:b/>
          <w:sz w:val="18"/>
        </w:rPr>
        <w:t>Meta de UX:</w:t>
      </w:r>
      <w:r>
        <w:rPr>
          <w:rFonts w:ascii="Roboto" w:hAnsi="Roboto"/>
          <w:sz w:val="18"/>
        </w:rPr>
        <w:t xml:space="preserve"> primera vista previa útil en &lt;90 segundos. Si el usuario no tiene PCR, no se debe adivinar; explicar que es el biomarcador que suele faltar y permitir guardar/volver más tarde.</w:t>
      </w:r>
    </w:p>
    <w:p>
      <w:pPr>
        <w:pStyle w:val="Heading1"/>
      </w:pPr>
      <w:r>
        <w:rPr>
          <w:rFonts w:ascii="Roboto" w:hAnsi="Roboto"/>
        </w:rPr>
        <w:t>10. Métricas y metas</w:t>
      </w:r>
    </w:p>
    <w:p>
      <w:pPr>
        <w:pStyle w:val="Heading2"/>
      </w:pPr>
      <w:r>
        <w:rPr>
          <w:rFonts w:ascii="Roboto" w:hAnsi="Roboto"/>
        </w:rPr>
        <w:t>Producto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Métrica</w:t>
            </w:r>
          </w:p>
        </w:tc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Meta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Visita → inicio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≥45%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Inicio → vista previa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≥60%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Vista previa → solicitud de informe/email (Fase 1)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≥12% validación; ≥20% objetivo maduro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Solicitud → pago (Fase 2)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≥55% de leads con intención; revisar tras 100 checkouts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Visita → pago compuesto (Fase 2)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≈3.0% con 45%×60%×20%×55%=2.97%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Laboratorios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≥2 interesados en validación; ≥1 alianza en 90 días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Roboto" w:hAnsi="Roboto"/>
        </w:rPr>
        <w:t>Modelo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Métrica</w:t>
            </w:r>
          </w:p>
        </w:tc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Meta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MAE vs BioAge R / casos de referencia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≤0.01 años en ≥100 casos válidos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Error máximo por conversiones de unidad equivalentes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≤0.01 años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Detección de input inválido/missing en suite QA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100%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Reproducción NHANES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r≥0.999 entre implementación y phenoage0 del paquete/dataset de referencia, si los datos son reproducibles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Chequeo externo de asociación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HR all-cause por año cercano a 1.09 publicado; tolerancia preliminar ±0.02 en reproducción comparable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Roboto" w:hAnsi="Roboto"/>
        </w:rPr>
        <w:t>Negocio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Métrica</w:t>
            </w:r>
          </w:p>
        </w:tc>
        <w:tc>
          <w:tcPr>
            <w:tcW w:type="dxa" w:w="5227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Meta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CAC objetivo B2C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≤US$4.50 por primer comprador; adquisición principalmente orgánica/partner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Ingreso por usuario pagador 90 días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≥US$15 equivalente; ≥US$18 con upsell/retest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Margen bruto por informe digital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≥85%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Payback CAC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primer pago</w:t>
            </w:r>
          </w:p>
        </w:tc>
      </w:tr>
      <w:tr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Revenue B2B2C piloto</w:t>
            </w:r>
          </w:p>
        </w:tc>
        <w:tc>
          <w:tcPr>
            <w:tcW w:type="dxa" w:w="5227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US$3–6 equivalente por informe o 20–30% de retail, hipótesis a negociar</w:t>
            </w:r>
          </w:p>
        </w:tc>
      </w:tr>
    </w:tbl>
    <w:p>
      <w:pPr>
        <w:spacing w:after="20"/>
      </w:pPr>
    </w:p>
    <w:p>
      <w:r>
        <w:rPr>
          <w:rFonts w:ascii="Roboto" w:hAnsi="Roboto"/>
          <w:sz w:val="18"/>
        </w:rPr>
        <w:t>La meta compuesta Fase 2 de ≈3% visita→pago resulta de 45%×60%×20%×55%=2.97%. No debe confundirse con el umbral de validación de email de Fase 1.</w:t>
      </w:r>
    </w:p>
    <w:p>
      <w:pPr>
        <w:pStyle w:val="Heading1"/>
      </w:pPr>
      <w:r>
        <w:rPr>
          <w:rFonts w:ascii="Roboto" w:hAnsi="Roboto"/>
        </w:rPr>
        <w:t>11. Modelo de negocio</w:t>
      </w:r>
    </w:p>
    <w:p>
      <w:r>
        <w:rPr>
          <w:rFonts w:ascii="Roboto" w:hAnsi="Roboto"/>
          <w:b/>
          <w:sz w:val="18"/>
        </w:rPr>
        <w:t>Gratis:</w:t>
      </w:r>
      <w:r>
        <w:rPr>
          <w:rFonts w:ascii="Roboto" w:hAnsi="Roboto"/>
          <w:sz w:val="18"/>
        </w:rPr>
        <w:t xml:space="preserve"> Vista previa: PhenoAge, brecha vs edad, control de datos/unidades y explicación breve. Sin almacenamiento por defecto.</w:t>
      </w:r>
    </w:p>
    <w:p>
      <w:r>
        <w:rPr>
          <w:rFonts w:ascii="Roboto" w:hAnsi="Roboto"/>
          <w:b/>
          <w:sz w:val="18"/>
        </w:rPr>
        <w:t>Pago:</w:t>
      </w:r>
      <w:r>
        <w:rPr>
          <w:rFonts w:ascii="Roboto" w:hAnsi="Roboto"/>
          <w:sz w:val="18"/>
        </w:rPr>
        <w:t xml:space="preserve"> Informe AgeClarity completo: drivers del modelo, tabla de 9 biomarcadores, método, preguntas para profesional, comparativa longitudinal cuando exista. El pago se activa en Fase 2.</w:t>
      </w:r>
    </w:p>
    <w:p>
      <w:pPr>
        <w:pStyle w:val="Heading2"/>
      </w:pPr>
      <w:r>
        <w:rPr>
          <w:rFonts w:ascii="Roboto" w:hAnsi="Roboto"/>
        </w:rPr>
        <w:t>Precio hipotético por país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País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Precio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Lógica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España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EUR 12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ancla cercana a US$15 con menor ticket digital local; hipótesis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México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MXN 199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ticket psicológico ~US$10–12; hipótesis PPP/WTP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Brasil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BRL 49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ticket ~US$9–10; localización PT-BR; hipótesis PPP/WTP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Colombia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COP 39,900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ticket ~US$10; hipótesis PPP/WTP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Perú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PEN 39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ticket ~US$10; muy por debajo de paneles locales de S/599; hipótesis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Argentina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US$8 equivalente en moneda local al checkout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protege de volatilidad; precio menor por poder adquisitivo; hipótesis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EE.UU. (benchmark futuro)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US$15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ancla original y alternativa muy inferior a tests dedicados US$249–499</w:t>
            </w:r>
          </w:p>
        </w:tc>
      </w:tr>
    </w:tbl>
    <w:p>
      <w:pPr>
        <w:spacing w:after="20"/>
      </w:pPr>
    </w:p>
    <w:p>
      <w:r>
        <w:rPr>
          <w:rFonts w:ascii="Roboto" w:hAnsi="Roboto"/>
          <w:sz w:val="18"/>
        </w:rPr>
        <w:t xml:space="preserve">Estos precios son </w:t>
      </w:r>
      <w:r>
        <w:rPr>
          <w:rFonts w:ascii="Roboto" w:hAnsi="Roboto"/>
          <w:b/>
          <w:sz w:val="18"/>
        </w:rPr>
        <w:t>hipótesis de paridad de poder adquisitivo / willingness-to-pay</w:t>
      </w:r>
      <w:r>
        <w:rPr>
          <w:rFonts w:ascii="Roboto" w:hAnsi="Roboto"/>
          <w:sz w:val="18"/>
        </w:rPr>
        <w:t>, no una tabla PPP oficial. Deben A/B testearse. El ancla económica es clara: un informe de ~US$8–15 reutilizando una analítica existente es una fracción del coste de tests dedicados de US$249–499.</w:t>
      </w:r>
    </w:p>
    <w:p>
      <w:pPr>
        <w:pStyle w:val="Heading2"/>
      </w:pPr>
      <w:r>
        <w:rPr>
          <w:rFonts w:ascii="Roboto" w:hAnsi="Roboto"/>
        </w:rPr>
        <w:t>Upsells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Comparación con segundo análisis / trend report.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Bundle de 2 informes anuales.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PDF profesional/white-label para consulta.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Licencia profesional: hipótesis US$29/mes con cupo de informes.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B2B2C laboratorio: fee US$3–6 equivalente por informe o revenue share.</w:t>
      </w:r>
    </w:p>
    <w:p>
      <w:pPr>
        <w:pStyle w:val="Heading2"/>
      </w:pPr>
      <w:r>
        <w:rPr>
          <w:rFonts w:ascii="Roboto" w:hAnsi="Roboto"/>
        </w:rPr>
        <w:t>Canales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SEO programático trilingüe alrededor de PhenoAge, unidades, biomarcadores y 'biological age blood test'.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Comunidades de biohacking/longevity y quantified-self; priorizar educación, no promesas.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Creadores de salud/fitness con demostración usando datos ficticios.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Laboratorios y clínicas de chequeo como canal del momento de necesidad.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Médicos/nutricionistas como referral y distribución del PDF.</w:t>
      </w:r>
    </w:p>
    <w:p>
      <w:r>
        <w:rPr>
          <w:rFonts w:ascii="Roboto" w:hAnsi="Roboto"/>
          <w:b/>
          <w:sz w:val="18"/>
        </w:rPr>
        <w:t>Gancho viral:</w:t>
      </w:r>
      <w:r>
        <w:rPr>
          <w:rFonts w:ascii="Roboto" w:hAnsi="Roboto"/>
          <w:sz w:val="18"/>
        </w:rPr>
        <w:t xml:space="preserve"> Tarjeta compartible 'My PhenoAge gap' sin valores clínicos, con fecha y disclaimer; mejor como señal privada/social que como ranking.</w:t>
      </w:r>
    </w:p>
    <w:p>
      <w:pPr>
        <w:pStyle w:val="Heading2"/>
      </w:pPr>
      <w:r>
        <w:rPr>
          <w:rFonts w:ascii="Roboto" w:hAnsi="Roboto"/>
        </w:rPr>
        <w:t>Fases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Fase 1 VALIDACIÓN: preview gratis → email → informe completo; sin cobro. El usuario consiente el tratamiento de datos. La copia al dueño debe ser pseudonimizada/minimizada y solo si la base legal y consentimiento lo permiten.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Fase 2 COBRO: pasarela de pago antes de liberar informe completo; A/B test de precios por país.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Fase 3 B2B2C: laboratorio incluye 'AgeClarity Panel' o añade el informe a hemograma+bioquímica+PCR.</w:t>
      </w:r>
    </w:p>
    <w:p>
      <w:pPr>
        <w:pStyle w:val="Heading1"/>
      </w:pPr>
      <w:r>
        <w:rPr>
          <w:rFonts w:ascii="Roboto" w:hAnsi="Roboto"/>
        </w:rPr>
        <w:t>12. Riesgos y mitigación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Riesgo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Severidad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Por qué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Mitigación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Regulatorio / dispositivo médico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Procesa resultados de laboratorio y podría percibirse como diagnóstico/triage si recomienda qué 'tratar'.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Intended use de wellness/información; no diagnosticar ni tratar; no lifespan claims; wording 'qué comentar/revisar con profesional'; revisión legal país por país antes de B2B2C. FDA General Wellness es guía, no garantía. Perú/DIGEMID y UE requieren evaluación específica.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Privacidad de datos de salud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Email + biomarcadores son datos sensibles.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Minimización, cifrado, no analytics con valores, borrado corto, consentimiento granular, pseudonimización. Owner copy de Fase 1 solo con base legal/consentimiento; preferir copia de entrega sin datos crudos.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Unidades / errores de entrada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La fórmula es extremadamente sensible a unidades; CRP usa log.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Unidades explícitas, conversiones deterministas, rangos de plausibilidad, confirmación, tests de invariancia y mensajes para valores '&lt;x'.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Validez externa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Media-alta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Modelo entrenado/validado en población NHANES de EE.UU.; no equivale a medición universal de envejecimiento.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Mostrar procedencia, no ocultar incertidumbre; Agent 2 evalúa desempeño por subgrupos y cohortes abiertas; no crear percentiles locales sin datos.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Variación aguda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Media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CRP, WBC y glucosa pueden cambiar por infección, ayuno, ejercicio o momento de muestra.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Preguntar fecha/condición; advertir que un snapshot no es destino; favorecer seguimiento comparable y repetir tras condiciones estables si un profesional lo considera.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Commoditización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Ya hay calculadoras PhenoAge gratuitas y open source.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No cobrar por el número: vender confianza, data-quality, drivers auditables, trilingüe, longitudinalidad y distribución partner.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Atribución engañosa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Decir 'este biomarcador te suma X años' puede sonar causal.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Usar impacto contrafactual del modelo, referencia definida, wording no causal; considerar Shapley y enseñar metodología.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Ansiedad / daño reputacional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Media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Una 'edad' mayor puede alarmar.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Evitar rojo/alarma extrema, explicar variabilidad, no umbrales clínicos inventados, CTA a conversar con profesional si valores están fuera de rango de su laboratorio.</w:t>
            </w:r>
          </w:p>
        </w:tc>
      </w:tr>
    </w:tbl>
    <w:p>
      <w:pPr>
        <w:spacing w:after="20"/>
      </w:pPr>
    </w:p>
    <w:p>
      <w:r>
        <w:rPr>
          <w:rFonts w:ascii="Roboto" w:hAnsi="Roboto"/>
          <w:b/>
          <w:sz w:val="18"/>
        </w:rPr>
        <w:t>Regla de copy:</w:t>
      </w:r>
      <w:r>
        <w:rPr>
          <w:rFonts w:ascii="Roboto" w:hAnsi="Roboto"/>
          <w:sz w:val="18"/>
        </w:rPr>
        <w:t xml:space="preserve"> no decir “tu cuerpo tiene X años”, “estás envejeciendo X% más rápido”, “vas a vivir X años”, “revierte tu edad” ni “este marcador te añade X años” como causal. Preferir: “tu perfil de laboratorio corresponde a un PhenoAge de X según el modelo publicado; este resultado es una estimación poblacional y no un diagnóstico”.</w:t>
      </w:r>
    </w:p>
    <w:p>
      <w:pPr>
        <w:pStyle w:val="Heading1"/>
      </w:pPr>
      <w:r>
        <w:rPr>
          <w:rFonts w:ascii="Roboto" w:hAnsi="Roboto"/>
        </w:rPr>
        <w:t>13. Scorecard y veredicto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Dimensión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Peso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Puntos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Razón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Mercado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25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21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Mercado global grande y envejecimiento estructural; categoría de biological age ya tiene demanda.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Dolor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16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Muchísimo volumen de resultados y evidencia de fricción de comprensión; dolor es informacional, no siempre urgente.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Disposición de pago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14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Tests dedicados muestran WTP alto, pero cálculo PhenoAge aislado es gratis en varios sitios.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Datos y modelo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15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15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Fórmula publicada, datos NHANES y paquete BioAge abierto; riesgo principal son unidades/referencias, no modelado.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Viralidad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10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7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La brecha de edad es compartible, pero salud es sensible y debe evitar gamificación dañina.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Rapidez MVP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10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9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Formulario + cálculo determinista + email/report es rápido; OCR y pagos pueden esperar.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TOTAL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100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82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GO</w:t>
            </w:r>
          </w:p>
        </w:tc>
      </w:tr>
    </w:tbl>
    <w:p>
      <w:pPr>
        <w:spacing w:after="20"/>
      </w:pPr>
    </w:p>
    <w:p>
      <w:r>
        <w:rPr>
          <w:rFonts w:ascii="Roboto" w:hAnsi="Roboto"/>
          <w:b/>
          <w:sz w:val="18"/>
        </w:rPr>
        <w:t>VEREDICTO: GO — 82/100.</w:t>
      </w:r>
      <w:r>
        <w:rPr>
          <w:rFonts w:ascii="Roboto" w:hAnsi="Roboto"/>
          <w:sz w:val="18"/>
        </w:rPr>
        <w:t xml:space="preserve"> La ciencia y la velocidad de MVP son fuertes. La presión competitiva obliga a no monetizar el cálculo desnudo. El producto gana si convierte exactitud de implementación + claridad + longitudinalidad + distribución de laboratorio en una experiencia confiable.</w:t>
      </w:r>
    </w:p>
    <w:p>
      <w:pPr>
        <w:pStyle w:val="Heading1"/>
      </w:pPr>
      <w:r>
        <w:rPr>
          <w:rFonts w:ascii="Roboto" w:hAnsi="Roboto"/>
        </w:rPr>
        <w:t>Apéndice A. Decisiones de producto aplicadas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Nombre de trabajo cambiado de BioAge a AgeClarity para diferenciarse del paquete científico BioAge y competir por claridad, no por propiedad del algoritmo.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Se elimina 'PhenoAge/edad = ritmo de envejecimiento' como claim: ese cociente no es una métrica de pace-of-aging validada.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La banda ±2 años se mantiene, si se usa, solo como convención UX explícitamente no clínica; no se presenta como umbral publicado.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La contribución por biomarcador pasa de aproximación lineal a recomputación contrafactual del modelo, con etiqueta no causal.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El producto de pago vende informe, trazabilidad, control de unidades, longitudinalidad y canal laboratorio; el número básico queda gratis.</w:t>
      </w:r>
    </w:p>
    <w:p>
      <w:pPr>
        <w:pStyle w:val="Heading1"/>
      </w:pPr>
      <w:r>
        <w:rPr>
          <w:rFonts w:ascii="Roboto" w:hAnsi="Roboto"/>
        </w:rPr>
        <w:t>Apéndice B. Copy de interfaz y SEO · ES / EN / PT-BR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</w:trPr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Uso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ES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EN</w:t>
            </w:r>
          </w:p>
        </w:tc>
        <w:tc>
          <w:tcPr>
            <w:tcW w:type="dxa" w:w="2613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PT-BR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Hero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Entiende tu PhenoAge con los análisis que ya tienes.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Understand your PhenoAge from bloodwork you already have.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Entenda seu PhenoAge com exames que você já tem.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Subhero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9 biomarcadores rutinarios + tu edad. Resultado en menos de 90 segundos.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Nine routine biomarkers + your age. Get a result in under 90 seconds.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Nove biomarcadores de rotina + sua idade. Resultado em menos de 90 segundos.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CTA inicio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Calcular mi PhenoAge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Calculate my PhenoAge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Calcular meu PhenoAge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CTA informe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Recibir mi informe completo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Get my full report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Receber meu relatório completo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Quality gate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Revisa la unidad antes de continuar.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Check the unit before continuing.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Confira a unidade antes de continuar.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Resultado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PhenoAge estimado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Estimated PhenoAge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PhenoAge estimado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Brecha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Diferencia vs. tu edad cronológica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Gap vs. your chronological age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Diferença vs. sua idade cronológica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Driver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Impacto estimado en el modelo; no implica causalidad.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Estimated model impact; not causal.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Impacto estimado no modelo; não implica causalidade.</w:t>
            </w:r>
          </w:p>
        </w:tc>
      </w:tr>
      <w:tr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Disclaimer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Información educativa, no diagnóstico ni consejo médico.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Educational information, not a diagnosis or medical advice.</w:t>
            </w:r>
          </w:p>
        </w:tc>
        <w:tc>
          <w:tcPr>
            <w:tcW w:type="dxa" w:w="2613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Informação educativa, não é diagnóstico nem orientação médica.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Roboto" w:hAnsi="Roboto"/>
        </w:rPr>
        <w:t>SEO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Idioma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Title</w:t>
            </w:r>
          </w:p>
        </w:tc>
        <w:tc>
          <w:tcPr>
            <w:tcW w:type="dxa" w:w="3485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Meta description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Calculadora PhenoAge con análisis de sangre / AgeClarity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Calcula tu PhenoAge con 9 biomarcadores rutinarios y entiende la diferencia frente a tu edad cronológica. Método publicado, unidades claras y resultado en minutos.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EN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PhenoAge Blood Test Calculator / AgeClarity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Calculate your PhenoAge from nine routine blood biomarkers. See your age gap, validate units, and understand the published method in minutes.</w:t>
            </w:r>
          </w:p>
        </w:tc>
      </w:tr>
      <w:tr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PT-BR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Calculadora PhenoAge com exame de sangue / AgeClarity</w:t>
            </w:r>
          </w:p>
        </w:tc>
        <w:tc>
          <w:tcPr>
            <w:tcW w:type="dxa" w:w="3485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Calcule seu PhenoAge com nove biomarcadores de rotina, confira as unidades e entenda a diferença para sua idade cronológica em minutos.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Roboto" w:hAnsi="Roboto"/>
        </w:rPr>
        <w:t>Apéndice C. Fuentes</w:t>
      </w:r>
    </w:p>
    <w:p>
      <w:r>
        <w:rPr>
          <w:rFonts w:ascii="Roboto" w:hAnsi="Roboto"/>
          <w:sz w:val="18"/>
        </w:rPr>
        <w:t>Las cifras marcadas como estimación muestran el cálculo o el supuesto. Precios y funcionalidades competitivas corresponden a páginas observadas en octubre de 2026 y pueden cambiar.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42"/>
        <w:gridCol w:w="1742"/>
        <w:gridCol w:w="1742"/>
        <w:gridCol w:w="1742"/>
        <w:gridCol w:w="1742"/>
        <w:gridCol w:w="1742"/>
      </w:tblGrid>
      <w:tr>
        <w:trPr>
          <w:tblHeader w:val="true"/>
        </w:trPr>
        <w:tc>
          <w:tcPr>
            <w:tcW w:type="dxa" w:w="1742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ID</w:t>
            </w:r>
          </w:p>
        </w:tc>
        <w:tc>
          <w:tcPr>
            <w:tcW w:type="dxa" w:w="1742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Dato / uso</w:t>
            </w:r>
          </w:p>
        </w:tc>
        <w:tc>
          <w:tcPr>
            <w:tcW w:type="dxa" w:w="1742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Año</w:t>
            </w:r>
          </w:p>
        </w:tc>
        <w:tc>
          <w:tcPr>
            <w:tcW w:type="dxa" w:w="1742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Región</w:t>
            </w:r>
          </w:p>
        </w:tc>
        <w:tc>
          <w:tcPr>
            <w:tcW w:type="dxa" w:w="1742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Fuente / URL</w:t>
            </w:r>
          </w:p>
        </w:tc>
        <w:tc>
          <w:tcPr>
            <w:tcW w:type="dxa" w:w="1742"/>
            <w:shd w:fill="D6E4F0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</w:rPr>
            </w:r>
            <w:r>
              <w:rPr>
                <w:rFonts w:ascii="Roboto" w:hAnsi="Roboto"/>
                <w:b/>
                <w:sz w:val="15"/>
              </w:rPr>
              <w:t>Confianza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S01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 2030, 1 de cada 6 personas en el mundo tendrá 60+ años; 1.4 mil millones, y 2.1 mil millones en 2050.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2025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Global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https://www.who.int/en/news-room/fact-sheets/detail/ageing-and-health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S02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En EE.UU. se realizan alrededor de 14 mil millones de pruebas de laboratorio al año en más de 266,000 laboratorios certificados por CLIA.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https://www.cdc.gov/clinical-standardization-programs/about/index.html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S03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Encuesta HINTS 2024: 68.6% de adultos con resultados liberados inmediatamente los vio antes de hablar con un profesional; 6.6% de ese grupo calificó su comprensión como pobre y 26.8% como 'fairly well'.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 (datos 2024)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https://jamanetwork.com/journals/jamanetworkopen/fullarticle/2852968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Estimación derivada: de 174.7M adultos ponderados, ~119.8M vieron resultados antes del profesional; ~7.9M reportaron comprensión pobre y ~40.0M pobre o solo 'fairly well'.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https://jamanetwork.com/journals/jamanetworkopen/fullarticle/2852968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 para aritmética; alcance limitado a población encuestada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S05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95.7% de encuestados quiso seguir recibiendo resultados inmediatamente; 16.5% con resultados anormales reportó mayor preocupación vs 5.0% con resultados normales.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2023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Estados Unidos, 4 centros académicos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https://jamanetwork.com/journals/jamanetworkopen/fullarticle/2802672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De 5,318 pacientes que buscaron información adicional tras ver sus resultados, 39.9% hizo una búsqueda en internet.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2023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Estados Unidos, 4 centros académicos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https://jamanetwork.com/journals/jamanetworkopen/fullarticle/2802672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S07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Phenotypic Age se desarrolló con 9,926 adultos de NHANES III, seleccionando 9 biomarcadores + edad entre 42 candidatos.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2018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https://pmc.ncbi.nlm.nih.gov/articles/PMC5940111/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S08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Validación de Phenotypic Age en NHANES IV: n=6,209, correlación con edad cronológica r=0.94; +1 año de Phenotypic Age ajustado por edad se asoció con HR 1.09 para mortalidad por todas las causas.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2018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https://pmc.ncbi.nlm.nih.gov/articles/PMC5940111/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S09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El paquete abierto BioAge implementa la fórmula original de PhenoAge con constantes de mayor precisión y 0.090165; en 2026 el repositorio actualizó explícitamente esa constante.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Global / software abierto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https://github.com/dayoonkwon/BioAge/blob/master/R/phenoage_calc.R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 para implementación; no sustituye paper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S10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Actividad del repositorio BioAge: commit 'Update PhenoAge constant to 0.090165 and recompute data'.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Global / software abierto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https://github.com/dayoonkwon/BioAge/activity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 para historial de implementación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S11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Una publicación de Nature Communications reproduce PhenoAge con 0.090165 y describe el mapeo del riesgo de mortalidad a 10 años a unidades de años.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Investigación internacional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https://www.nature.com/articles/s41467-024-49283-0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S12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Function Health publica una membresía de US$365/año con 160+ pruebas, revisión clínica y seguimiento.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https://www.functionhealth.com/function-membership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 para precio/oferta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S13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NOVOS Age cuesta US$349 por un kit; entrega un informe de 55 páginas y declara 2-4 semanas después de recibir la muestra.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Estados Unidos y Canadá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https://novoslabs.com/product/novos-age/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 para precio/oferta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S14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TallyAge cuesta US$249 como test individual; la membresía se publica a US$129/mes.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https://tallyhealth.com/products/test-kit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 para precio/oferta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S15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GlycanAge publica precio aproximado desde EUR499 por un test y EUR849 por dos.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Internacional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https://glycanage.com/frequently-asked-questions/glycanage-test-how-it-works-accuracy-cost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 para precio publicado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S16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AgeTrace ofrece gratis en iPhone cálculo y seguimiento de Phenotypic Age, entre otras calculadoras; idiomas indicados: inglés y turco.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App Store internacional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https://apps.apple.com/us/app/agetrace/id6809143287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S17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HealthOS ofrece gratis PhenoAge en navegador, sin cuenta, con unidades alternativas y carga de PDF/foto.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Global web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https://healthosx.com/blood/phenoage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 para funciones observadas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S18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LabAge es una implementación MIT/open-source de PhenoAge con percentil, contribuciones y referencias NHANES.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Global web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https://github.com/aadityageddam-ux/labage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 para funciones observadas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S19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Zentum en Lima publica un examen de longevidad desde S/599 con 100+ biomarcadores, edad biológica, plan y dashboard.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Perú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https://www.zentum.com/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 para oferta/precio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S20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Una propuesta de marketing que declara haber validado Google Keyword Planner reporta 7,200 búsquedas mensuales combinadas para 'biological age test' + 'check biological age'.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Principalmente inglés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https://tools.hoponline.ai/glycanage-paid-media-proposal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Media: no es acceso directo a Keyword Planner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S21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Un sitio especializado en SEO de longevidad reporta 7,600 búsquedas mensuales para 'biological age test'.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Principalmente inglés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https://telehealthseo.com/seo-for/longevity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Media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S22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Población 2024: Brasil 211,998,573; México 130,861,007.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Brasil; México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https://data.worldbank.org/?locations=MX-BR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S23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Población 2024: Colombia 52,886,363; Argentina 45,696,159; Perú 34,217,848.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Colombia; Argentina; Perú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https://data.worldbank.org/?locations=CO-AR-PE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S24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Población de España en 2024: 48,848,840.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2024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España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https://data.worldbank.org/country/spain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S25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La guía FDA de General Wellness (enero 2026) describe el enfoque para productos de bajo riesgo destinados a mantener o fomentar un estilo de vida saludable y sin propósito médico de diagnóstico/tratamiento.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Estados Unidos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https://www.fda.gov/regulatory-information/search-fda-guidance-documents/general-wellness-policy-low-risk-devices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S26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DIGEMID incluye software con propósito de diagnóstico, prevención, monitoreo o tratamiento dentro del marco de dispositivos médicos.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Perú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https://www.digemid.minsa.gob.pe/webDigemid/registro-sanitario/dispositivos-medicos/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  <w:shd w:fill="F7FAFC"/>
          </w:tcPr>
          <w:p>
            <w:r/>
            <w:r>
              <w:rPr>
                <w:rFonts w:ascii="Roboto" w:hAnsi="Roboto"/>
                <w:sz w:val="14"/>
              </w:rPr>
              <w:t>Alta</w:t>
            </w:r>
          </w:p>
        </w:tc>
      </w:tr>
      <w:tr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S27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Reddit r/Biohackers contiene discusiones recurrentes sobre tests de edad biológica, utilidad, variabilidad y seguimiento.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2024-2026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Global, inglés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https://www.reddit.com/r/Biohackers/</w:t>
            </w:r>
          </w:p>
        </w:tc>
        <w:tc>
          <w:tcPr>
            <w:tcW w:type="dxa" w:w="1742"/>
            <w:tcMar>
              <w:top w:w="70" w:type="dxa"/>
              <w:start w:w="80" w:type="dxa"/>
              <w:bottom w:w="70" w:type="dxa"/>
              <w:end w:w="80" w:type="dxa"/>
            </w:tcMar>
            <w:vAlign w:val="top"/>
          </w:tcPr>
          <w:p>
            <w:r/>
            <w:r>
              <w:rPr>
                <w:rFonts w:ascii="Roboto" w:hAnsi="Roboto"/>
                <w:sz w:val="14"/>
              </w:rPr>
              <w:t>Media-baja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rPr>
          <w:rFonts w:ascii="Roboto" w:hAnsi="Roboto"/>
        </w:rPr>
        <w:t>Apéndice D. Open issues para Agente 2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Bloquear la ecuación canónica con precisión completa y crear golden test vectors. Resolver documentalmente cualquier discrepancia 0.090165 vs 0.09165; el paquete BioAge actual usa 0.090165.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Confirmar exactamente la convención/unidad de CRP del dataset original y todas las conversiones de entrada; el producto no debe depender de inferencias de unidad.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Definir referencia para drivers contrafactuales. Evaluar referencias NHANES por edad/sexo o perfil sano; documentar que la atribución es no causal.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Reproducir phenoage0 sobre datos BioAge/NHANES y fijar tolerancias numéricas, manejo de overflow/log-space y extremos.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Evaluar si age gap simple o residual PhenoAgeAccel debe mostrarse. Para consumidor, preferir gap simple; reservar residual/percentil para cuando exista referencia sólida.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Cuantificar desempeño/generalización por sexo, edad y grupos disponibles; no extrapolar validación estadounidense a países prioritarios sin caveat.</w:t>
      </w:r>
    </w:p>
    <w:p>
      <w:pPr>
        <w:pStyle w:val="ListBullet"/>
        <w:spacing w:after="40"/>
        <w:ind w:left="259" w:hanging="173"/>
      </w:pPr>
      <w:r>
        <w:rPr>
          <w:rFonts w:ascii="Roboto" w:hAnsi="Roboto"/>
          <w:sz w:val="18"/>
        </w:rPr>
        <w:t>Entregar schema de inputs con unidades, ranges técnicos, missingness y flags de calidad para que Agente 3 diseñe la UX.</w:t>
      </w:r>
    </w:p>
    <w:sectPr w:rsidR="00FC693F" w:rsidRPr="0006063C" w:rsidSect="00034616">
      <w:footerReference w:type="default" r:id="rId9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Roboto" w:hAnsi="Roboto"/>
        <w:color w:val="646464"/>
        <w:sz w:val="15"/>
      </w:rPr>
      <w:t>AgeClarity · Etapa 1 · v1.0.0 · 13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Roboto" w:hAnsi="Roboto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Roboto" w:hAnsi="Roboto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