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· CogniSignal</w:t>
      </w:r>
    </w:p>
    <w:p>
      <w:r/>
      <w:r>
        <w:rPr>
          <w:b/>
        </w:rPr>
        <w:t>Versión:</w:t>
      </w:r>
      <w:r>
        <w:t xml:space="preserve"> 4.0 · </w:t>
      </w:r>
      <w:r>
        <w:rPr>
          <w:b/>
        </w:rPr>
        <w:t>Estado:</w:t>
      </w:r>
      <w:r>
        <w:t xml:space="preserve"> READY_TO_BUILD · </w:t>
      </w:r>
      <w:r>
        <w:rPr>
          <w:b/>
        </w:rPr>
        <w:t>Fecha:</w:t>
      </w:r>
      <w:r>
        <w:t xml:space="preserve"> 13 octubre 2026 · </w:t>
      </w:r>
      <w:r>
        <w:rPr>
          <w:b/>
        </w:rPr>
        <w:t>Owner:</w:t>
      </w:r>
      <w:r>
        <w:t xml:space="preserve"> Product/Engineering  </w:t>
      </w:r>
    </w:p>
    <w:p>
      <w:r/>
      <w:r>
        <w:rPr>
          <w:b/>
        </w:rPr>
        <w:t>Clasificación:</w:t>
      </w:r>
      <w:r>
        <w:t xml:space="preserve"> MVP de validación, monitorización longitudinal no diagnóstica.</w:t>
      </w:r>
    </w:p>
    <w:p>
      <w:pPr>
        <w:pStyle w:val="Heading1"/>
      </w:pPr>
      <w:r>
        <w:t>0. Ficha y versión</w:t>
      </w:r>
    </w:p>
    <w:p>
      <w:r>
        <w:t>CogniSignal es una aplicación web multilingüe (es/en/pt) para adultos de 55–90 años que realizan microtareas cognitivas breves de forma repetida. El producto construye un baseline personal, calcula cambio longitudinal mediante CS-LCM 1.0 y muestra una señal estadística no clínica. Versión de producto 4.0; modelo `CS-LCM-1.0`; `MONETIZATION_MODE=validation` por defecto.</w:t>
      </w:r>
    </w:p>
    <w:p>
      <w:pPr>
        <w:pStyle w:val="Heading1"/>
      </w:pPr>
      <w:r>
        <w:t>1. Resumen ejecutivo</w:t>
      </w:r>
    </w:p>
    <w:p>
      <w:r>
        <w:t>El MVP busca validar si usuarios 55+ completan una secuencia semanal, entienden una señal basada en su propio baseline y solicitan un informe ampliado. La hipótesis comercial se prueba antes de activar cobro. El cálculo es determinista y auditable; no diagnostica, no estima probabilidad de enfermedad y no usa percentiles poblacionales. La primera experiencia entrega vista previa gratuita y captura email/consentimiento para solicitar el informe completo. El dueño recibe la solicitud, inputs estructurados, outputs y PDF para revisión/envío.</w:t>
      </w:r>
    </w:p>
    <w:p>
      <w:pPr>
        <w:pStyle w:val="Heading1"/>
      </w:pPr>
      <w:r>
        <w:t>2. Problema y evidencia</w:t>
      </w:r>
    </w:p>
    <w:p>
      <w:r>
        <w:t>El usuario puede percibir cambios de memoria, atención o velocidad ejecutiva, pero una medición aislada es ruidosa y no constituye diagnóstico. CogniSignal reduce esa ambigüedad comparando al usuario consigo mismo a lo largo del tiempo. La evidencia y limitaciones de mercado están documentadas en `docs/brief_estrategico.md`, `docs/qa_report.md` y `model/model_card.md`. Cualquier utilidad clínica, fiabilidad test-retest, suficiencia de seis sesiones y equidad siguen siendo preliminares hasta validación prospectiva.</w:t>
      </w:r>
    </w:p>
    <w:p>
      <w:pPr>
        <w:pStyle w:val="Heading1"/>
      </w:pPr>
      <w:r>
        <w:t>3. Mercado y segmentos</w:t>
      </w:r>
    </w:p>
    <w:p>
      <w:r>
        <w:t>Mercados iniciales: Estados Unidos, Reino Unido, España, Brasil y México. Segmento primario: adultos 55–90 digitalmente autónomos con interés en seguimiento cognitivo personal. Segmento secundario: familiares/cuidadores que ayudan en el proceso sin recibir acceso automático a datos. Segmentos fuera de alcance: menores de 55, investigación clínica, diagnóstico profesional y screening poblacional.</w:t>
      </w:r>
    </w:p>
    <w:p>
      <w:pPr>
        <w:pStyle w:val="Heading1"/>
      </w:pPr>
      <w:r>
        <w:t>4. Persona y JTBD</w:t>
      </w:r>
    </w:p>
    <w:p>
      <w:r/>
      <w:r>
        <w:rPr>
          <w:b/>
        </w:rPr>
        <w:t>Persona principal:</w:t>
      </w:r>
      <w:r>
        <w:t xml:space="preserve"> adulto 55+ que quiere observar si su rendimiento cambia respecto de su propio patrón habitual sin recibir un diagnóstico.  </w:t>
      </w:r>
    </w:p>
    <w:p>
      <w:r/>
      <w:r>
        <w:rPr>
          <w:b/>
        </w:rPr>
        <w:t>JTBD:</w:t>
      </w:r>
      <w:r>
        <w:t xml:space="preserve"> “Cuando noto o me preocupa un cambio, quiero una forma breve y repetible de observar mi tendencia personal para decidir si sigo monitorizando o si conviene conversar con un profesional.”  </w:t>
      </w:r>
    </w:p>
    <w:p>
      <w:r/>
      <w:r>
        <w:rPr>
          <w:b/>
        </w:rPr>
        <w:t>Criterios:</w:t>
      </w:r>
      <w:r>
        <w:t xml:space="preserve"> lenguaje simple, tareas cortas, progreso visible, accesibilidad AA y recordatorio explícito de que una señal estable no descarta enfermedad.</w:t>
      </w:r>
    </w:p>
    <w:p>
      <w:pPr>
        <w:pStyle w:val="Heading1"/>
      </w:pPr>
      <w:r>
        <w:t>5. Competencia</w:t>
      </w:r>
    </w:p>
    <w:p>
      <w:r>
        <w:t>La categoría incluye pruebas cognitivas, trackers de salud y herramientas clínicas. CogniSignal se diferencia por baseline intraindividual, ausencia de claims diagnósticos en MVP, transparencia metodológica y diseño de validación comercial. No incorpora estímulos propietarios de baterías clínicas ni depende de ADNI, Cogstate, OCTAL o TestMyBrain para el cálculo.</w:t>
      </w:r>
    </w:p>
    <w:p>
      <w:pPr>
        <w:pStyle w:val="Heading1"/>
      </w:pPr>
      <w:r>
        <w:t>6. Propuesta de valor</w:t>
      </w:r>
    </w:p>
    <w:p>
      <w:r>
        <w:t>“Observa tu cambio cognitivo respecto de tu propio baseline con una señal clara y trazable.” Beneficios: 4–5 minutos por sesión, comparación intraindividual, tendencia longitudinal, explicación de dominios en informe completo y próximos pasos no prescriptivos. Límites: no diagnostica, no predice MCI/Alzheimer/demencia y no reemplaza evaluación médica.</w:t>
      </w:r>
    </w:p>
    <w:p>
      <w:pPr>
        <w:pStyle w:val="Heading1"/>
      </w:pPr>
      <w:r>
        <w:t>7. Alcance MVP, fuera de alcance y v2</w:t>
      </w:r>
    </w:p>
    <w:p>
      <w:r/>
      <w:r>
        <w:rPr>
          <w:b/>
        </w:rPr>
        <w:t>MVP:</w:t>
      </w:r>
      <w:r>
        <w:t xml:space="preserve"> onboarding, consentimiento, elegibilidad, microtareas, baseline de seis sesiones válidas, seguimiento, cálculo CS-LCM, vista previa, gate de email, PDF completo, emails, admin mínimo, Drive sync, analítica, Sentry y despliegue Vercel.  </w:t>
      </w:r>
    </w:p>
    <w:p>
      <w:r/>
      <w:r>
        <w:rPr>
          <w:b/>
        </w:rPr>
        <w:t>Fuera de alcance:</w:t>
      </w:r>
      <w:r>
        <w:t xml:space="preserve"> GPS, audio pasivo, keylogging, reconocimiento facial, diagnóstico, probabilidad clínica, tratamientos, benchmarking poblacional, app nativa, EHR y automatización clínica.  </w:t>
      </w:r>
    </w:p>
    <w:p>
      <w:r/>
      <w:r>
        <w:rPr>
          <w:b/>
        </w:rPr>
        <w:t>v2:</w:t>
      </w:r>
      <w:r>
        <w:t xml:space="preserve"> Stripe, entrega automática tras pago, suscripción/recordatorios, normas poblacionales solo después de validación, RCI cuando existan fiabilidad/SD apropiadas.</w:t>
      </w:r>
    </w:p>
    <w:p>
      <w:pPr>
        <w:pStyle w:val="Heading1"/>
      </w:pPr>
      <w:r>
        <w:t>8. Flujo end-to-end</w:t>
      </w:r>
    </w:p>
    <w:p>
      <w:r>
        <w:rPr>
          <w:rFonts w:ascii="Roboto Mono" w:hAnsi="Roboto Mono" w:eastAsia="Roboto Mono"/>
          <w:sz w:val="16"/>
        </w:rPr>
        <w:t>flowchart TD</w:t>
      </w:r>
    </w:p>
    <w:p>
      <w:r>
        <w:rPr>
          <w:rFonts w:ascii="Roboto Mono" w:hAnsi="Roboto Mono" w:eastAsia="Roboto Mono"/>
          <w:sz w:val="16"/>
        </w:rPr>
        <w:t>A[Landing] --&gt; B[Consentimiento y elegibilidad]</w:t>
      </w:r>
    </w:p>
    <w:p>
      <w:r>
        <w:rPr>
          <w:rFonts w:ascii="Roboto Mono" w:hAnsi="Roboto Mono" w:eastAsia="Roboto Mono"/>
          <w:sz w:val="16"/>
        </w:rPr>
        <w:t>B --&gt; C[Microtareas]</w:t>
      </w:r>
    </w:p>
    <w:p>
      <w:r>
        <w:rPr>
          <w:rFonts w:ascii="Roboto Mono" w:hAnsi="Roboto Mono" w:eastAsia="Roboto Mono"/>
          <w:sz w:val="16"/>
        </w:rPr>
        <w:t>C --&gt; D{Sesiones válidas &gt;= 6?}</w:t>
      </w:r>
    </w:p>
    <w:p>
      <w:r>
        <w:rPr>
          <w:rFonts w:ascii="Roboto Mono" w:hAnsi="Roboto Mono" w:eastAsia="Roboto Mono"/>
          <w:sz w:val="16"/>
        </w:rPr>
        <w:t>D -- No --&gt; E[Baseline en construcción]</w:t>
      </w:r>
    </w:p>
    <w:p>
      <w:r>
        <w:rPr>
          <w:rFonts w:ascii="Roboto Mono" w:hAnsi="Roboto Mono" w:eastAsia="Roboto Mono"/>
          <w:sz w:val="16"/>
        </w:rPr>
        <w:t>E --&gt; C</w:t>
      </w:r>
    </w:p>
    <w:p>
      <w:r>
        <w:rPr>
          <w:rFonts w:ascii="Roboto Mono" w:hAnsi="Roboto Mono" w:eastAsia="Roboto Mono"/>
          <w:sz w:val="16"/>
        </w:rPr>
        <w:t>D -- Sí --&gt; F[Sesión de seguimiento]</w:t>
      </w:r>
    </w:p>
    <w:p>
      <w:r>
        <w:rPr>
          <w:rFonts w:ascii="Roboto Mono" w:hAnsi="Roboto Mono" w:eastAsia="Roboto Mono"/>
          <w:sz w:val="16"/>
        </w:rPr>
        <w:t>F --&gt; G[CS-LCM 1.0]</w:t>
      </w:r>
    </w:p>
    <w:p>
      <w:r>
        <w:rPr>
          <w:rFonts w:ascii="Roboto Mono" w:hAnsi="Roboto Mono" w:eastAsia="Roboto Mono"/>
          <w:sz w:val="16"/>
        </w:rPr>
        <w:t>G --&gt; H[Vista previa: índice, señal, tendencia, insight]</w:t>
      </w:r>
    </w:p>
    <w:p>
      <w:r>
        <w:rPr>
          <w:rFonts w:ascii="Roboto Mono" w:hAnsi="Roboto Mono" w:eastAsia="Roboto Mono"/>
          <w:sz w:val="16"/>
        </w:rPr>
        <w:t>H --&gt; I[Recibe tu informe completo]</w:t>
      </w:r>
    </w:p>
    <w:p>
      <w:r>
        <w:rPr>
          <w:rFonts w:ascii="Roboto Mono" w:hAnsi="Roboto Mono" w:eastAsia="Roboto Mono"/>
          <w:sz w:val="16"/>
        </w:rPr>
        <w:t>I --&gt; J[Email + consentimiento]</w:t>
      </w:r>
    </w:p>
    <w:p>
      <w:r>
        <w:rPr>
          <w:rFonts w:ascii="Roboto Mono" w:hAnsi="Roboto Mono" w:eastAsia="Roboto Mono"/>
          <w:sz w:val="16"/>
        </w:rPr>
        <w:t>J --&gt; K[Guardar lead y cálculo]</w:t>
      </w:r>
    </w:p>
    <w:p>
      <w:r>
        <w:rPr>
          <w:rFonts w:ascii="Roboto Mono" w:hAnsi="Roboto Mono" w:eastAsia="Roboto Mono"/>
          <w:sz w:val="16"/>
        </w:rPr>
        <w:t>K --&gt; L[Generar PDF completo]</w:t>
      </w:r>
    </w:p>
    <w:p>
      <w:r>
        <w:rPr>
          <w:rFonts w:ascii="Roboto Mono" w:hAnsi="Roboto Mono" w:eastAsia="Roboto Mono"/>
          <w:sz w:val="16"/>
        </w:rPr>
        <w:t>L --&gt; M[Email confirmación usuario]</w:t>
      </w:r>
    </w:p>
    <w:p>
      <w:r>
        <w:rPr>
          <w:rFonts w:ascii="Roboto Mono" w:hAnsi="Roboto Mono" w:eastAsia="Roboto Mono"/>
          <w:sz w:val="16"/>
        </w:rPr>
        <w:t>L --&gt; N[Email OWNER_EMAIL con PDF e inputs/outputs]</w:t>
      </w:r>
    </w:p>
    <w:p>
      <w:r>
        <w:rPr>
          <w:rFonts w:ascii="Roboto Mono" w:hAnsi="Roboto Mono" w:eastAsia="Roboto Mono"/>
          <w:sz w:val="16"/>
        </w:rPr>
        <w:t>N --&gt; O[/admin: leads, embudo, reenvío]</w:t>
      </w:r>
    </w:p>
    <w:p>
      <w:pPr>
        <w:pStyle w:val="Heading1"/>
      </w:pPr>
      <w:r>
        <w:t>9. Historias de usuario US-xx con Gherkin</w:t>
      </w:r>
    </w:p>
    <w:p>
      <w:r/>
      <w:r>
        <w:rPr>
          <w:b/>
        </w:rPr>
        <w:t>US-01 · Elegibilidad.</w:t>
      </w:r>
      <w:r>
        <w:t xml:space="preserve"> Como visitante 55–90, quiero saber si puedo usar el producto.</w:t>
      </w:r>
    </w:p>
    <w:p>
      <w:r>
        <w:rPr>
          <w:rFonts w:ascii="Roboto Mono" w:hAnsi="Roboto Mono" w:eastAsia="Roboto Mono"/>
          <w:sz w:val="16"/>
        </w:rPr>
        <w:t>Given que abro el onboarding</w:t>
      </w:r>
    </w:p>
    <w:p>
      <w:r>
        <w:rPr>
          <w:rFonts w:ascii="Roboto Mono" w:hAnsi="Roboto Mono" w:eastAsia="Roboto Mono"/>
          <w:sz w:val="16"/>
        </w:rPr>
        <w:t>When ingreso edad, país, idioma y educación válidos y acepto el consentimiento</w:t>
      </w:r>
    </w:p>
    <w:p>
      <w:r>
        <w:rPr>
          <w:rFonts w:ascii="Roboto Mono" w:hAnsi="Roboto Mono" w:eastAsia="Roboto Mono"/>
          <w:sz w:val="16"/>
        </w:rPr>
        <w:t>Then puedo iniciar la sesión y se registra el consentimiento versionado</w:t>
      </w:r>
    </w:p>
    <w:p>
      <w:r/>
      <w:r>
        <w:rPr>
          <w:b/>
        </w:rPr>
        <w:t>US-02 · Baseline.</w:t>
      </w:r>
      <w:r>
        <w:t xml:space="preserve"> Como usuario, quiero completar sesiones repetidas para crear mi referencia personal.</w:t>
      </w:r>
    </w:p>
    <w:p>
      <w:r>
        <w:rPr>
          <w:rFonts w:ascii="Roboto Mono" w:hAnsi="Roboto Mono" w:eastAsia="Roboto Mono"/>
          <w:sz w:val="16"/>
        </w:rPr>
        <w:t>Given menos de 6 sesiones válidas</w:t>
      </w:r>
    </w:p>
    <w:p>
      <w:r>
        <w:rPr>
          <w:rFonts w:ascii="Roboto Mono" w:hAnsi="Roboto Mono" w:eastAsia="Roboto Mono"/>
          <w:sz w:val="16"/>
        </w:rPr>
        <w:t>When completo una nueva sesión con quality_pass=true</w:t>
      </w:r>
    </w:p>
    <w:p>
      <w:r>
        <w:rPr>
          <w:rFonts w:ascii="Roboto Mono" w:hAnsi="Roboto Mono" w:eastAsia="Roboto Mono"/>
          <w:sz w:val="16"/>
        </w:rPr>
        <w:t>Then veo progreso de baseline y no se presenta señal clínica</w:t>
      </w:r>
    </w:p>
    <w:p>
      <w:r/>
      <w:r>
        <w:rPr>
          <w:b/>
        </w:rPr>
        <w:t>US-03 · Señal.</w:t>
      </w:r>
      <w:r>
        <w:t xml:space="preserve"> Como usuario con baseline, quiero ver el cambio respecto de mi patrón.</w:t>
      </w:r>
    </w:p>
    <w:p>
      <w:r>
        <w:rPr>
          <w:rFonts w:ascii="Roboto Mono" w:hAnsi="Roboto Mono" w:eastAsia="Roboto Mono"/>
          <w:sz w:val="16"/>
        </w:rPr>
        <w:t>Given 6 sesiones válidas y al menos una de seguimiento</w:t>
      </w:r>
    </w:p>
    <w:p>
      <w:r>
        <w:rPr>
          <w:rFonts w:ascii="Roboto Mono" w:hAnsi="Roboto Mono" w:eastAsia="Roboto Mono"/>
          <w:sz w:val="16"/>
        </w:rPr>
        <w:t>When finaliza el cálculo</w:t>
      </w:r>
    </w:p>
    <w:p>
      <w:r>
        <w:rPr>
          <w:rFonts w:ascii="Roboto Mono" w:hAnsi="Roboto Mono" w:eastAsia="Roboto Mono"/>
          <w:sz w:val="16"/>
        </w:rPr>
        <w:t>Then veo signal_index, category, trend_chart y free_insight</w:t>
      </w:r>
    </w:p>
    <w:p>
      <w:r/>
      <w:r>
        <w:rPr>
          <w:b/>
        </w:rPr>
        <w:t>US-04 · Calidad.</w:t>
      </w:r>
      <w:r/>
    </w:p>
    <w:p>
      <w:r>
        <w:rPr>
          <w:rFonts w:ascii="Roboto Mono" w:hAnsi="Roboto Mono" w:eastAsia="Roboto Mono"/>
          <w:sz w:val="16"/>
        </w:rPr>
        <w:t>Given una sesión marcada quality_pass=false</w:t>
      </w:r>
    </w:p>
    <w:p>
      <w:r>
        <w:rPr>
          <w:rFonts w:ascii="Roboto Mono" w:hAnsi="Roboto Mono" w:eastAsia="Roboto Mono"/>
          <w:sz w:val="16"/>
        </w:rPr>
        <w:t>When se recalcula</w:t>
      </w:r>
    </w:p>
    <w:p>
      <w:r>
        <w:rPr>
          <w:rFonts w:ascii="Roboto Mono" w:hAnsi="Roboto Mono" w:eastAsia="Roboto Mono"/>
          <w:sz w:val="16"/>
        </w:rPr>
        <w:t>Then la sesión se excluye y aumenta quality_excluded_sessions</w:t>
      </w:r>
    </w:p>
    <w:p>
      <w:r/>
      <w:r>
        <w:rPr>
          <w:b/>
        </w:rPr>
        <w:t>US-05 · Informe completo.</w:t>
      </w:r>
      <w:r/>
    </w:p>
    <w:p>
      <w:r>
        <w:rPr>
          <w:rFonts w:ascii="Roboto Mono" w:hAnsi="Roboto Mono" w:eastAsia="Roboto Mono"/>
          <w:sz w:val="16"/>
        </w:rPr>
        <w:t>Given una vista previa</w:t>
      </w:r>
    </w:p>
    <w:p>
      <w:r>
        <w:rPr>
          <w:rFonts w:ascii="Roboto Mono" w:hAnsi="Roboto Mono" w:eastAsia="Roboto Mono"/>
          <w:sz w:val="16"/>
        </w:rPr>
        <w:t>When envío email y consentimiento</w:t>
      </w:r>
    </w:p>
    <w:p>
      <w:r>
        <w:rPr>
          <w:rFonts w:ascii="Roboto Mono" w:hAnsi="Roboto Mono" w:eastAsia="Roboto Mono"/>
          <w:sz w:val="16"/>
        </w:rPr>
        <w:t>Then se crea un lead pseudónimo y se genera el PDF completo</w:t>
      </w:r>
    </w:p>
    <w:p>
      <w:r/>
      <w:r>
        <w:rPr>
          <w:b/>
        </w:rPr>
        <w:t>US-06 · Confirmación.</w:t>
      </w:r>
      <w:r/>
    </w:p>
    <w:p>
      <w:r>
        <w:rPr>
          <w:rFonts w:ascii="Roboto Mono" w:hAnsi="Roboto Mono" w:eastAsia="Roboto Mono"/>
          <w:sz w:val="16"/>
        </w:rPr>
        <w:t>Given una solicitud de informe válida</w:t>
      </w:r>
    </w:p>
    <w:p>
      <w:r>
        <w:rPr>
          <w:rFonts w:ascii="Roboto Mono" w:hAnsi="Roboto Mono" w:eastAsia="Roboto Mono"/>
          <w:sz w:val="16"/>
        </w:rPr>
        <w:t>When se procesa</w:t>
      </w:r>
    </w:p>
    <w:p>
      <w:r>
        <w:rPr>
          <w:rFonts w:ascii="Roboto Mono" w:hAnsi="Roboto Mono" w:eastAsia="Roboto Mono"/>
          <w:sz w:val="16"/>
        </w:rPr>
        <w:t>Then el usuario recibe confirmación y OWNER_EMAIL recibe asunto "[CogniSignal] Solicitud de informe &lt;id&gt;"</w:t>
      </w:r>
    </w:p>
    <w:p>
      <w:r/>
      <w:r>
        <w:rPr>
          <w:b/>
        </w:rPr>
        <w:t>US-07 · Admin.</w:t>
      </w:r>
      <w:r/>
    </w:p>
    <w:p>
      <w:r>
        <w:rPr>
          <w:rFonts w:ascii="Roboto Mono" w:hAnsi="Roboto Mono" w:eastAsia="Roboto Mono"/>
          <w:sz w:val="16"/>
        </w:rPr>
        <w:t>Given un administrador autenticado</w:t>
      </w:r>
    </w:p>
    <w:p>
      <w:r>
        <w:rPr>
          <w:rFonts w:ascii="Roboto Mono" w:hAnsi="Roboto Mono" w:eastAsia="Roboto Mono"/>
          <w:sz w:val="16"/>
        </w:rPr>
        <w:t>When abre /admin</w:t>
      </w:r>
    </w:p>
    <w:p>
      <w:r>
        <w:rPr>
          <w:rFonts w:ascii="Roboto Mono" w:hAnsi="Roboto Mono" w:eastAsia="Roboto Mono"/>
          <w:sz w:val="16"/>
        </w:rPr>
        <w:t>Then puede revisar leads, embudo y reenviar el informe</w:t>
      </w:r>
    </w:p>
    <w:p>
      <w:r/>
      <w:r>
        <w:rPr>
          <w:b/>
        </w:rPr>
        <w:t>US-08 · Drive resiliente.</w:t>
      </w:r>
      <w:r/>
    </w:p>
    <w:p>
      <w:r>
        <w:rPr>
          <w:rFonts w:ascii="Roboto Mono" w:hAnsi="Roboto Mono" w:eastAsia="Roboto Mono"/>
          <w:sz w:val="16"/>
        </w:rPr>
        <w:t>Given que Drive no responde</w:t>
      </w:r>
    </w:p>
    <w:p>
      <w:r>
        <w:rPr>
          <w:rFonts w:ascii="Roboto Mono" w:hAnsi="Roboto Mono" w:eastAsia="Roboto Mono"/>
          <w:sz w:val="16"/>
        </w:rPr>
        <w:t>When la app requiere un archivo</w:t>
      </w:r>
    </w:p>
    <w:p>
      <w:r>
        <w:rPr>
          <w:rFonts w:ascii="Roboto Mono" w:hAnsi="Roboto Mono" w:eastAsia="Roboto Mono"/>
          <w:sz w:val="16"/>
        </w:rPr>
        <w:t>Then usa la última copia válida cacheada hasta 24h y registra el fallo</w:t>
      </w:r>
    </w:p>
    <w:p>
      <w:r/>
      <w:r>
        <w:rPr>
          <w:b/>
        </w:rPr>
        <w:t>US-09 · Idiomas.</w:t>
      </w:r>
      <w:r/>
    </w:p>
    <w:p>
      <w:r>
        <w:rPr>
          <w:rFonts w:ascii="Roboto Mono" w:hAnsi="Roboto Mono" w:eastAsia="Roboto Mono"/>
          <w:sz w:val="16"/>
        </w:rPr>
        <w:t>Given locale es, en o pt</w:t>
      </w:r>
    </w:p>
    <w:p>
      <w:r>
        <w:rPr>
          <w:rFonts w:ascii="Roboto Mono" w:hAnsi="Roboto Mono" w:eastAsia="Roboto Mono"/>
          <w:sz w:val="16"/>
        </w:rPr>
        <w:t>When navego</w:t>
      </w:r>
    </w:p>
    <w:p>
      <w:r>
        <w:rPr>
          <w:rFonts w:ascii="Roboto Mono" w:hAnsi="Roboto Mono" w:eastAsia="Roboto Mono"/>
          <w:sz w:val="16"/>
        </w:rPr>
        <w:t>Then interfaz, emails y PDF usan el locale sin mezclar idiomas</w:t>
      </w:r>
    </w:p>
    <w:p>
      <w:r/>
      <w:r>
        <w:rPr>
          <w:b/>
        </w:rPr>
        <w:t>US-10 · Privacidad.</w:t>
      </w:r>
      <w:r/>
    </w:p>
    <w:p>
      <w:r>
        <w:rPr>
          <w:rFonts w:ascii="Roboto Mono" w:hAnsi="Roboto Mono" w:eastAsia="Roboto Mono"/>
          <w:sz w:val="16"/>
        </w:rPr>
        <w:t>Given un cálculo y un email</w:t>
      </w:r>
    </w:p>
    <w:p>
      <w:r>
        <w:rPr>
          <w:rFonts w:ascii="Roboto Mono" w:hAnsi="Roboto Mono" w:eastAsia="Roboto Mono"/>
          <w:sz w:val="16"/>
        </w:rPr>
        <w:t>When persisten los datos</w:t>
      </w:r>
    </w:p>
    <w:p>
      <w:r>
        <w:rPr>
          <w:rFonts w:ascii="Roboto Mono" w:hAnsi="Roboto Mono" w:eastAsia="Roboto Mono"/>
          <w:sz w:val="16"/>
        </w:rPr>
        <w:t>Then PII y resultados quedan separados por identificador pseudónimo</w:t>
      </w:r>
    </w:p>
    <w:p>
      <w:r/>
      <w:r>
        <w:rPr>
          <w:b/>
        </w:rPr>
        <w:t>US-11 · Stripe opcional.</w:t>
      </w:r>
      <w:r/>
    </w:p>
    <w:p>
      <w:r>
        <w:rPr>
          <w:rFonts w:ascii="Roboto Mono" w:hAnsi="Roboto Mono" w:eastAsia="Roboto Mono"/>
          <w:sz w:val="16"/>
        </w:rPr>
        <w:t>Given MONETIZATION_MODE=stripe</w:t>
      </w:r>
    </w:p>
    <w:p>
      <w:r>
        <w:rPr>
          <w:rFonts w:ascii="Roboto Mono" w:hAnsi="Roboto Mono" w:eastAsia="Roboto Mono"/>
          <w:sz w:val="16"/>
        </w:rPr>
        <w:t>When el pago confirmado llega por webhook firmado</w:t>
      </w:r>
    </w:p>
    <w:p>
      <w:r>
        <w:rPr>
          <w:rFonts w:ascii="Roboto Mono" w:hAnsi="Roboto Mono" w:eastAsia="Roboto Mono"/>
          <w:sz w:val="16"/>
        </w:rPr>
        <w:t>Then el pedido se procesa una sola vez y se entrega el PDF</w:t>
      </w:r>
    </w:p>
    <w:p>
      <w:r/>
      <w:r>
        <w:rPr>
          <w:b/>
        </w:rPr>
        <w:t>US-12 · Accesibilidad.</w:t>
      </w:r>
      <w:r/>
    </w:p>
    <w:p>
      <w:r>
        <w:rPr>
          <w:rFonts w:ascii="Roboto Mono" w:hAnsi="Roboto Mono" w:eastAsia="Roboto Mono"/>
          <w:sz w:val="16"/>
        </w:rPr>
        <w:t>Given navegación solo con teclado</w:t>
      </w:r>
    </w:p>
    <w:p>
      <w:r>
        <w:rPr>
          <w:rFonts w:ascii="Roboto Mono" w:hAnsi="Roboto Mono" w:eastAsia="Roboto Mono"/>
          <w:sz w:val="16"/>
        </w:rPr>
        <w:t>When recorro el flujo principal</w:t>
      </w:r>
    </w:p>
    <w:p>
      <w:r>
        <w:rPr>
          <w:rFonts w:ascii="Roboto Mono" w:hAnsi="Roboto Mono" w:eastAsia="Roboto Mono"/>
          <w:sz w:val="16"/>
        </w:rPr>
        <w:t>Then foco, labels y orden son operables y conformes a WCAG 2.2 AA objetivo</w:t>
      </w:r>
    </w:p>
    <w:p>
      <w:pPr>
        <w:pStyle w:val="Heading1"/>
      </w:pPr>
      <w:r>
        <w:t>10. Requisitos FR-xx y NFR-xx</w:t>
      </w:r>
    </w:p>
    <w:p>
      <w:r/>
      <w:r>
        <w:rPr>
          <w:b/>
        </w:rPr>
        <w:t>FR-01</w:t>
      </w:r>
      <w:r>
        <w:t xml:space="preserve"> validar inputs según `spec/inputs.schema.json`. </w:t>
      </w:r>
      <w:r>
        <w:rPr>
          <w:b/>
        </w:rPr>
        <w:t>FR-02</w:t>
      </w:r>
      <w:r>
        <w:t xml:space="preserve"> portar CS-LCM a TypeScript manteniendo paridad con `model/engine_reference.py`. </w:t>
      </w:r>
      <w:r>
        <w:rPr>
          <w:b/>
        </w:rPr>
        <w:t>FR-03</w:t>
      </w:r>
      <w:r>
        <w:t xml:space="preserve"> excluir sesiones `quality_pass=false`. </w:t>
      </w:r>
      <w:r>
        <w:rPr>
          <w:b/>
        </w:rPr>
        <w:t>FR-04</w:t>
      </w:r>
      <w:r>
        <w:t xml:space="preserve"> construir baseline con 6 sesiones válidas. </w:t>
      </w:r>
      <w:r>
        <w:rPr>
          <w:b/>
        </w:rPr>
        <w:t>FR-05</w:t>
      </w:r>
      <w:r>
        <w:t xml:space="preserve"> exigir mínimo 2 dominios con variabilidad suficiente. </w:t>
      </w:r>
      <w:r>
        <w:rPr>
          <w:b/>
        </w:rPr>
        <w:t>FR-06</w:t>
      </w:r>
      <w:r>
        <w:t xml:space="preserve"> producir todos los outputs definidos en `spec/outputs_spec.json`. </w:t>
      </w:r>
      <w:r>
        <w:rPr>
          <w:b/>
        </w:rPr>
        <w:t>FR-07</w:t>
      </w:r>
      <w:r>
        <w:t xml:space="preserve"> mostrar solo outputs GRATIS en preview. </w:t>
      </w:r>
      <w:r>
        <w:rPr>
          <w:b/>
        </w:rPr>
        <w:t>FR-08</w:t>
      </w:r>
      <w:r>
        <w:t xml:space="preserve"> gate email+consentimiento antes del informe completo. </w:t>
      </w:r>
      <w:r>
        <w:rPr>
          <w:b/>
        </w:rPr>
        <w:t>FR-09</w:t>
      </w:r>
      <w:r>
        <w:t xml:space="preserve"> persistir leads, cálculos y pedidos en Supabase con RLS. </w:t>
      </w:r>
      <w:r>
        <w:rPr>
          <w:b/>
        </w:rPr>
        <w:t>FR-10</w:t>
      </w:r>
      <w:r>
        <w:t xml:space="preserve"> generar PDF con `@react-pdf/renderer`. </w:t>
      </w:r>
      <w:r>
        <w:rPr>
          <w:b/>
        </w:rPr>
        <w:t>FR-11</w:t>
      </w:r>
      <w:r>
        <w:t xml:space="preserve"> enviar confirmación y notificación a owner vía Resend. </w:t>
      </w:r>
      <w:r>
        <w:rPr>
          <w:b/>
        </w:rPr>
        <w:t>FR-12</w:t>
      </w:r>
      <w:r>
        <w:t xml:space="preserve"> leer archivos Drive por nombre, verificar SHA-256, cache 24 h y fallback a última versión válida. </w:t>
      </w:r>
      <w:r>
        <w:rPr>
          <w:b/>
        </w:rPr>
        <w:t>FR-13</w:t>
      </w:r>
      <w:r>
        <w:t xml:space="preserve"> `npm run drive:sync` sube `drive/`. </w:t>
      </w:r>
      <w:r>
        <w:rPr>
          <w:b/>
        </w:rPr>
        <w:t>FR-14</w:t>
      </w:r>
      <w:r>
        <w:t xml:space="preserve"> admin mínimo: leads, embudo, reenvío. </w:t>
      </w:r>
      <w:r>
        <w:rPr>
          <w:b/>
        </w:rPr>
        <w:t>FR-15</w:t>
      </w:r>
      <w:r>
        <w:t xml:space="preserve"> locales es/en/pt mediante next-intl. </w:t>
      </w:r>
      <w:r>
        <w:rPr>
          <w:b/>
        </w:rPr>
        <w:t>FR-16</w:t>
      </w:r>
      <w:r>
        <w:t xml:space="preserve"> emitir eventos de `spec/analytics_events.json`. </w:t>
      </w:r>
      <w:r>
        <w:rPr>
          <w:b/>
        </w:rPr>
        <w:t>FR-17</w:t>
      </w:r>
      <w:r>
        <w:t xml:space="preserve"> Turnstile+rate limit en endpoints sensibles. </w:t>
      </w:r>
      <w:r>
        <w:rPr>
          <w:b/>
        </w:rPr>
        <w:t>FR-18</w:t>
      </w:r>
      <w:r>
        <w:t xml:space="preserve"> Sentry para excepciones. </w:t>
      </w:r>
      <w:r>
        <w:rPr>
          <w:b/>
        </w:rPr>
        <w:t>FR-19</w:t>
      </w:r>
      <w:r>
        <w:t xml:space="preserve"> Stripe detrás de feature flag. </w:t>
      </w:r>
      <w:r>
        <w:rPr>
          <w:b/>
        </w:rPr>
        <w:t>FR-20</w:t>
      </w:r>
      <w:r>
        <w:t xml:space="preserve"> webhook Stripe firmado e idempotente. </w:t>
      </w:r>
      <w:r>
        <w:rPr>
          <w:b/>
        </w:rPr>
        <w:t>FR-21</w:t>
      </w:r>
      <w:r>
        <w:t xml:space="preserve"> almacenar versión de consentimiento. </w:t>
      </w:r>
      <w:r>
        <w:rPr>
          <w:b/>
        </w:rPr>
        <w:t>FR-22</w:t>
      </w:r>
      <w:r>
        <w:t xml:space="preserve"> soportar estados baseline_building, baseline_ready y scored. </w:t>
      </w:r>
      <w:r>
        <w:rPr>
          <w:b/>
        </w:rPr>
        <w:t>FR-23</w:t>
      </w:r>
      <w:r>
        <w:t xml:space="preserve"> mantener `clinical_probability=null`. </w:t>
      </w:r>
      <w:r>
        <w:rPr>
          <w:b/>
        </w:rPr>
        <w:t>FR-24</w:t>
      </w:r>
      <w:r>
        <w:t xml:space="preserve"> no presentar claims diagnósticos/predictivos. </w:t>
      </w:r>
      <w:r>
        <w:rPr>
          <w:b/>
        </w:rPr>
        <w:t>FR-25</w:t>
      </w:r>
      <w:r>
        <w:t xml:space="preserve"> exportar PDF completo a owner en validación.</w:t>
      </w:r>
    </w:p>
    <w:p>
      <w:r/>
      <w:r>
        <w:rPr>
          <w:b/>
        </w:rPr>
        <w:t>NFR-01</w:t>
      </w:r>
      <w:r>
        <w:t xml:space="preserve"> p95 de Route Handlers de lectura/cálculo &lt;2 s sin contar proveedores externos. </w:t>
      </w:r>
      <w:r>
        <w:rPr>
          <w:b/>
        </w:rPr>
        <w:t>NFR-02</w:t>
      </w:r>
      <w:r>
        <w:t xml:space="preserve"> Lighthouse móvil &gt;=90 en Performance, Accessibility, Best Practices y SEO en rutas públicas clave. </w:t>
      </w:r>
      <w:r>
        <w:rPr>
          <w:b/>
        </w:rPr>
        <w:t>NFR-03</w:t>
      </w:r>
      <w:r>
        <w:t xml:space="preserve"> TypeScript strict sin `any` no justificado. </w:t>
      </w:r>
      <w:r>
        <w:rPr>
          <w:b/>
        </w:rPr>
        <w:t>NFR-04</w:t>
      </w:r>
      <w:r>
        <w:t xml:space="preserve"> pruebas Vitest + Playwright; 20/20 vectores pasan. </w:t>
      </w:r>
      <w:r>
        <w:rPr>
          <w:b/>
        </w:rPr>
        <w:t>NFR-05</w:t>
      </w:r>
      <w:r>
        <w:t xml:space="preserve"> disponibilidad objetivo MVP 99.5% mensual, excluyendo mantenimiento. </w:t>
      </w:r>
      <w:r>
        <w:rPr>
          <w:b/>
        </w:rPr>
        <w:t>NFR-06</w:t>
      </w:r>
      <w:r>
        <w:t xml:space="preserve"> secretos solo en variables de entorno. </w:t>
      </w:r>
      <w:r>
        <w:rPr>
          <w:b/>
        </w:rPr>
        <w:t>NFR-07</w:t>
      </w:r>
      <w:r>
        <w:t xml:space="preserve"> CSP, headers seguros, validación de origen y sanitización. </w:t>
      </w:r>
      <w:r>
        <w:rPr>
          <w:b/>
        </w:rPr>
        <w:t>NFR-08</w:t>
      </w:r>
      <w:r>
        <w:t xml:space="preserve"> minimización de datos y borrado/exportación administrable. </w:t>
      </w:r>
      <w:r>
        <w:rPr>
          <w:b/>
        </w:rPr>
        <w:t>NFR-09</w:t>
      </w:r>
      <w:r>
        <w:t xml:space="preserve"> costo variable objetivo por informe en validación &lt;= US$0.50 excluyendo trabajo humano; alertar si &gt;US$1.00. </w:t>
      </w:r>
      <w:r>
        <w:rPr>
          <w:b/>
        </w:rPr>
        <w:t>NFR-10</w:t>
      </w:r>
      <w:r>
        <w:t xml:space="preserve"> PDF generado &lt;10 s p95. </w:t>
      </w:r>
      <w:r>
        <w:rPr>
          <w:b/>
        </w:rPr>
        <w:t>NFR-11</w:t>
      </w:r>
      <w:r>
        <w:t xml:space="preserve"> cache Drive máximo 24 h y checksum obligatorio. </w:t>
      </w:r>
      <w:r>
        <w:rPr>
          <w:b/>
        </w:rPr>
        <w:t>NFR-12</w:t>
      </w:r>
      <w:r>
        <w:t xml:space="preserve"> logs sin email ni resultados cognitivos en texto plano. </w:t>
      </w:r>
      <w:r>
        <w:rPr>
          <w:b/>
        </w:rPr>
        <w:t>NFR-13</w:t>
      </w:r>
      <w:r>
        <w:t xml:space="preserve"> responsive desde 320 px. </w:t>
      </w:r>
      <w:r>
        <w:rPr>
          <w:b/>
        </w:rPr>
        <w:t>NFR-14</w:t>
      </w:r>
      <w:r>
        <w:t xml:space="preserve"> WCAG 2.2 AA objetivo. </w:t>
      </w:r>
      <w:r>
        <w:rPr>
          <w:b/>
        </w:rPr>
        <w:t>NFR-15</w:t>
      </w:r>
      <w:r>
        <w:t xml:space="preserve"> dependencias críticas fijadas y auditadas en CI.</w:t>
      </w:r>
    </w:p>
    <w:p>
      <w:pPr>
        <w:pStyle w:val="Heading1"/>
      </w:pPr>
      <w:r>
        <w:t>11. Inputs</w:t>
      </w:r>
    </w:p>
    <w:p>
      <w:r>
        <w:t>Fuente canónica: `spec/inputs.schema.json`. UX de captura y restricciones: `ux/ux_spec.md`, `ux/components.md` y `ux/sitemap_flows.md`. No duplicar el esquema en código fuera de tipos generados/compartidos.</w:t>
      </w:r>
    </w:p>
    <w:p>
      <w:pPr>
        <w:pStyle w:val="Heading1"/>
      </w:pPr>
      <w:r>
        <w:t>12. Modelo</w:t>
      </w:r>
    </w:p>
    <w:p>
      <w:r>
        <w:t>Fuente canónica: `spec/model_spec.json`, `model/engine_reference.py`, `model/qa_engine.py` y `model/model_card.md`. El port TypeScript debe reproducir salidas con tolerancia definida en pruebas; cualquier divergencia bloquea release.</w:t>
      </w:r>
    </w:p>
    <w:p>
      <w:pPr>
        <w:pStyle w:val="Heading1"/>
      </w:pPr>
      <w:r>
        <w:t>13. Base de datos y Drive</w:t>
      </w:r>
    </w:p>
    <w:p>
      <w:r>
        <w:t>Esquema SQL y RLS: `spec/db_schema.sql`. Manifest Drive: `spec/drive_manifest.json`; contenido fuente: `drive/`; operación: `docs/DRIVE_SETUP.md`. La app busca bajo `/Apps/cognisignal/` por nombre/ruta lógica, verifica checksum y registra versión.</w:t>
      </w:r>
    </w:p>
    <w:p>
      <w:pPr>
        <w:pStyle w:val="Heading1"/>
      </w:pPr>
      <w:r>
        <w:t>14. Outputs y niveles de acceso</w:t>
      </w:r>
    </w:p>
    <w:p>
      <w:r>
        <w:t>Fuente canónica: `spec/outputs_spec.json`. GRATIS: `signal_index`, `category`, `trend_chart`, `free_insight`. INFORME_COMPLETO: `domain_breakdown`, `personal_baseline_comparison`, `sensitivity`, `methodology`, `action_plan`, `scenarios`. SUSCRIPCION: `longitudinal_tracking`. El acceso nunca cambia el cálculo subyacente.</w:t>
      </w:r>
    </w:p>
    <w:p>
      <w:pPr>
        <w:pStyle w:val="Heading1"/>
      </w:pPr>
      <w:r>
        <w:t>15. UX/UI</w:t>
      </w:r>
    </w:p>
    <w:p>
      <w:r>
        <w:t>Fuente canónica: `ux/ux_spec.md`, `ux/components.md`, `spec/design_tokens.json`, `spec/copy_i18n.json` y `ux/prototype.html`. Un CTA primario por pantalla; progreso explícito; disclaimers visibles; no usar patrones alarmistas.</w:t>
      </w:r>
    </w:p>
    <w:p>
      <w:pPr>
        <w:pStyle w:val="Heading1"/>
      </w:pPr>
      <w:r>
        <w:t>16. Informe PDF</w:t>
      </w:r>
    </w:p>
    <w:p>
      <w:r>
        <w:t>Layout canónico: `ux/report_layout.md`. Implementar con `@react-pdf/renderer`, locales es/en/pt, ID de informe, versión del modelo, fecha, señal, tendencia, desglose, sensibilidad, metodología, plan y disclaimer. No incluir diagnóstico ni probabilidad de enfermedad.</w:t>
      </w:r>
    </w:p>
    <w:p>
      <w:pPr>
        <w:pStyle w:val="Heading1"/>
      </w:pPr>
      <w:r>
        <w:t>17. Monetización y tracción</w:t>
      </w:r>
    </w:p>
    <w:p>
      <w:r>
        <w:t>`MONETIZATION_MODE=validation` por defecto. Preview gratis → formulario “Recibe tu informe completo” → lead → confirmación → owner recibe inputs, resultados y PDF. La lista de espera de suscripción es opcional. Umbral operativo de activación de cobro para este build: &gt;=25% preview→email y &gt;=50 solicitudes en 14 días; además revisar señales heredadas de `spec/monetizacion.json` (200 previews, &gt;=35% preview→request, repetición &gt;=25% en 30 días). Stripe solo se activa tras decisión documentada.</w:t>
      </w:r>
    </w:p>
    <w:p>
      <w:pPr>
        <w:pStyle w:val="Heading1"/>
      </w:pPr>
      <w:r>
        <w:t>18. Emails</w:t>
      </w:r>
    </w:p>
    <w:p>
      <w:r>
        <w:t>Usuario: confirmación de solicitud, sin claims clínicos. Owner: asunto exacto `[CogniSignal] Solicitud de informe &lt;id&gt;`, ID, locale, inputs estructurados sin PII innecesaria, outputs y PDF adjunto/enlace firmado. En Stripe: confirmación de pago y entrega. SPF/DKIM/DMARC obligatorios antes de producción.</w:t>
      </w:r>
    </w:p>
    <w:p>
      <w:pPr>
        <w:pStyle w:val="Heading1"/>
      </w:pPr>
      <w:r>
        <w:t>19. Arquitectura y stack</w:t>
      </w:r>
    </w:p>
    <w:p>
      <w:r>
        <w:t>Next.js App Router + TypeScript strict; Tailwind + shadcn/ui; Route Handlers; motor TypeScript portado desde Python; Supabase/Postgres+RLS; Google Drive API service account; Resend; `@react-pdf/renderer`; next-intl; PostHog; Sentry; Cloudflare Turnstile; rate limit; Vitest; Playwright; GitHub Actions; Stripe feature flag. Deploy primario Vercel; Netlify como alternativa si se preservan Route Handlers/runtime compatibles.</w:t>
      </w:r>
    </w:p>
    <w:p>
      <w:pPr>
        <w:pStyle w:val="Heading1"/>
      </w:pPr>
      <w:r>
        <w:t>20. API (OpenAPI 3.1)</w:t>
      </w:r>
    </w:p>
    <w:p>
      <w:r>
        <w:t>Contrato completo en `spec/openapi.yaml`. Endpoints mínimos: health, calculate, report request, report PDF, admin leads/resend, Drive manifest status y Stripe webhook opcional. Validar request/response y mantener errores sin revelar datos sensibles.</w:t>
      </w:r>
    </w:p>
    <w:p>
      <w:pPr>
        <w:pStyle w:val="Heading1"/>
      </w:pPr>
      <w:r>
        <w:t>21. Modelo de datos con RLS</w:t>
      </w:r>
    </w:p>
    <w:p>
      <w:r>
        <w:t>Ver `spec/db_schema.sql`. Entidades: profiles/participants pseudónimos, sessions, calculations, leads, reports, orders, webhook_events, consent_records. Cliente anónimo solo puede crear sesión/lead mediante funciones o Route Handlers; lectura directa de datos sensibles denegada. Admin mediante service role exclusivamente en servidor.</w:t>
      </w:r>
    </w:p>
    <w:p>
      <w:pPr>
        <w:pStyle w:val="Heading1"/>
      </w:pPr>
      <w:r>
        <w:t>22. Seguridad, privacidad y legal</w:t>
      </w:r>
    </w:p>
    <w:p>
      <w:r>
        <w:t>Aplicar minimización, separación PII/resultados, cifrado en tránsito y reposo del proveedor, rotación de secretos, retención configurable, registro de consentimiento y procesos de acceso/borrado. Diseñar para GDPR, CCPA/CPRA, LGPD y Ley peruana 29733; la aplicabilidad final y textos legales deben ser revisados por asesoría jurídica local antes de escalar. No vender datos ni reutilizar resultados para entrenamiento sin consentimiento específico. Disclaimers: monitor estadístico no diagnóstico; stable no descarta patología; síntomas funcionales requieren atención profesional.</w:t>
      </w:r>
    </w:p>
    <w:p>
      <w:pPr>
        <w:pStyle w:val="Heading1"/>
      </w:pPr>
      <w:r>
        <w:t>23. Accesibilidad e i18n</w:t>
      </w:r>
    </w:p>
    <w:p>
      <w:r>
        <w:t>WCAG 2.2 AA objetivo. Teclado completo, foco visible, targets adecuados, contraste AA, texto escalable, `aria-live` en progreso/resultados, no depender solo de color. Idiomas es/en/pt con next-intl; formatos locales de fecha/número; ninguna cadena UI hardcodeada fuera del catálogo salvo IDs técnicos.</w:t>
      </w:r>
    </w:p>
    <w:p>
      <w:pPr>
        <w:pStyle w:val="Heading1"/>
      </w:pPr>
      <w:r>
        <w:t>24. Analítica y KPIs</w:t>
      </w:r>
    </w:p>
    <w:p>
      <w:r>
        <w:t>Eventos canónicos en `spec/analytics_events.json`. KPIs: visit→start &gt;=35%; start→preview &gt;=70%; preview→email objetivo &gt;=25% (go-to-charge fuerte &gt;=35%); &gt;=50 solicitudes/14 días como señal de demanda; repetición 30d &gt;=25%; error rate &lt;1%; PDF success &gt;=99%; p95 &lt;2 s. PostHog sin PII; embudo visible en `/admin`.</w:t>
      </w:r>
    </w:p>
    <w:p>
      <w:pPr>
        <w:pStyle w:val="Heading1"/>
      </w:pPr>
      <w:r>
        <w:t>25. SEO y adquisición</w:t>
      </w:r>
    </w:p>
    <w:p>
      <w:r>
        <w:t>Landing indexable con metadata localizada, OpenGraph, sitemap y JSON-LD de software/website cuando corresponda. No indexar `/admin`, resultados ni URLs con IDs. Mensaje SEO evita “diagnóstico”, “predice Alzheimer” o equivalentes. Canales iniciales y mensajes en `docs/TRACTION_PLAN.md`.</w:t>
      </w:r>
    </w:p>
    <w:p>
      <w:pPr>
        <w:pStyle w:val="Heading1"/>
      </w:pPr>
      <w:r>
        <w:t>26. Plan de pruebas</w:t>
      </w:r>
    </w:p>
    <w:p>
      <w:r>
        <w:t>Unit: motor, validadores, permisos, cálculo de hashes. Contract: OpenAPI. Regression: 20/20 `spec/test_vectors.json`. Robustez: T21–T30 documentados en QA (calidad, unidades, NaN/Infinity, fechas, &gt;104, extras, monotonicidad). Integration: Supabase, Drive fallback, Resend mock, Stripe mock. E2E Playwright: onboarding→preview→lead→PDF→admin. A11y: axe + teclado. Performance: Lighthouse CI. Security: RLS tests, rate-limit, Turnstile, webhook signature/idempotency.</w:t>
      </w:r>
    </w:p>
    <w:p>
      <w:pPr>
        <w:pStyle w:val="Heading1"/>
      </w:pPr>
      <w:r>
        <w:t>27. Despliegue y operación</w:t>
      </w:r>
    </w:p>
    <w:p>
      <w:r>
        <w:t>GitHub Actions ejecuta lint, typecheck, unit, regression, build, Playwright smoke y Lighthouse. Preview deployments por PR; producción desde rama protegida. Variables según `.env.example`. Sentry release tracking. Runbook Drive: checksum/fallback. DB migrations versionadas. Rollback por Vercel deployment y migraciones backward-compatible.</w:t>
      </w:r>
    </w:p>
    <w:p>
      <w:pPr>
        <w:pStyle w:val="Heading1"/>
      </w:pPr>
      <w:r>
        <w:t>28. Definition of Done</w:t>
      </w:r>
    </w:p>
    <w:p>
      <w:r>
        <w:t>Build limpio; TypeScript strict; 20/20 vectores; e2e principal verde; Lighthouse móvil &gt;=90; RLS probado; checksums Drive válidos; emails de prueba entregados; PDF visualmente correcto en 3 locales; admin funcional; sin marcadores pendientes; sin secretos; legal/disclaimer publicado; analítica recibe eventos; Sentry recibe evento de prueba; documentación consistente; `docs/final_audit.md` PASS.</w:t>
      </w:r>
    </w:p>
    <w:p>
      <w:pPr>
        <w:pStyle w:val="Heading1"/>
      </w:pPr>
      <w:r>
        <w:t>29. Riesgos</w:t>
      </w:r>
    </w:p>
    <w:p>
      <w:r>
        <w:t>R1: utilidad/fiabilidad no validada → mantener claims limitados y estudio prospectivo. R2: fatiga/práctica → medir calidad y repetición. R3: ansiedad del usuario → lenguaje neutral y contexto. R4: sesgo por dispositivo/idioma → telemetría y auditoría. R5: Drive indisponible → cache/fallback. R6: fuga de PII → separación, RLS y logs minimizados. R7: baja conversión → validar antes de cobro. R8: naming/trademark → revisión antes de inversión de marca.</w:t>
      </w:r>
    </w:p>
    <w:p>
      <w:pPr>
        <w:pStyle w:val="Heading1"/>
      </w:pPr>
      <w:r>
        <w:t>30. Supuestos</w:t>
      </w:r>
    </w:p>
    <w:p>
      <w:r>
        <w:t>Usuarios 55+ pueden completar microtareas web de 4–5 min; cadencia semanal es aceptable; seis sesiones forman un baseline preliminar; dos dominios válidos son suficientes preliminarmente; parámetros EWMA son estadísticos, no clínicos; scoring es idéntico en baseline/seguimiento; email es un proxy razonable de intención de valor; servicio de email/Drive/Supabase está disponible en mercados objetivo.</w:t>
      </w:r>
    </w:p>
    <w:p>
      <w:pPr>
        <w:pStyle w:val="Heading1"/>
      </w:pPr>
      <w:r>
        <w:t>31. Trazabilidad US↔FR↔test</w:t>
      </w:r>
    </w:p>
    <w:p>
      <w:r>
        <w:rPr>
          <w:rFonts w:ascii="Roboto Mono" w:hAnsi="Roboto Mono" w:eastAsia="Roboto Mono"/>
          <w:sz w:val="15"/>
        </w:rPr>
        <w:t>| US | FR | Prueba |</w:t>
      </w:r>
    </w:p>
    <w:p>
      <w:r>
        <w:rPr>
          <w:rFonts w:ascii="Roboto Mono" w:hAnsi="Roboto Mono" w:eastAsia="Roboto Mono"/>
          <w:sz w:val="15"/>
        </w:rPr>
        <w:t>|---|---|---|</w:t>
      </w:r>
    </w:p>
    <w:p>
      <w:r>
        <w:rPr>
          <w:rFonts w:ascii="Roboto Mono" w:hAnsi="Roboto Mono" w:eastAsia="Roboto Mono"/>
          <w:sz w:val="15"/>
        </w:rPr>
        <w:t>| US-01 | FR-01, FR-21 | AT-01, AT-02 |</w:t>
      </w:r>
    </w:p>
    <w:p>
      <w:r>
        <w:rPr>
          <w:rFonts w:ascii="Roboto Mono" w:hAnsi="Roboto Mono" w:eastAsia="Roboto Mono"/>
          <w:sz w:val="15"/>
        </w:rPr>
        <w:t>| US-02 | FR-03, FR-04, FR-22 | AT-03, TV-T01..T20 |</w:t>
      </w:r>
    </w:p>
    <w:p>
      <w:r>
        <w:rPr>
          <w:rFonts w:ascii="Roboto Mono" w:hAnsi="Roboto Mono" w:eastAsia="Roboto Mono"/>
          <w:sz w:val="15"/>
        </w:rPr>
        <w:t>| US-03 | FR-02, FR-06, FR-07, FR-23 | AT-04, REG-20 |</w:t>
      </w:r>
    </w:p>
    <w:p>
      <w:r>
        <w:rPr>
          <w:rFonts w:ascii="Roboto Mono" w:hAnsi="Roboto Mono" w:eastAsia="Roboto Mono"/>
          <w:sz w:val="15"/>
        </w:rPr>
        <w:t>| US-04 | FR-03 | AT-05 |</w:t>
      </w:r>
    </w:p>
    <w:p>
      <w:r>
        <w:rPr>
          <w:rFonts w:ascii="Roboto Mono" w:hAnsi="Roboto Mono" w:eastAsia="Roboto Mono"/>
          <w:sz w:val="15"/>
        </w:rPr>
        <w:t>| US-05 | FR-08, FR-09, FR-10, FR-25 | AT-06, E2E-01 |</w:t>
      </w:r>
    </w:p>
    <w:p>
      <w:r>
        <w:rPr>
          <w:rFonts w:ascii="Roboto Mono" w:hAnsi="Roboto Mono" w:eastAsia="Roboto Mono"/>
          <w:sz w:val="15"/>
        </w:rPr>
        <w:t>| US-06 | FR-11 | AT-07 |</w:t>
      </w:r>
    </w:p>
    <w:p>
      <w:r>
        <w:rPr>
          <w:rFonts w:ascii="Roboto Mono" w:hAnsi="Roboto Mono" w:eastAsia="Roboto Mono"/>
          <w:sz w:val="15"/>
        </w:rPr>
        <w:t>| US-07 | FR-14 | AT-08 |</w:t>
      </w:r>
    </w:p>
    <w:p>
      <w:r>
        <w:rPr>
          <w:rFonts w:ascii="Roboto Mono" w:hAnsi="Roboto Mono" w:eastAsia="Roboto Mono"/>
          <w:sz w:val="15"/>
        </w:rPr>
        <w:t>| US-08 | FR-12, FR-13 | AT-09, AT-10 |</w:t>
      </w:r>
    </w:p>
    <w:p>
      <w:r>
        <w:rPr>
          <w:rFonts w:ascii="Roboto Mono" w:hAnsi="Roboto Mono" w:eastAsia="Roboto Mono"/>
          <w:sz w:val="15"/>
        </w:rPr>
        <w:t>| US-09 | FR-15 | AT-11 |</w:t>
      </w:r>
    </w:p>
    <w:p>
      <w:r>
        <w:rPr>
          <w:rFonts w:ascii="Roboto Mono" w:hAnsi="Roboto Mono" w:eastAsia="Roboto Mono"/>
          <w:sz w:val="15"/>
        </w:rPr>
        <w:t>| US-10 | FR-09, FR-21 | AT-12, SEC-01 |</w:t>
      </w:r>
    </w:p>
    <w:p>
      <w:r>
        <w:rPr>
          <w:rFonts w:ascii="Roboto Mono" w:hAnsi="Roboto Mono" w:eastAsia="Roboto Mono"/>
          <w:sz w:val="15"/>
        </w:rPr>
        <w:t>| US-11 | FR-19, FR-20 | AT-13 |</w:t>
      </w:r>
    </w:p>
    <w:p>
      <w:r>
        <w:rPr>
          <w:rFonts w:ascii="Roboto Mono" w:hAnsi="Roboto Mono" w:eastAsia="Roboto Mono"/>
          <w:sz w:val="15"/>
        </w:rPr>
        <w:t>| US-12 | NFR-13, NFR-14 | A11Y-01 |</w:t>
      </w:r>
    </w:p>
    <w:p>
      <w:r>
        <w:rPr>
          <w:rFonts w:ascii="Roboto Mono" w:hAnsi="Roboto Mono" w:eastAsia="Roboto Mono"/>
          <w:sz w:val="15"/>
        </w:rPr>
        <w:t>| US-02 | FR-05 | AT-03, REG-20 |</w:t>
      </w:r>
    </w:p>
    <w:p>
      <w:r>
        <w:rPr>
          <w:rFonts w:ascii="Roboto Mono" w:hAnsi="Roboto Mono" w:eastAsia="Roboto Mono"/>
          <w:sz w:val="15"/>
        </w:rPr>
        <w:t>| US-03 | FR-16 | OBS-01 |</w:t>
      </w:r>
    </w:p>
    <w:p>
      <w:r>
        <w:rPr>
          <w:rFonts w:ascii="Roboto Mono" w:hAnsi="Roboto Mono" w:eastAsia="Roboto Mono"/>
          <w:sz w:val="15"/>
        </w:rPr>
        <w:t>| US-05 | FR-17 | AT-06, SEC-02 |</w:t>
      </w:r>
    </w:p>
    <w:p>
      <w:r>
        <w:rPr>
          <w:rFonts w:ascii="Roboto Mono" w:hAnsi="Roboto Mono" w:eastAsia="Roboto Mono"/>
          <w:sz w:val="15"/>
        </w:rPr>
        <w:t>| US-06 | FR-18 | OBS-01 |</w:t>
      </w:r>
    </w:p>
    <w:p>
      <w:r>
        <w:rPr>
          <w:rFonts w:ascii="Roboto Mono" w:hAnsi="Roboto Mono" w:eastAsia="Roboto Mono"/>
          <w:sz w:val="15"/>
        </w:rPr>
        <w:t>| US-03 | FR-24 | CONTENT-01 |</w:t>
      </w:r>
    </w:p>
    <w:p>
      <w:pPr>
        <w:pStyle w:val="Heading1"/>
      </w:pPr>
      <w:r>
        <w:t>32. Anexos</w:t>
      </w:r>
    </w:p>
    <w:p>
      <w:r>
        <w:t>Orden de lectura para implementación: `README_START_HERE.md` → `BUILD_PROMPT.md` → este PRD → `TASKS.md` → `spec/*` → `ux/*` → `docs/ACCEPTANCE_TESTS.md`. Evidencia heredada permanece en `01_estrategia/`, `02_datos_modelo/` y `03_qa_ux/`. Decisiones y supuestos: `docs/decisions_log.md` y `handoff.json`.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 w:eastAsia="Roboto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oboto" w:hAnsi="Roboto" w:eastAsia="Roboto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