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Roboto" w:hAnsi="Roboto"/>
          <w:sz w:val="48"/>
        </w:rPr>
        <w:t>MorrowAge — Brief estratégico · Etapa 1</w:t>
      </w:r>
    </w:p>
    <w:p>
      <w:pPr>
        <w:widowControl/>
      </w:pPr>
      <w:r>
        <w:rPr>
          <w:rFonts w:ascii="Roboto" w:hAnsi="Roboto"/>
          <w:b/>
          <w:sz w:val="18"/>
        </w:rPr>
        <w:t>Versión:</w:t>
      </w:r>
      <w:r>
        <w:rPr>
          <w:rFonts w:ascii="Roboto" w:hAnsi="Roboto"/>
          <w:sz w:val="18"/>
        </w:rPr>
        <w:t xml:space="preserve"> v1 · </w:t>
      </w:r>
      <w:r>
        <w:rPr>
          <w:rFonts w:ascii="Roboto" w:hAnsi="Roboto"/>
          <w:b/>
          <w:sz w:val="18"/>
        </w:rPr>
        <w:t>Fecha:</w:t>
      </w:r>
      <w:r>
        <w:rPr>
          <w:rFonts w:ascii="Roboto" w:hAnsi="Roboto"/>
          <w:sz w:val="18"/>
        </w:rPr>
        <w:t xml:space="preserve"> 6 oct 2026 · </w:t>
      </w:r>
      <w:r>
        <w:rPr>
          <w:rFonts w:ascii="Roboto" w:hAnsi="Roboto"/>
          <w:b/>
          <w:sz w:val="18"/>
        </w:rPr>
        <w:t>Veredicto:</w:t>
      </w:r>
      <w:r>
        <w:rPr>
          <w:rFonts w:ascii="Roboto" w:hAnsi="Roboto"/>
          <w:sz w:val="18"/>
        </w:rPr>
        <w:t xml:space="preserve"> PIVOT · </w:t>
      </w:r>
      <w:r>
        <w:rPr>
          <w:rFonts w:ascii="Roboto" w:hAnsi="Roboto"/>
          <w:b/>
          <w:sz w:val="18"/>
        </w:rPr>
        <w:t>Score:</w:t>
      </w:r>
      <w:r>
        <w:rPr>
          <w:rFonts w:ascii="Roboto" w:hAnsi="Roboto"/>
          <w:sz w:val="18"/>
        </w:rPr>
        <w:t xml:space="preserve"> 86/100</w:t>
      </w:r>
    </w:p>
    <w:p>
      <w:pPr>
        <w:spacing w:before="80" w:after="120"/>
        <w:ind w:left="198" w:right="142"/>
        <w:shd w:fill="EEF5F5"/>
      </w:pPr>
      <w:r>
        <w:rPr>
          <w:rFonts w:ascii="Roboto" w:hAnsi="Roboto"/>
          <w:b/>
          <w:sz w:val="18"/>
        </w:rPr>
        <w:t>Nota de entrada.</w:t>
      </w:r>
      <w:r>
        <w:rPr>
          <w:rFonts w:ascii="Roboto" w:hAnsi="Roboto"/>
          <w:sz w:val="18"/>
        </w:rPr>
        <w:t xml:space="preserve"> La URL de Notion titulada “BioAge” no fue recuperable mediante acceso web público. No se detuvo el proceso: se tomó el concepto de predictor B2C de edad biológica como hipótesis y se registra esta limitación en </w:t>
      </w:r>
      <w:r>
        <w:rPr>
          <w:rFonts w:ascii="Roboto Mono" w:hAnsi="Roboto Mono"/>
          <w:sz w:val="17"/>
        </w:rPr>
        <w:t>handoff.json</w:t>
      </w:r>
      <w:r>
        <w:rPr>
          <w:rFonts w:ascii="Roboto" w:hAnsi="Roboto"/>
          <w:sz w:val="18"/>
        </w:rPr>
        <w:t xml:space="preserve">. El pivote recomendado redefine el output como una </w:t>
      </w:r>
      <w:r>
        <w:rPr>
          <w:rFonts w:ascii="Roboto" w:hAnsi="Roboto"/>
          <w:b/>
          <w:sz w:val="18"/>
        </w:rPr>
        <w:t>Healthspan Age equivalente por riesgo</w:t>
      </w:r>
      <w:r>
        <w:rPr>
          <w:rFonts w:ascii="Roboto" w:hAnsi="Roboto"/>
          <w:sz w:val="18"/>
        </w:rPr>
        <w:t>, no como una medición celular o epigenética.</w:t>
      </w:r>
    </w:p>
    <w:p>
      <w:pPr>
        <w:pStyle w:val="Heading1"/>
      </w:pPr>
      <w:r>
        <w:rPr>
          <w:rFonts w:ascii="Roboto" w:hAnsi="Roboto"/>
          <w:sz w:val="30"/>
        </w:rPr>
        <w:t>1. One-liner</w:t>
      </w:r>
    </w:p>
    <w:p>
      <w:pPr>
        <w:widowControl/>
      </w:pPr>
      <w:r>
        <w:rPr>
          <w:rFonts w:ascii="Roboto" w:hAnsi="Roboto"/>
          <w:sz w:val="18"/>
        </w:rPr>
        <w:t>Para adultos de 35–69 años que quieren saber si sus hábitos los están acercando a una vejez saludable sin pagar un laboratorio, MorrowAge predice su riesgo de mortalidad a 10 años y lo traduce a una Healthspan Age equivalente a partir de 7–8 datos simples, entregando una edad-riesgo, rango de confianza y principales impulsores para que prioricen cambios de estilo de vida y decidan si vale la pena una evaluación clínica más profunda.</w:t>
      </w:r>
    </w:p>
    <w:p>
      <w:pPr>
        <w:pStyle w:val="Heading1"/>
      </w:pPr>
      <w:r>
        <w:rPr>
          <w:rFonts w:ascii="Roboto" w:hAnsi="Roboto"/>
          <w:sz w:val="30"/>
        </w:rPr>
        <w:t>2. Dolor global con evidencia</w:t>
      </w:r>
    </w:p>
    <w:tbl>
      <w:tblPr>
        <w:tblStyle w:val="TableGrid"/>
        <w:tblW w:type="auto" w:w="0"/>
        <w:jc w:val="center"/>
        <w:tblLayout w:type="autofit"/>
        <w:tblLook w:firstColumn="1" w:firstRow="1" w:lastColumn="0" w:lastRow="0" w:noHBand="0" w:noVBand="1" w:val="04A0"/>
      </w:tblPr>
      <w:tblGrid>
        <w:gridCol w:w="2052"/>
        <w:gridCol w:w="2052"/>
        <w:gridCol w:w="2052"/>
        <w:gridCol w:w="2052"/>
        <w:gridCol w:w="2052"/>
      </w:tblGrid>
      <w:tr>
        <w:trPr>
          <w:tblHeader w:val="true"/>
        </w:trPr>
        <w:tc>
          <w:tcPr>
            <w:tcW w:type="dxa" w:w="2052"/>
            <w:shd w:fill="DCEBEC"/>
            <w:tcMar>
              <w:top w:w="70" w:type="dxa"/>
              <w:start w:w="80" w:type="dxa"/>
              <w:bottom w:w="70" w:type="dxa"/>
              <w:end w:w="80" w:type="dxa"/>
            </w:tcMar>
            <w:vAlign w:val="center"/>
          </w:tcPr>
          <w:p>
            <w:pPr>
              <w:spacing w:after="0"/>
            </w:pPr>
            <w:r>
              <w:rPr>
                <w:rFonts w:ascii="Roboto" w:hAnsi="Roboto"/>
                <w:b/>
                <w:color w:val="163B43"/>
                <w:sz w:val="16"/>
              </w:rPr>
              <w:t>Dato</w:t>
            </w:r>
          </w:p>
        </w:tc>
        <w:tc>
          <w:tcPr>
            <w:tcW w:type="dxa" w:w="2052"/>
            <w:shd w:fill="DCEBEC"/>
            <w:tcMar>
              <w:top w:w="70" w:type="dxa"/>
              <w:start w:w="80" w:type="dxa"/>
              <w:bottom w:w="70" w:type="dxa"/>
              <w:end w:w="80" w:type="dxa"/>
            </w:tcMar>
            <w:vAlign w:val="center"/>
          </w:tcPr>
          <w:p>
            <w:pPr>
              <w:spacing w:after="0"/>
            </w:pPr>
            <w:r>
              <w:rPr>
                <w:rFonts w:ascii="Roboto" w:hAnsi="Roboto"/>
                <w:b/>
                <w:color w:val="163B43"/>
                <w:sz w:val="16"/>
              </w:rPr>
              <w:t>Año</w:t>
            </w:r>
          </w:p>
        </w:tc>
        <w:tc>
          <w:tcPr>
            <w:tcW w:type="dxa" w:w="2052"/>
            <w:shd w:fill="DCEBEC"/>
            <w:tcMar>
              <w:top w:w="70" w:type="dxa"/>
              <w:start w:w="80" w:type="dxa"/>
              <w:bottom w:w="70" w:type="dxa"/>
              <w:end w:w="80" w:type="dxa"/>
            </w:tcMar>
            <w:vAlign w:val="center"/>
          </w:tcPr>
          <w:p>
            <w:pPr>
              <w:spacing w:after="0"/>
            </w:pPr>
            <w:r>
              <w:rPr>
                <w:rFonts w:ascii="Roboto" w:hAnsi="Roboto"/>
                <w:b/>
                <w:color w:val="163B43"/>
                <w:sz w:val="16"/>
              </w:rPr>
              <w:t>Región</w:t>
            </w:r>
          </w:p>
        </w:tc>
        <w:tc>
          <w:tcPr>
            <w:tcW w:type="dxa" w:w="2052"/>
            <w:shd w:fill="DCEBEC"/>
            <w:tcMar>
              <w:top w:w="70" w:type="dxa"/>
              <w:start w:w="80" w:type="dxa"/>
              <w:bottom w:w="70" w:type="dxa"/>
              <w:end w:w="80" w:type="dxa"/>
            </w:tcMar>
            <w:vAlign w:val="center"/>
          </w:tcPr>
          <w:p>
            <w:pPr>
              <w:spacing w:after="0"/>
            </w:pPr>
            <w:r>
              <w:rPr>
                <w:rFonts w:ascii="Roboto" w:hAnsi="Roboto"/>
                <w:b/>
                <w:color w:val="163B43"/>
                <w:sz w:val="16"/>
              </w:rPr>
              <w:t>Qué demuestra</w:t>
            </w:r>
          </w:p>
        </w:tc>
        <w:tc>
          <w:tcPr>
            <w:tcW w:type="dxa" w:w="2052"/>
            <w:shd w:fill="DCEBEC"/>
            <w:tcMar>
              <w:top w:w="70" w:type="dxa"/>
              <w:start w:w="80" w:type="dxa"/>
              <w:bottom w:w="70" w:type="dxa"/>
              <w:end w:w="80" w:type="dxa"/>
            </w:tcMar>
            <w:vAlign w:val="center"/>
          </w:tcPr>
          <w:p>
            <w:pPr>
              <w:spacing w:after="0"/>
            </w:pPr>
            <w:r>
              <w:rPr>
                <w:rFonts w:ascii="Roboto" w:hAnsi="Roboto"/>
                <w:b/>
                <w:color w:val="163B43"/>
                <w:sz w:val="16"/>
              </w:rPr>
              <w:t>Fuente</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43 M muertes por ENT</w:t>
            </w:r>
          </w:p>
        </w:tc>
        <w:tc>
          <w:tcPr>
            <w:tcW w:type="dxa" w:w="2052"/>
            <w:tcMar>
              <w:top w:w="70" w:type="dxa"/>
              <w:start w:w="80" w:type="dxa"/>
              <w:bottom w:w="70" w:type="dxa"/>
              <w:end w:w="80" w:type="dxa"/>
            </w:tcMar>
            <w:vAlign w:val="top"/>
          </w:tcPr>
          <w:p>
            <w:pPr>
              <w:spacing w:after="0" w:line="240" w:lineRule="auto"/>
            </w:pPr>
            <w:r>
              <w:rPr>
                <w:rFonts w:ascii="Roboto" w:hAnsi="Roboto"/>
                <w:sz w:val="15"/>
              </w:rPr>
              <w:t>2021</w:t>
            </w:r>
          </w:p>
        </w:tc>
        <w:tc>
          <w:tcPr>
            <w:tcW w:type="dxa" w:w="2052"/>
            <w:tcMar>
              <w:top w:w="70" w:type="dxa"/>
              <w:start w:w="80" w:type="dxa"/>
              <w:bottom w:w="70" w:type="dxa"/>
              <w:end w:w="80" w:type="dxa"/>
            </w:tcMar>
            <w:vAlign w:val="top"/>
          </w:tcPr>
          <w:p>
            <w:pPr>
              <w:spacing w:after="0" w:line="240" w:lineRule="auto"/>
            </w:pPr>
            <w:r>
              <w:rPr>
                <w:rFonts w:ascii="Roboto" w:hAnsi="Roboto"/>
                <w:sz w:val="15"/>
              </w:rPr>
              <w:t>Global</w:t>
            </w:r>
          </w:p>
        </w:tc>
        <w:tc>
          <w:tcPr>
            <w:tcW w:type="dxa" w:w="2052"/>
            <w:tcMar>
              <w:top w:w="70" w:type="dxa"/>
              <w:start w:w="80" w:type="dxa"/>
              <w:bottom w:w="70" w:type="dxa"/>
              <w:end w:w="80" w:type="dxa"/>
            </w:tcMar>
            <w:vAlign w:val="top"/>
          </w:tcPr>
          <w:p>
            <w:pPr>
              <w:spacing w:after="0" w:line="240" w:lineRule="auto"/>
            </w:pPr>
            <w:r>
              <w:rPr>
                <w:rFonts w:ascii="Roboto" w:hAnsi="Roboto"/>
                <w:sz w:val="15"/>
              </w:rPr>
              <w:t>El riesgo crónico domina la mortalidad global.</w:t>
            </w:r>
          </w:p>
        </w:tc>
        <w:tc>
          <w:tcPr>
            <w:tcW w:type="dxa" w:w="2052"/>
            <w:tcMar>
              <w:top w:w="70" w:type="dxa"/>
              <w:start w:w="80" w:type="dxa"/>
              <w:bottom w:w="70" w:type="dxa"/>
              <w:end w:w="80" w:type="dxa"/>
            </w:tcMar>
            <w:vAlign w:val="top"/>
          </w:tcPr>
          <w:p>
            <w:pPr>
              <w:spacing w:after="0" w:line="240" w:lineRule="auto"/>
            </w:pPr>
            <w:r>
              <w:rPr>
                <w:rFonts w:ascii="Roboto" w:hAnsi="Roboto"/>
                <w:sz w:val="15"/>
              </w:rPr>
              <w:t>S01</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18 M muertes por ENT antes de 70 años</w:t>
            </w:r>
          </w:p>
        </w:tc>
        <w:tc>
          <w:tcPr>
            <w:tcW w:type="dxa" w:w="2052"/>
            <w:tcMar>
              <w:top w:w="70" w:type="dxa"/>
              <w:start w:w="80" w:type="dxa"/>
              <w:bottom w:w="70" w:type="dxa"/>
              <w:end w:w="80" w:type="dxa"/>
            </w:tcMar>
            <w:vAlign w:val="top"/>
          </w:tcPr>
          <w:p>
            <w:pPr>
              <w:spacing w:after="0" w:line="240" w:lineRule="auto"/>
            </w:pPr>
            <w:r>
              <w:rPr>
                <w:rFonts w:ascii="Roboto" w:hAnsi="Roboto"/>
                <w:sz w:val="15"/>
              </w:rPr>
              <w:t>2021</w:t>
            </w:r>
          </w:p>
        </w:tc>
        <w:tc>
          <w:tcPr>
            <w:tcW w:type="dxa" w:w="2052"/>
            <w:tcMar>
              <w:top w:w="70" w:type="dxa"/>
              <w:start w:w="80" w:type="dxa"/>
              <w:bottom w:w="70" w:type="dxa"/>
              <w:end w:w="80" w:type="dxa"/>
            </w:tcMar>
            <w:vAlign w:val="top"/>
          </w:tcPr>
          <w:p>
            <w:pPr>
              <w:spacing w:after="0" w:line="240" w:lineRule="auto"/>
            </w:pPr>
            <w:r>
              <w:rPr>
                <w:rFonts w:ascii="Roboto" w:hAnsi="Roboto"/>
                <w:sz w:val="15"/>
              </w:rPr>
              <w:t>Global</w:t>
            </w:r>
          </w:p>
        </w:tc>
        <w:tc>
          <w:tcPr>
            <w:tcW w:type="dxa" w:w="2052"/>
            <w:tcMar>
              <w:top w:w="70" w:type="dxa"/>
              <w:start w:w="80" w:type="dxa"/>
              <w:bottom w:w="70" w:type="dxa"/>
              <w:end w:w="80" w:type="dxa"/>
            </w:tcMar>
            <w:vAlign w:val="top"/>
          </w:tcPr>
          <w:p>
            <w:pPr>
              <w:spacing w:after="0" w:line="240" w:lineRule="auto"/>
            </w:pPr>
            <w:r>
              <w:rPr>
                <w:rFonts w:ascii="Roboto" w:hAnsi="Roboto"/>
                <w:sz w:val="15"/>
              </w:rPr>
              <w:t>Existe dolor por mortalidad prematura, no solo por envejecimiento tardío.</w:t>
            </w:r>
          </w:p>
        </w:tc>
        <w:tc>
          <w:tcPr>
            <w:tcW w:type="dxa" w:w="2052"/>
            <w:tcMar>
              <w:top w:w="70" w:type="dxa"/>
              <w:start w:w="80" w:type="dxa"/>
              <w:bottom w:w="70" w:type="dxa"/>
              <w:end w:w="80" w:type="dxa"/>
            </w:tcMar>
            <w:vAlign w:val="top"/>
          </w:tcPr>
          <w:p>
            <w:pPr>
              <w:spacing w:after="0" w:line="240" w:lineRule="auto"/>
            </w:pPr>
            <w:r>
              <w:rPr>
                <w:rFonts w:ascii="Roboto" w:hAnsi="Roboto"/>
                <w:sz w:val="15"/>
              </w:rPr>
              <w:t>S01</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1.8 B adultos (31%) insuficientemente activos</w:t>
            </w:r>
          </w:p>
        </w:tc>
        <w:tc>
          <w:tcPr>
            <w:tcW w:type="dxa" w:w="2052"/>
            <w:tcMar>
              <w:top w:w="70" w:type="dxa"/>
              <w:start w:w="80" w:type="dxa"/>
              <w:bottom w:w="70" w:type="dxa"/>
              <w:end w:w="80" w:type="dxa"/>
            </w:tcMar>
            <w:vAlign w:val="top"/>
          </w:tcPr>
          <w:p>
            <w:pPr>
              <w:spacing w:after="0" w:line="240" w:lineRule="auto"/>
            </w:pPr>
            <w:r>
              <w:rPr>
                <w:rFonts w:ascii="Roboto" w:hAnsi="Roboto"/>
                <w:sz w:val="15"/>
              </w:rPr>
              <w:t>2022</w:t>
            </w:r>
          </w:p>
        </w:tc>
        <w:tc>
          <w:tcPr>
            <w:tcW w:type="dxa" w:w="2052"/>
            <w:tcMar>
              <w:top w:w="70" w:type="dxa"/>
              <w:start w:w="80" w:type="dxa"/>
              <w:bottom w:w="70" w:type="dxa"/>
              <w:end w:w="80" w:type="dxa"/>
            </w:tcMar>
            <w:vAlign w:val="top"/>
          </w:tcPr>
          <w:p>
            <w:pPr>
              <w:spacing w:after="0" w:line="240" w:lineRule="auto"/>
            </w:pPr>
            <w:r>
              <w:rPr>
                <w:rFonts w:ascii="Roboto" w:hAnsi="Roboto"/>
                <w:sz w:val="15"/>
              </w:rPr>
              <w:t>Global</w:t>
            </w:r>
          </w:p>
        </w:tc>
        <w:tc>
          <w:tcPr>
            <w:tcW w:type="dxa" w:w="2052"/>
            <w:tcMar>
              <w:top w:w="70" w:type="dxa"/>
              <w:start w:w="80" w:type="dxa"/>
              <w:bottom w:w="70" w:type="dxa"/>
              <w:end w:w="80" w:type="dxa"/>
            </w:tcMar>
            <w:vAlign w:val="top"/>
          </w:tcPr>
          <w:p>
            <w:pPr>
              <w:spacing w:after="0" w:line="240" w:lineRule="auto"/>
            </w:pPr>
            <w:r>
              <w:rPr>
                <w:rFonts w:ascii="Roboto" w:hAnsi="Roboto"/>
                <w:sz w:val="15"/>
              </w:rPr>
              <w:t>Un factor modificable masivo puede capturarse por autorreporte.</w:t>
            </w:r>
          </w:p>
        </w:tc>
        <w:tc>
          <w:tcPr>
            <w:tcW w:type="dxa" w:w="2052"/>
            <w:tcMar>
              <w:top w:w="70" w:type="dxa"/>
              <w:start w:w="80" w:type="dxa"/>
              <w:bottom w:w="70" w:type="dxa"/>
              <w:end w:w="80" w:type="dxa"/>
            </w:tcMar>
            <w:vAlign w:val="top"/>
          </w:tcPr>
          <w:p>
            <w:pPr>
              <w:spacing w:after="0" w:line="240" w:lineRule="auto"/>
            </w:pPr>
            <w:r>
              <w:rPr>
                <w:rFonts w:ascii="Roboto" w:hAnsi="Roboto"/>
                <w:sz w:val="15"/>
              </w:rPr>
              <w:t>S02</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2.5 B adultos con sobrepeso; 890 M con obesidad</w:t>
            </w:r>
          </w:p>
        </w:tc>
        <w:tc>
          <w:tcPr>
            <w:tcW w:type="dxa" w:w="2052"/>
            <w:tcMar>
              <w:top w:w="70" w:type="dxa"/>
              <w:start w:w="80" w:type="dxa"/>
              <w:bottom w:w="70" w:type="dxa"/>
              <w:end w:w="80" w:type="dxa"/>
            </w:tcMar>
            <w:vAlign w:val="top"/>
          </w:tcPr>
          <w:p>
            <w:pPr>
              <w:spacing w:after="0" w:line="240" w:lineRule="auto"/>
            </w:pPr>
            <w:r>
              <w:rPr>
                <w:rFonts w:ascii="Roboto" w:hAnsi="Roboto"/>
                <w:sz w:val="15"/>
              </w:rPr>
              <w:t>2022</w:t>
            </w:r>
          </w:p>
        </w:tc>
        <w:tc>
          <w:tcPr>
            <w:tcW w:type="dxa" w:w="2052"/>
            <w:tcMar>
              <w:top w:w="70" w:type="dxa"/>
              <w:start w:w="80" w:type="dxa"/>
              <w:bottom w:w="70" w:type="dxa"/>
              <w:end w:w="80" w:type="dxa"/>
            </w:tcMar>
            <w:vAlign w:val="top"/>
          </w:tcPr>
          <w:p>
            <w:pPr>
              <w:spacing w:after="0" w:line="240" w:lineRule="auto"/>
            </w:pPr>
            <w:r>
              <w:rPr>
                <w:rFonts w:ascii="Roboto" w:hAnsi="Roboto"/>
                <w:sz w:val="15"/>
              </w:rPr>
              <w:t>Global</w:t>
            </w:r>
          </w:p>
        </w:tc>
        <w:tc>
          <w:tcPr>
            <w:tcW w:type="dxa" w:w="2052"/>
            <w:tcMar>
              <w:top w:w="70" w:type="dxa"/>
              <w:start w:w="80" w:type="dxa"/>
              <w:bottom w:w="70" w:type="dxa"/>
              <w:end w:w="80" w:type="dxa"/>
            </w:tcMar>
            <w:vAlign w:val="top"/>
          </w:tcPr>
          <w:p>
            <w:pPr>
              <w:spacing w:after="0" w:line="240" w:lineRule="auto"/>
            </w:pPr>
            <w:r>
              <w:rPr>
                <w:rFonts w:ascii="Roboto" w:hAnsi="Roboto"/>
                <w:sz w:val="15"/>
              </w:rPr>
              <w:t>El peso/BMI aporta señal simple y escalable.</w:t>
            </w:r>
          </w:p>
        </w:tc>
        <w:tc>
          <w:tcPr>
            <w:tcW w:type="dxa" w:w="2052"/>
            <w:tcMar>
              <w:top w:w="70" w:type="dxa"/>
              <w:start w:w="80" w:type="dxa"/>
              <w:bottom w:w="70" w:type="dxa"/>
              <w:end w:w="80" w:type="dxa"/>
            </w:tcMar>
            <w:vAlign w:val="top"/>
          </w:tcPr>
          <w:p>
            <w:pPr>
              <w:spacing w:after="0" w:line="240" w:lineRule="auto"/>
            </w:pPr>
            <w:r>
              <w:rPr>
                <w:rFonts w:ascii="Roboto" w:hAnsi="Roboto"/>
                <w:sz w:val="15"/>
              </w:rPr>
              <w:t>S03</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1.4 B adultos 30–79 con hipertensión; 600 M no lo saben</w:t>
            </w:r>
          </w:p>
        </w:tc>
        <w:tc>
          <w:tcPr>
            <w:tcW w:type="dxa" w:w="2052"/>
            <w:tcMar>
              <w:top w:w="70" w:type="dxa"/>
              <w:start w:w="80" w:type="dxa"/>
              <w:bottom w:w="70" w:type="dxa"/>
              <w:end w:w="80" w:type="dxa"/>
            </w:tcMar>
            <w:vAlign w:val="top"/>
          </w:tcPr>
          <w:p>
            <w:pPr>
              <w:spacing w:after="0" w:line="240" w:lineRule="auto"/>
            </w:pPr>
            <w:r>
              <w:rPr>
                <w:rFonts w:ascii="Roboto" w:hAnsi="Roboto"/>
                <w:sz w:val="15"/>
              </w:rPr>
              <w:t>2024</w:t>
            </w:r>
          </w:p>
        </w:tc>
        <w:tc>
          <w:tcPr>
            <w:tcW w:type="dxa" w:w="2052"/>
            <w:tcMar>
              <w:top w:w="70" w:type="dxa"/>
              <w:start w:w="80" w:type="dxa"/>
              <w:bottom w:w="70" w:type="dxa"/>
              <w:end w:w="80" w:type="dxa"/>
            </w:tcMar>
            <w:vAlign w:val="top"/>
          </w:tcPr>
          <w:p>
            <w:pPr>
              <w:spacing w:after="0" w:line="240" w:lineRule="auto"/>
            </w:pPr>
            <w:r>
              <w:rPr>
                <w:rFonts w:ascii="Roboto" w:hAnsi="Roboto"/>
                <w:sz w:val="15"/>
              </w:rPr>
              <w:t>Global</w:t>
            </w:r>
          </w:p>
        </w:tc>
        <w:tc>
          <w:tcPr>
            <w:tcW w:type="dxa" w:w="2052"/>
            <w:tcMar>
              <w:top w:w="70" w:type="dxa"/>
              <w:start w:w="80" w:type="dxa"/>
              <w:bottom w:w="70" w:type="dxa"/>
              <w:end w:w="80" w:type="dxa"/>
            </w:tcMar>
            <w:vAlign w:val="top"/>
          </w:tcPr>
          <w:p>
            <w:pPr>
              <w:spacing w:after="0" w:line="240" w:lineRule="auto"/>
            </w:pPr>
            <w:r>
              <w:rPr>
                <w:rFonts w:ascii="Roboto" w:hAnsi="Roboto"/>
                <w:sz w:val="15"/>
              </w:rPr>
              <w:t>El riesgo puede ser silencioso; la app debe evitar falsa tranquilidad.</w:t>
            </w:r>
          </w:p>
        </w:tc>
        <w:tc>
          <w:tcPr>
            <w:tcW w:type="dxa" w:w="2052"/>
            <w:tcMar>
              <w:top w:w="70" w:type="dxa"/>
              <w:start w:w="80" w:type="dxa"/>
              <w:bottom w:w="70" w:type="dxa"/>
              <w:end w:w="80" w:type="dxa"/>
            </w:tcMar>
            <w:vAlign w:val="top"/>
          </w:tcPr>
          <w:p>
            <w:pPr>
              <w:spacing w:after="0" w:line="240" w:lineRule="auto"/>
            </w:pPr>
            <w:r>
              <w:rPr>
                <w:rFonts w:ascii="Roboto" w:hAnsi="Roboto"/>
                <w:sz w:val="15"/>
              </w:rPr>
              <w:t>S04</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Brecha de 9.5 años entre esperanza de vida (71.4) y vida saludable (61.9)</w:t>
            </w:r>
          </w:p>
        </w:tc>
        <w:tc>
          <w:tcPr>
            <w:tcW w:type="dxa" w:w="2052"/>
            <w:tcMar>
              <w:top w:w="70" w:type="dxa"/>
              <w:start w:w="80" w:type="dxa"/>
              <w:bottom w:w="70" w:type="dxa"/>
              <w:end w:w="80" w:type="dxa"/>
            </w:tcMar>
            <w:vAlign w:val="top"/>
          </w:tcPr>
          <w:p>
            <w:pPr>
              <w:spacing w:after="0" w:line="240" w:lineRule="auto"/>
            </w:pPr>
            <w:r>
              <w:rPr>
                <w:rFonts w:ascii="Roboto" w:hAnsi="Roboto"/>
                <w:sz w:val="15"/>
              </w:rPr>
              <w:t>2021</w:t>
            </w:r>
          </w:p>
        </w:tc>
        <w:tc>
          <w:tcPr>
            <w:tcW w:type="dxa" w:w="2052"/>
            <w:tcMar>
              <w:top w:w="70" w:type="dxa"/>
              <w:start w:w="80" w:type="dxa"/>
              <w:bottom w:w="70" w:type="dxa"/>
              <w:end w:w="80" w:type="dxa"/>
            </w:tcMar>
            <w:vAlign w:val="top"/>
          </w:tcPr>
          <w:p>
            <w:pPr>
              <w:spacing w:after="0" w:line="240" w:lineRule="auto"/>
            </w:pPr>
            <w:r>
              <w:rPr>
                <w:rFonts w:ascii="Roboto" w:hAnsi="Roboto"/>
                <w:sz w:val="15"/>
              </w:rPr>
              <w:t>Global</w:t>
            </w:r>
          </w:p>
        </w:tc>
        <w:tc>
          <w:tcPr>
            <w:tcW w:type="dxa" w:w="2052"/>
            <w:tcMar>
              <w:top w:w="70" w:type="dxa"/>
              <w:start w:w="80" w:type="dxa"/>
              <w:bottom w:w="70" w:type="dxa"/>
              <w:end w:w="80" w:type="dxa"/>
            </w:tcMar>
            <w:vAlign w:val="top"/>
          </w:tcPr>
          <w:p>
            <w:pPr>
              <w:spacing w:after="0" w:line="240" w:lineRule="auto"/>
            </w:pPr>
            <w:r>
              <w:rPr>
                <w:rFonts w:ascii="Roboto" w:hAnsi="Roboto"/>
                <w:sz w:val="15"/>
              </w:rPr>
              <w:t>Costo temporal: casi una década promedio vivida fuera de plena salud.</w:t>
            </w:r>
          </w:p>
        </w:tc>
        <w:tc>
          <w:tcPr>
            <w:tcW w:type="dxa" w:w="2052"/>
            <w:tcMar>
              <w:top w:w="70" w:type="dxa"/>
              <w:start w:w="80" w:type="dxa"/>
              <w:bottom w:w="70" w:type="dxa"/>
              <w:end w:w="80" w:type="dxa"/>
            </w:tcMar>
            <w:vAlign w:val="top"/>
          </w:tcPr>
          <w:p>
            <w:pPr>
              <w:spacing w:after="0" w:line="240" w:lineRule="auto"/>
            </w:pPr>
            <w:r>
              <w:rPr>
                <w:rFonts w:ascii="Roboto" w:hAnsi="Roboto"/>
                <w:sz w:val="15"/>
              </w:rPr>
              <w:t>S05</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&gt;1.6 B personas de 65+ proyectadas</w:t>
            </w:r>
          </w:p>
        </w:tc>
        <w:tc>
          <w:tcPr>
            <w:tcW w:type="dxa" w:w="2052"/>
            <w:tcMar>
              <w:top w:w="70" w:type="dxa"/>
              <w:start w:w="80" w:type="dxa"/>
              <w:bottom w:w="70" w:type="dxa"/>
              <w:end w:w="80" w:type="dxa"/>
            </w:tcMar>
            <w:vAlign w:val="top"/>
          </w:tcPr>
          <w:p>
            <w:pPr>
              <w:spacing w:after="0" w:line="240" w:lineRule="auto"/>
            </w:pPr>
            <w:r>
              <w:rPr>
                <w:rFonts w:ascii="Roboto" w:hAnsi="Roboto"/>
                <w:sz w:val="15"/>
              </w:rPr>
              <w:t>2050</w:t>
            </w:r>
          </w:p>
        </w:tc>
        <w:tc>
          <w:tcPr>
            <w:tcW w:type="dxa" w:w="2052"/>
            <w:tcMar>
              <w:top w:w="70" w:type="dxa"/>
              <w:start w:w="80" w:type="dxa"/>
              <w:bottom w:w="70" w:type="dxa"/>
              <w:end w:w="80" w:type="dxa"/>
            </w:tcMar>
            <w:vAlign w:val="top"/>
          </w:tcPr>
          <w:p>
            <w:pPr>
              <w:spacing w:after="0" w:line="240" w:lineRule="auto"/>
            </w:pPr>
            <w:r>
              <w:rPr>
                <w:rFonts w:ascii="Roboto" w:hAnsi="Roboto"/>
                <w:sz w:val="15"/>
              </w:rPr>
              <w:t>Global</w:t>
            </w:r>
          </w:p>
        </w:tc>
        <w:tc>
          <w:tcPr>
            <w:tcW w:type="dxa" w:w="2052"/>
            <w:tcMar>
              <w:top w:w="70" w:type="dxa"/>
              <w:start w:w="80" w:type="dxa"/>
              <w:bottom w:w="70" w:type="dxa"/>
              <w:end w:w="80" w:type="dxa"/>
            </w:tcMar>
            <w:vAlign w:val="top"/>
          </w:tcPr>
          <w:p>
            <w:pPr>
              <w:spacing w:after="0" w:line="240" w:lineRule="auto"/>
            </w:pPr>
            <w:r>
              <w:rPr>
                <w:rFonts w:ascii="Roboto" w:hAnsi="Roboto"/>
                <w:sz w:val="15"/>
              </w:rPr>
              <w:t>La base de demanda por envejecimiento saludable crecerá estructuralmente.</w:t>
            </w:r>
          </w:p>
        </w:tc>
        <w:tc>
          <w:tcPr>
            <w:tcW w:type="dxa" w:w="2052"/>
            <w:tcMar>
              <w:top w:w="70" w:type="dxa"/>
              <w:start w:w="80" w:type="dxa"/>
              <w:bottom w:w="70" w:type="dxa"/>
              <w:end w:w="80" w:type="dxa"/>
            </w:tcMar>
            <w:vAlign w:val="top"/>
          </w:tcPr>
          <w:p>
            <w:pPr>
              <w:spacing w:after="0" w:line="240" w:lineRule="auto"/>
            </w:pPr>
            <w:r>
              <w:rPr>
                <w:rFonts w:ascii="Roboto" w:hAnsi="Roboto"/>
                <w:sz w:val="15"/>
              </w:rPr>
              <w:t>S06</w:t>
            </w:r>
          </w:p>
        </w:tc>
      </w:tr>
    </w:tbl>
    <w:p>
      <w:pPr>
        <w:spacing w:after="0"/>
      </w:pPr>
    </w:p>
    <w:p>
      <w:pPr>
        <w:widowControl/>
      </w:pPr>
      <w:r>
        <w:rPr>
          <w:rFonts w:ascii="Roboto" w:hAnsi="Roboto"/>
          <w:b/>
          <w:sz w:val="18"/>
        </w:rPr>
        <w:t>Tamaño/frecuencia/costo del dolor.</w:t>
      </w:r>
      <w:r>
        <w:rPr>
          <w:rFonts w:ascii="Roboto" w:hAnsi="Roboto"/>
          <w:sz w:val="18"/>
        </w:rPr>
        <w:t xml:space="preserve"> El problema no es una molestia puntual: los principales factores se acumulan diariamente y los eventos clínicos aparecen después. En 2022, 31% de los adultos —1.8 mil millones— no cumplían actividad física recomendada; en 2024, 1.4 mil millones de adultos de 30–79 años vivían con hipertensión y 600 millones no lo sabían. El costo en tiempo puede expresarse sin inventar dólares: en 2021 hubo una brecha global de </w:t>
      </w:r>
      <w:r>
        <w:rPr>
          <w:rFonts w:ascii="Roboto" w:hAnsi="Roboto"/>
          <w:b/>
          <w:sz w:val="18"/>
        </w:rPr>
        <w:t>9.5 años</w:t>
      </w:r>
      <w:r>
        <w:rPr>
          <w:rFonts w:ascii="Roboto" w:hAnsi="Roboto"/>
          <w:sz w:val="18"/>
        </w:rPr>
        <w:t xml:space="preserve"> entre esperanza de vida y esperanza de vida saludable. El costo en riesgo se observa en </w:t>
      </w:r>
      <w:r>
        <w:rPr>
          <w:rFonts w:ascii="Roboto" w:hAnsi="Roboto"/>
          <w:b/>
          <w:sz w:val="18"/>
        </w:rPr>
        <w:t>18 millones</w:t>
      </w:r>
      <w:r>
        <w:rPr>
          <w:rFonts w:ascii="Roboto" w:hAnsi="Roboto"/>
          <w:sz w:val="18"/>
        </w:rPr>
        <w:t xml:space="preserve"> de muertes prematuras por ENT antes de los 70 en 2021. El costo monetario visible para el consumidor de esta categoría hoy es de </w:t>
      </w:r>
      <w:r>
        <w:rPr>
          <w:rFonts w:ascii="Roboto" w:hAnsi="Roboto"/>
          <w:b/>
          <w:sz w:val="18"/>
        </w:rPr>
        <w:t>US$299–499</w:t>
      </w:r>
      <w:r>
        <w:rPr>
          <w:rFonts w:ascii="Roboto" w:hAnsi="Roboto"/>
          <w:sz w:val="18"/>
        </w:rPr>
        <w:t xml:space="preserve"> por muchos tests directos de edad biológica, o </w:t>
      </w:r>
      <w:r>
        <w:rPr>
          <w:rFonts w:ascii="Roboto" w:hAnsi="Roboto"/>
          <w:b/>
          <w:sz w:val="18"/>
        </w:rPr>
        <w:t>US$365/año</w:t>
      </w:r>
      <w:r>
        <w:rPr>
          <w:rFonts w:ascii="Roboto" w:hAnsi="Roboto"/>
          <w:sz w:val="18"/>
        </w:rPr>
        <w:t xml:space="preserve"> por una membresía de laboratorio amplia (S15–S19). </w:t>
      </w:r>
      <w:r>
        <w:rPr>
          <w:rFonts w:ascii="Roboto" w:hAnsi="Roboto"/>
          <w:b/>
          <w:sz w:val="18"/>
        </w:rPr>
        <w:t>Lectura estratégica:</w:t>
      </w:r>
      <w:r>
        <w:rPr>
          <w:rFonts w:ascii="Roboto" w:hAnsi="Roboto"/>
          <w:sz w:val="18"/>
        </w:rPr>
        <w:t xml:space="preserve"> el usuario no necesita otro dashboard de métricas. Necesita convertir hábitos dispersos en una cifra con significado, incertidumbre y siguiente acción, antes de decidir si paga por laboratorio o consulta.</w:t>
      </w:r>
    </w:p>
    <w:p>
      <w:pPr>
        <w:pStyle w:val="Heading1"/>
      </w:pPr>
      <w:r>
        <w:rPr>
          <w:rFonts w:ascii="Roboto" w:hAnsi="Roboto"/>
          <w:sz w:val="30"/>
        </w:rPr>
        <w:t>3. Señales de demanda</w:t>
      </w:r>
    </w:p>
    <w:tbl>
      <w:tblPr>
        <w:tblStyle w:val="TableGrid"/>
        <w:tblW w:type="auto" w:w="0"/>
        <w:jc w:val="center"/>
        <w:tblLayout w:type="autofit"/>
        <w:tblLook w:firstColumn="1" w:firstRow="1" w:lastColumn="0" w:lastRow="0" w:noHBand="0" w:noVBand="1" w:val="04A0"/>
      </w:tblPr>
      <w:tblGrid>
        <w:gridCol w:w="2565"/>
        <w:gridCol w:w="2565"/>
        <w:gridCol w:w="2565"/>
        <w:gridCol w:w="2565"/>
      </w:tblGrid>
      <w:tr>
        <w:trPr>
          <w:tblHeader w:val="true"/>
        </w:trPr>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Keyword / señal</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Volumen estimado</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Tendencia</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Confianza</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biological age</w:t>
            </w:r>
          </w:p>
        </w:tc>
        <w:tc>
          <w:tcPr>
            <w:tcW w:type="dxa" w:w="2565"/>
            <w:tcMar>
              <w:top w:w="70" w:type="dxa"/>
              <w:start w:w="80" w:type="dxa"/>
              <w:bottom w:w="70" w:type="dxa"/>
              <w:end w:w="80" w:type="dxa"/>
            </w:tcMar>
            <w:vAlign w:val="top"/>
          </w:tcPr>
          <w:p>
            <w:pPr>
              <w:spacing w:after="0" w:line="240" w:lineRule="auto"/>
            </w:pPr>
            <w:r>
              <w:rPr>
                <w:rFonts w:ascii="Roboto" w:hAnsi="Roboto"/>
                <w:sz w:val="16"/>
              </w:rPr>
              <w:t>~33,100 búsquedas/mes globales</w:t>
            </w:r>
          </w:p>
        </w:tc>
        <w:tc>
          <w:tcPr>
            <w:tcW w:type="dxa" w:w="2565"/>
            <w:tcMar>
              <w:top w:w="70" w:type="dxa"/>
              <w:start w:w="80" w:type="dxa"/>
              <w:bottom w:w="70" w:type="dxa"/>
              <w:end w:w="80" w:type="dxa"/>
            </w:tcMar>
            <w:vAlign w:val="top"/>
          </w:tcPr>
          <w:p>
            <w:pPr>
              <w:spacing w:after="0" w:line="240" w:lineRule="auto"/>
            </w:pPr>
            <w:r>
              <w:rPr>
                <w:rFonts w:ascii="Roboto" w:hAnsi="Roboto"/>
                <w:sz w:val="16"/>
              </w:rPr>
              <w:t>~+433% a 5 años</w:t>
            </w:r>
          </w:p>
        </w:tc>
        <w:tc>
          <w:tcPr>
            <w:tcW w:type="dxa" w:w="2565"/>
            <w:tcMar>
              <w:top w:w="70" w:type="dxa"/>
              <w:start w:w="80" w:type="dxa"/>
              <w:bottom w:w="70" w:type="dxa"/>
              <w:end w:w="80" w:type="dxa"/>
            </w:tcMar>
            <w:vAlign w:val="top"/>
          </w:tcPr>
          <w:p>
            <w:pPr>
              <w:spacing w:after="0" w:line="240" w:lineRule="auto"/>
            </w:pPr>
            <w:r>
              <w:rPr>
                <w:rFonts w:ascii="Roboto" w:hAnsi="Roboto"/>
                <w:sz w:val="16"/>
              </w:rPr>
              <w:t>Media; tercero, S20</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biological age test + check biological age</w:t>
            </w:r>
          </w:p>
        </w:tc>
        <w:tc>
          <w:tcPr>
            <w:tcW w:type="dxa" w:w="2565"/>
            <w:tcMar>
              <w:top w:w="70" w:type="dxa"/>
              <w:start w:w="80" w:type="dxa"/>
              <w:bottom w:w="70" w:type="dxa"/>
              <w:end w:w="80" w:type="dxa"/>
            </w:tcMar>
            <w:vAlign w:val="top"/>
          </w:tcPr>
          <w:p>
            <w:pPr>
              <w:spacing w:after="0" w:line="240" w:lineRule="auto"/>
            </w:pPr>
            <w:r>
              <w:rPr>
                <w:rFonts w:ascii="Roboto" w:hAnsi="Roboto"/>
                <w:sz w:val="16"/>
              </w:rPr>
              <w:t>~7,200/mes</w:t>
            </w:r>
          </w:p>
        </w:tc>
        <w:tc>
          <w:tcPr>
            <w:tcW w:type="dxa" w:w="2565"/>
            <w:tcMar>
              <w:top w:w="70" w:type="dxa"/>
              <w:start w:w="80" w:type="dxa"/>
              <w:bottom w:w="70" w:type="dxa"/>
              <w:end w:w="80" w:type="dxa"/>
            </w:tcMar>
            <w:vAlign w:val="top"/>
          </w:tcPr>
          <w:p>
            <w:pPr>
              <w:spacing w:after="0" w:line="240" w:lineRule="auto"/>
            </w:pPr>
            <w:r>
              <w:rPr>
                <w:rFonts w:ascii="Roboto" w:hAnsi="Roboto"/>
                <w:sz w:val="16"/>
              </w:rPr>
              <w:t>BOFU confirmado por tercero</w:t>
            </w:r>
          </w:p>
        </w:tc>
        <w:tc>
          <w:tcPr>
            <w:tcW w:type="dxa" w:w="2565"/>
            <w:tcMar>
              <w:top w:w="70" w:type="dxa"/>
              <w:start w:w="80" w:type="dxa"/>
              <w:bottom w:w="70" w:type="dxa"/>
              <w:end w:w="80" w:type="dxa"/>
            </w:tcMar>
            <w:vAlign w:val="top"/>
          </w:tcPr>
          <w:p>
            <w:pPr>
              <w:spacing w:after="0" w:line="240" w:lineRule="auto"/>
            </w:pPr>
            <w:r>
              <w:rPr>
                <w:rFonts w:ascii="Roboto" w:hAnsi="Roboto"/>
                <w:sz w:val="16"/>
              </w:rPr>
              <w:t>Media; S21</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biological age — Google Trends UK</w:t>
            </w:r>
          </w:p>
        </w:tc>
        <w:tc>
          <w:tcPr>
            <w:tcW w:type="dxa" w:w="2565"/>
            <w:tcMar>
              <w:top w:w="70" w:type="dxa"/>
              <w:start w:w="80" w:type="dxa"/>
              <w:bottom w:w="70" w:type="dxa"/>
              <w:end w:w="80" w:type="dxa"/>
            </w:tcMar>
            <w:vAlign w:val="top"/>
          </w:tcPr>
          <w:p>
            <w:pPr>
              <w:spacing w:after="0" w:line="240" w:lineRule="auto"/>
            </w:pPr>
            <w:r>
              <w:rPr>
                <w:rFonts w:ascii="Roboto" w:hAnsi="Roboto"/>
                <w:sz w:val="16"/>
              </w:rPr>
              <w:t>Índice relativo</w:t>
            </w:r>
          </w:p>
        </w:tc>
        <w:tc>
          <w:tcPr>
            <w:tcW w:type="dxa" w:w="2565"/>
            <w:tcMar>
              <w:top w:w="70" w:type="dxa"/>
              <w:start w:w="80" w:type="dxa"/>
              <w:bottom w:w="70" w:type="dxa"/>
              <w:end w:w="80" w:type="dxa"/>
            </w:tcMar>
            <w:vAlign w:val="top"/>
          </w:tcPr>
          <w:p>
            <w:pPr>
              <w:spacing w:after="0" w:line="240" w:lineRule="auto"/>
            </w:pPr>
            <w:r>
              <w:rPr>
                <w:rFonts w:ascii="Roboto" w:hAnsi="Roboto"/>
                <w:sz w:val="16"/>
              </w:rPr>
              <w:t>17 (2022) → 71 (2026 YTD), ~4.1x</w:t>
            </w:r>
          </w:p>
        </w:tc>
        <w:tc>
          <w:tcPr>
            <w:tcW w:type="dxa" w:w="2565"/>
            <w:tcMar>
              <w:top w:w="70" w:type="dxa"/>
              <w:start w:w="80" w:type="dxa"/>
              <w:bottom w:w="70" w:type="dxa"/>
              <w:end w:w="80" w:type="dxa"/>
            </w:tcMar>
            <w:vAlign w:val="top"/>
          </w:tcPr>
          <w:p>
            <w:pPr>
              <w:spacing w:after="0" w:line="240" w:lineRule="auto"/>
            </w:pPr>
            <w:r>
              <w:rPr>
                <w:rFonts w:ascii="Roboto" w:hAnsi="Roboto"/>
                <w:sz w:val="16"/>
              </w:rPr>
              <w:t>Media; S22</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r/Biohackers</w:t>
            </w:r>
          </w:p>
        </w:tc>
        <w:tc>
          <w:tcPr>
            <w:tcW w:type="dxa" w:w="2565"/>
            <w:tcMar>
              <w:top w:w="70" w:type="dxa"/>
              <w:start w:w="80" w:type="dxa"/>
              <w:bottom w:w="70" w:type="dxa"/>
              <w:end w:w="80" w:type="dxa"/>
            </w:tcMar>
            <w:vAlign w:val="top"/>
          </w:tcPr>
          <w:p>
            <w:pPr>
              <w:spacing w:after="0" w:line="240" w:lineRule="auto"/>
            </w:pPr>
            <w:r>
              <w:rPr>
                <w:rFonts w:ascii="Roboto" w:hAnsi="Roboto"/>
                <w:sz w:val="16"/>
              </w:rPr>
              <w:t>Cualitativa</w:t>
            </w:r>
          </w:p>
        </w:tc>
        <w:tc>
          <w:tcPr>
            <w:tcW w:type="dxa" w:w="2565"/>
            <w:tcMar>
              <w:top w:w="70" w:type="dxa"/>
              <w:start w:w="80" w:type="dxa"/>
              <w:bottom w:w="70" w:type="dxa"/>
              <w:end w:w="80" w:type="dxa"/>
            </w:tcMar>
            <w:vAlign w:val="top"/>
          </w:tcPr>
          <w:p>
            <w:pPr>
              <w:spacing w:after="0" w:line="240" w:lineRule="auto"/>
            </w:pPr>
            <w:r>
              <w:rPr>
                <w:rFonts w:ascii="Roboto" w:hAnsi="Roboto"/>
                <w:sz w:val="16"/>
              </w:rPr>
              <w:t>Conversaciones sobre medición, reversión y escepticismo</w:t>
            </w:r>
          </w:p>
        </w:tc>
        <w:tc>
          <w:tcPr>
            <w:tcW w:type="dxa" w:w="2565"/>
            <w:tcMar>
              <w:top w:w="70" w:type="dxa"/>
              <w:start w:w="80" w:type="dxa"/>
              <w:bottom w:w="70" w:type="dxa"/>
              <w:end w:w="80" w:type="dxa"/>
            </w:tcMar>
            <w:vAlign w:val="top"/>
          </w:tcPr>
          <w:p>
            <w:pPr>
              <w:spacing w:after="0" w:line="240" w:lineRule="auto"/>
            </w:pPr>
            <w:r>
              <w:rPr>
                <w:rFonts w:ascii="Roboto" w:hAnsi="Roboto"/>
                <w:sz w:val="16"/>
              </w:rPr>
              <w:t>Media; S24</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r/QuantifiedSelf</w:t>
            </w:r>
          </w:p>
        </w:tc>
        <w:tc>
          <w:tcPr>
            <w:tcW w:type="dxa" w:w="2565"/>
            <w:tcMar>
              <w:top w:w="70" w:type="dxa"/>
              <w:start w:w="80" w:type="dxa"/>
              <w:bottom w:w="70" w:type="dxa"/>
              <w:end w:w="80" w:type="dxa"/>
            </w:tcMar>
            <w:vAlign w:val="top"/>
          </w:tcPr>
          <w:p>
            <w:pPr>
              <w:spacing w:after="0" w:line="240" w:lineRule="auto"/>
            </w:pPr>
            <w:r>
              <w:rPr>
                <w:rFonts w:ascii="Roboto" w:hAnsi="Roboto"/>
                <w:sz w:val="16"/>
              </w:rPr>
              <w:t>Cualitativa</w:t>
            </w:r>
          </w:p>
        </w:tc>
        <w:tc>
          <w:tcPr>
            <w:tcW w:type="dxa" w:w="2565"/>
            <w:tcMar>
              <w:top w:w="70" w:type="dxa"/>
              <w:start w:w="80" w:type="dxa"/>
              <w:bottom w:w="70" w:type="dxa"/>
              <w:end w:w="80" w:type="dxa"/>
            </w:tcMar>
            <w:vAlign w:val="top"/>
          </w:tcPr>
          <w:p>
            <w:pPr>
              <w:spacing w:after="0" w:line="240" w:lineRule="auto"/>
            </w:pPr>
            <w:r>
              <w:rPr>
                <w:rFonts w:ascii="Roboto" w:hAnsi="Roboto"/>
                <w:sz w:val="16"/>
              </w:rPr>
              <w:t>Seguimiento longitudinal y auditoría de predicciones</w:t>
            </w:r>
          </w:p>
        </w:tc>
        <w:tc>
          <w:tcPr>
            <w:tcW w:type="dxa" w:w="2565"/>
            <w:tcMar>
              <w:top w:w="70" w:type="dxa"/>
              <w:start w:w="80" w:type="dxa"/>
              <w:bottom w:w="70" w:type="dxa"/>
              <w:end w:w="80" w:type="dxa"/>
            </w:tcMar>
            <w:vAlign w:val="top"/>
          </w:tcPr>
          <w:p>
            <w:pPr>
              <w:spacing w:after="0" w:line="240" w:lineRule="auto"/>
            </w:pPr>
            <w:r>
              <w:rPr>
                <w:rFonts w:ascii="Roboto" w:hAnsi="Roboto"/>
                <w:sz w:val="16"/>
              </w:rPr>
              <w:t>Media; S25</w:t>
            </w:r>
          </w:p>
        </w:tc>
      </w:tr>
    </w:tbl>
    <w:p>
      <w:pPr>
        <w:spacing w:after="0"/>
      </w:pPr>
    </w:p>
    <w:p>
      <w:pPr>
        <w:widowControl/>
      </w:pPr>
      <w:r>
        <w:rPr>
          <w:rFonts w:ascii="Roboto" w:hAnsi="Roboto"/>
          <w:b/>
          <w:sz w:val="18"/>
        </w:rPr>
        <w:t>Gasto en alternativas.</w:t>
      </w:r>
      <w:r>
        <w:rPr>
          <w:rFonts w:ascii="Roboto" w:hAnsi="Roboto"/>
          <w:sz w:val="18"/>
        </w:rPr>
        <w:t xml:space="preserve"> Elysium US$299, TruAge US$499, GlycanAge US$499, InsideTracker InnerAge US$99 por cálculo sobre datos compatibles y Function US$365/año. Esta dispersión valida que existe WTP por convertir salud en una señal de longevidad, pero deja espacio para un producto de entrada de US$19 sin laboratorio. </w:t>
      </w:r>
      <w:r>
        <w:rPr>
          <w:rFonts w:ascii="Roboto" w:hAnsi="Roboto"/>
          <w:b/>
          <w:sz w:val="18"/>
        </w:rPr>
        <w:t>Caveat:</w:t>
      </w:r>
      <w:r>
        <w:rPr>
          <w:rFonts w:ascii="Roboto" w:hAnsi="Roboto"/>
          <w:sz w:val="18"/>
        </w:rPr>
        <w:t xml:space="preserve"> los volúmenes SEO son estimaciones de terceros y deben revalidarse directamente con Google Keyword Planner/Ahrefs/SEMrush antes de comprometer presupuesto.</w:t>
      </w:r>
    </w:p>
    <w:p>
      <w:pPr>
        <w:pStyle w:val="Heading1"/>
      </w:pPr>
      <w:r>
        <w:rPr>
          <w:rFonts w:ascii="Roboto" w:hAnsi="Roboto"/>
          <w:sz w:val="30"/>
        </w:rPr>
        <w:t>4. Competencia y hueco</w:t>
      </w:r>
    </w:p>
    <w:tbl>
      <w:tblPr>
        <w:tblStyle w:val="TableGrid"/>
        <w:tblW w:type="auto" w:w="0"/>
        <w:jc w:val="center"/>
        <w:tblLayout w:type="autofit"/>
        <w:tblLook w:firstColumn="1" w:firstRow="1" w:lastColumn="0" w:lastRow="0" w:noHBand="0" w:noVBand="1" w:val="04A0"/>
      </w:tblPr>
      <w:tblGrid>
        <w:gridCol w:w="2052"/>
        <w:gridCol w:w="2052"/>
        <w:gridCol w:w="2052"/>
        <w:gridCol w:w="2052"/>
        <w:gridCol w:w="2052"/>
      </w:tblGrid>
      <w:tr>
        <w:trPr>
          <w:tblHeader w:val="true"/>
        </w:trPr>
        <w:tc>
          <w:tcPr>
            <w:tcW w:type="dxa" w:w="2052"/>
            <w:shd w:fill="DCEBEC"/>
            <w:tcMar>
              <w:top w:w="70" w:type="dxa"/>
              <w:start w:w="80" w:type="dxa"/>
              <w:bottom w:w="70" w:type="dxa"/>
              <w:end w:w="80" w:type="dxa"/>
            </w:tcMar>
            <w:vAlign w:val="center"/>
          </w:tcPr>
          <w:p>
            <w:pPr>
              <w:spacing w:after="0"/>
            </w:pPr>
            <w:r>
              <w:rPr>
                <w:rFonts w:ascii="Roboto" w:hAnsi="Roboto"/>
                <w:b/>
                <w:color w:val="163B43"/>
                <w:sz w:val="16"/>
              </w:rPr>
              <w:t>Alternativa</w:t>
            </w:r>
          </w:p>
        </w:tc>
        <w:tc>
          <w:tcPr>
            <w:tcW w:type="dxa" w:w="2052"/>
            <w:shd w:fill="DCEBEC"/>
            <w:tcMar>
              <w:top w:w="70" w:type="dxa"/>
              <w:start w:w="80" w:type="dxa"/>
              <w:bottom w:w="70" w:type="dxa"/>
              <w:end w:w="80" w:type="dxa"/>
            </w:tcMar>
            <w:vAlign w:val="center"/>
          </w:tcPr>
          <w:p>
            <w:pPr>
              <w:spacing w:after="0"/>
            </w:pPr>
            <w:r>
              <w:rPr>
                <w:rFonts w:ascii="Roboto" w:hAnsi="Roboto"/>
                <w:b/>
                <w:color w:val="163B43"/>
                <w:sz w:val="16"/>
              </w:rPr>
              <w:t>Precio 2026</w:t>
            </w:r>
          </w:p>
        </w:tc>
        <w:tc>
          <w:tcPr>
            <w:tcW w:type="dxa" w:w="2052"/>
            <w:shd w:fill="DCEBEC"/>
            <w:tcMar>
              <w:top w:w="70" w:type="dxa"/>
              <w:start w:w="80" w:type="dxa"/>
              <w:bottom w:w="70" w:type="dxa"/>
              <w:end w:w="80" w:type="dxa"/>
            </w:tcMar>
            <w:vAlign w:val="center"/>
          </w:tcPr>
          <w:p>
            <w:pPr>
              <w:spacing w:after="0"/>
            </w:pPr>
            <w:r>
              <w:rPr>
                <w:rFonts w:ascii="Roboto" w:hAnsi="Roboto"/>
                <w:b/>
                <w:color w:val="163B43"/>
                <w:sz w:val="16"/>
              </w:rPr>
              <w:t>Modelo</w:t>
            </w:r>
          </w:p>
        </w:tc>
        <w:tc>
          <w:tcPr>
            <w:tcW w:type="dxa" w:w="2052"/>
            <w:shd w:fill="DCEBEC"/>
            <w:tcMar>
              <w:top w:w="70" w:type="dxa"/>
              <w:start w:w="80" w:type="dxa"/>
              <w:bottom w:w="70" w:type="dxa"/>
              <w:end w:w="80" w:type="dxa"/>
            </w:tcMar>
            <w:vAlign w:val="center"/>
          </w:tcPr>
          <w:p>
            <w:pPr>
              <w:spacing w:after="0"/>
            </w:pPr>
            <w:r>
              <w:rPr>
                <w:rFonts w:ascii="Roboto" w:hAnsi="Roboto"/>
                <w:b/>
                <w:color w:val="163B43"/>
                <w:sz w:val="16"/>
              </w:rPr>
              <w:t>Fortaleza</w:t>
            </w:r>
          </w:p>
        </w:tc>
        <w:tc>
          <w:tcPr>
            <w:tcW w:type="dxa" w:w="2052"/>
            <w:shd w:fill="DCEBEC"/>
            <w:tcMar>
              <w:top w:w="70" w:type="dxa"/>
              <w:start w:w="80" w:type="dxa"/>
              <w:bottom w:w="70" w:type="dxa"/>
              <w:end w:w="80" w:type="dxa"/>
            </w:tcMar>
            <w:vAlign w:val="center"/>
          </w:tcPr>
          <w:p>
            <w:pPr>
              <w:spacing w:after="0"/>
            </w:pPr>
            <w:r>
              <w:rPr>
                <w:rFonts w:ascii="Roboto" w:hAnsi="Roboto"/>
                <w:b/>
                <w:color w:val="163B43"/>
                <w:sz w:val="16"/>
              </w:rPr>
              <w:t>Debilidad</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Elysium Index</w:t>
            </w:r>
          </w:p>
        </w:tc>
        <w:tc>
          <w:tcPr>
            <w:tcW w:type="dxa" w:w="2052"/>
            <w:tcMar>
              <w:top w:w="70" w:type="dxa"/>
              <w:start w:w="80" w:type="dxa"/>
              <w:bottom w:w="70" w:type="dxa"/>
              <w:end w:w="80" w:type="dxa"/>
            </w:tcMar>
            <w:vAlign w:val="top"/>
          </w:tcPr>
          <w:p>
            <w:pPr>
              <w:spacing w:after="0" w:line="240" w:lineRule="auto"/>
            </w:pPr>
            <w:r>
              <w:rPr>
                <w:rFonts w:ascii="Roboto" w:hAnsi="Roboto"/>
                <w:sz w:val="15"/>
              </w:rPr>
              <w:t>US$299/kit</w:t>
            </w:r>
          </w:p>
        </w:tc>
        <w:tc>
          <w:tcPr>
            <w:tcW w:type="dxa" w:w="2052"/>
            <w:tcMar>
              <w:top w:w="70" w:type="dxa"/>
              <w:start w:w="80" w:type="dxa"/>
              <w:bottom w:w="70" w:type="dxa"/>
              <w:end w:w="80" w:type="dxa"/>
            </w:tcMar>
            <w:vAlign w:val="top"/>
          </w:tcPr>
          <w:p>
            <w:pPr>
              <w:spacing w:after="0" w:line="240" w:lineRule="auto"/>
            </w:pPr>
            <w:r>
              <w:rPr>
                <w:rFonts w:ascii="Roboto" w:hAnsi="Roboto"/>
                <w:sz w:val="15"/>
              </w:rPr>
              <w:t>Pago único por kit epigenético</w:t>
            </w:r>
          </w:p>
        </w:tc>
        <w:tc>
          <w:tcPr>
            <w:tcW w:type="dxa" w:w="2052"/>
            <w:tcMar>
              <w:top w:w="70" w:type="dxa"/>
              <w:start w:w="80" w:type="dxa"/>
              <w:bottom w:w="70" w:type="dxa"/>
              <w:end w:w="80" w:type="dxa"/>
            </w:tcMar>
            <w:vAlign w:val="top"/>
          </w:tcPr>
          <w:p>
            <w:pPr>
              <w:spacing w:after="0" w:line="240" w:lineRule="auto"/>
            </w:pPr>
            <w:r>
              <w:rPr>
                <w:rFonts w:ascii="Roboto" w:hAnsi="Roboto"/>
                <w:sz w:val="15"/>
              </w:rPr>
              <w:t>Medición molecular y marca científica</w:t>
            </w:r>
          </w:p>
        </w:tc>
        <w:tc>
          <w:tcPr>
            <w:tcW w:type="dxa" w:w="2052"/>
            <w:tcMar>
              <w:top w:w="70" w:type="dxa"/>
              <w:start w:w="80" w:type="dxa"/>
              <w:bottom w:w="70" w:type="dxa"/>
              <w:end w:w="80" w:type="dxa"/>
            </w:tcMar>
            <w:vAlign w:val="top"/>
          </w:tcPr>
          <w:p>
            <w:pPr>
              <w:spacing w:after="0" w:line="240" w:lineRule="auto"/>
            </w:pPr>
            <w:r>
              <w:rPr>
                <w:rFonts w:ascii="Roboto" w:hAnsi="Roboto"/>
                <w:sz w:val="15"/>
              </w:rPr>
              <w:t>Precio alto, espera y muestra; fricción para curiosidad inicial</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TruDiagnostic TruAge</w:t>
            </w:r>
          </w:p>
        </w:tc>
        <w:tc>
          <w:tcPr>
            <w:tcW w:type="dxa" w:w="2052"/>
            <w:tcMar>
              <w:top w:w="70" w:type="dxa"/>
              <w:start w:w="80" w:type="dxa"/>
              <w:bottom w:w="70" w:type="dxa"/>
              <w:end w:w="80" w:type="dxa"/>
            </w:tcMar>
            <w:vAlign w:val="top"/>
          </w:tcPr>
          <w:p>
            <w:pPr>
              <w:spacing w:after="0" w:line="240" w:lineRule="auto"/>
            </w:pPr>
            <w:r>
              <w:rPr>
                <w:rFonts w:ascii="Roboto" w:hAnsi="Roboto"/>
                <w:sz w:val="15"/>
              </w:rPr>
              <w:t>US$499/test</w:t>
            </w:r>
          </w:p>
        </w:tc>
        <w:tc>
          <w:tcPr>
            <w:tcW w:type="dxa" w:w="2052"/>
            <w:tcMar>
              <w:top w:w="70" w:type="dxa"/>
              <w:start w:w="80" w:type="dxa"/>
              <w:bottom w:w="70" w:type="dxa"/>
              <w:end w:w="80" w:type="dxa"/>
            </w:tcMar>
            <w:vAlign w:val="top"/>
          </w:tcPr>
          <w:p>
            <w:pPr>
              <w:spacing w:after="0" w:line="240" w:lineRule="auto"/>
            </w:pPr>
            <w:r>
              <w:rPr>
                <w:rFonts w:ascii="Roboto" w:hAnsi="Roboto"/>
                <w:sz w:val="15"/>
              </w:rPr>
              <w:t>Pago único; upsells de paneles</w:t>
            </w:r>
          </w:p>
        </w:tc>
        <w:tc>
          <w:tcPr>
            <w:tcW w:type="dxa" w:w="2052"/>
            <w:tcMar>
              <w:top w:w="70" w:type="dxa"/>
              <w:start w:w="80" w:type="dxa"/>
              <w:bottom w:w="70" w:type="dxa"/>
              <w:end w:w="80" w:type="dxa"/>
            </w:tcMar>
            <w:vAlign w:val="top"/>
          </w:tcPr>
          <w:p>
            <w:pPr>
              <w:spacing w:after="0" w:line="240" w:lineRule="auto"/>
            </w:pPr>
            <w:r>
              <w:rPr>
                <w:rFonts w:ascii="Roboto" w:hAnsi="Roboto"/>
                <w:sz w:val="15"/>
              </w:rPr>
              <w:t>Epigenética y múltiples outputs</w:t>
            </w:r>
          </w:p>
        </w:tc>
        <w:tc>
          <w:tcPr>
            <w:tcW w:type="dxa" w:w="2052"/>
            <w:tcMar>
              <w:top w:w="70" w:type="dxa"/>
              <w:start w:w="80" w:type="dxa"/>
              <w:bottom w:w="70" w:type="dxa"/>
              <w:end w:w="80" w:type="dxa"/>
            </w:tcMar>
            <w:vAlign w:val="top"/>
          </w:tcPr>
          <w:p>
            <w:pPr>
              <w:spacing w:after="0" w:line="240" w:lineRule="auto"/>
            </w:pPr>
            <w:r>
              <w:rPr>
                <w:rFonts w:ascii="Roboto" w:hAnsi="Roboto"/>
                <w:sz w:val="15"/>
              </w:rPr>
              <w:t>Muy caro para uso masivo; requiere muestra y semanas</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GlycanAge</w:t>
            </w:r>
          </w:p>
        </w:tc>
        <w:tc>
          <w:tcPr>
            <w:tcW w:type="dxa" w:w="2052"/>
            <w:tcMar>
              <w:top w:w="70" w:type="dxa"/>
              <w:start w:w="80" w:type="dxa"/>
              <w:bottom w:w="70" w:type="dxa"/>
              <w:end w:w="80" w:type="dxa"/>
            </w:tcMar>
            <w:vAlign w:val="top"/>
          </w:tcPr>
          <w:p>
            <w:pPr>
              <w:spacing w:after="0" w:line="240" w:lineRule="auto"/>
            </w:pPr>
            <w:r>
              <w:rPr>
                <w:rFonts w:ascii="Roboto" w:hAnsi="Roboto"/>
                <w:sz w:val="15"/>
              </w:rPr>
              <w:t>US$499 one-off; US$449 anual con descuento</w:t>
            </w:r>
          </w:p>
        </w:tc>
        <w:tc>
          <w:tcPr>
            <w:tcW w:type="dxa" w:w="2052"/>
            <w:tcMar>
              <w:top w:w="70" w:type="dxa"/>
              <w:start w:w="80" w:type="dxa"/>
              <w:bottom w:w="70" w:type="dxa"/>
              <w:end w:w="80" w:type="dxa"/>
            </w:tcMar>
            <w:vAlign w:val="top"/>
          </w:tcPr>
          <w:p>
            <w:pPr>
              <w:spacing w:after="0" w:line="240" w:lineRule="auto"/>
            </w:pPr>
            <w:r>
              <w:rPr>
                <w:rFonts w:ascii="Roboto" w:hAnsi="Roboto"/>
                <w:sz w:val="15"/>
              </w:rPr>
              <w:t>Kit + repetición/suscripción</w:t>
            </w:r>
          </w:p>
        </w:tc>
        <w:tc>
          <w:tcPr>
            <w:tcW w:type="dxa" w:w="2052"/>
            <w:tcMar>
              <w:top w:w="70" w:type="dxa"/>
              <w:start w:w="80" w:type="dxa"/>
              <w:bottom w:w="70" w:type="dxa"/>
              <w:end w:w="80" w:type="dxa"/>
            </w:tcMar>
            <w:vAlign w:val="top"/>
          </w:tcPr>
          <w:p>
            <w:pPr>
              <w:spacing w:after="0" w:line="240" w:lineRule="auto"/>
            </w:pPr>
            <w:r>
              <w:rPr>
                <w:rFonts w:ascii="Roboto" w:hAnsi="Roboto"/>
                <w:sz w:val="15"/>
              </w:rPr>
              <w:t>Narrativa de inflammaging + consulta</w:t>
            </w:r>
          </w:p>
        </w:tc>
        <w:tc>
          <w:tcPr>
            <w:tcW w:type="dxa" w:w="2052"/>
            <w:tcMar>
              <w:top w:w="70" w:type="dxa"/>
              <w:start w:w="80" w:type="dxa"/>
              <w:bottom w:w="70" w:type="dxa"/>
              <w:end w:w="80" w:type="dxa"/>
            </w:tcMar>
            <w:vAlign w:val="top"/>
          </w:tcPr>
          <w:p>
            <w:pPr>
              <w:spacing w:after="0" w:line="240" w:lineRule="auto"/>
            </w:pPr>
            <w:r>
              <w:rPr>
                <w:rFonts w:ascii="Roboto" w:hAnsi="Roboto"/>
                <w:sz w:val="15"/>
              </w:rPr>
              <w:t>Costo y logística; no es instantáneo</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InsideTracker InnerAge</w:t>
            </w:r>
          </w:p>
        </w:tc>
        <w:tc>
          <w:tcPr>
            <w:tcW w:type="dxa" w:w="2052"/>
            <w:tcMar>
              <w:top w:w="70" w:type="dxa"/>
              <w:start w:w="80" w:type="dxa"/>
              <w:bottom w:w="70" w:type="dxa"/>
              <w:end w:w="80" w:type="dxa"/>
            </w:tcMar>
            <w:vAlign w:val="top"/>
          </w:tcPr>
          <w:p>
            <w:pPr>
              <w:spacing w:after="0" w:line="240" w:lineRule="auto"/>
            </w:pPr>
            <w:r>
              <w:rPr>
                <w:rFonts w:ascii="Roboto" w:hAnsi="Roboto"/>
                <w:sz w:val="15"/>
              </w:rPr>
              <w:t>US$99 por cálculo, además de datos/membresía compatibles</w:t>
            </w:r>
          </w:p>
        </w:tc>
        <w:tc>
          <w:tcPr>
            <w:tcW w:type="dxa" w:w="2052"/>
            <w:tcMar>
              <w:top w:w="70" w:type="dxa"/>
              <w:start w:w="80" w:type="dxa"/>
              <w:bottom w:w="70" w:type="dxa"/>
              <w:end w:w="80" w:type="dxa"/>
            </w:tcMar>
            <w:vAlign w:val="top"/>
          </w:tcPr>
          <w:p>
            <w:pPr>
              <w:spacing w:after="0" w:line="240" w:lineRule="auto"/>
            </w:pPr>
            <w:r>
              <w:rPr>
                <w:rFonts w:ascii="Roboto" w:hAnsi="Roboto"/>
                <w:sz w:val="15"/>
              </w:rPr>
              <w:t>Add-on dentro de plataforma de biomarcadores</w:t>
            </w:r>
          </w:p>
        </w:tc>
        <w:tc>
          <w:tcPr>
            <w:tcW w:type="dxa" w:w="2052"/>
            <w:tcMar>
              <w:top w:w="70" w:type="dxa"/>
              <w:start w:w="80" w:type="dxa"/>
              <w:bottom w:w="70" w:type="dxa"/>
              <w:end w:w="80" w:type="dxa"/>
            </w:tcMar>
            <w:vAlign w:val="top"/>
          </w:tcPr>
          <w:p>
            <w:pPr>
              <w:spacing w:after="0" w:line="240" w:lineRule="auto"/>
            </w:pPr>
            <w:r>
              <w:rPr>
                <w:rFonts w:ascii="Roboto" w:hAnsi="Roboto"/>
                <w:sz w:val="15"/>
              </w:rPr>
              <w:t>Acción sobre biomarcadores</w:t>
            </w:r>
          </w:p>
        </w:tc>
        <w:tc>
          <w:tcPr>
            <w:tcW w:type="dxa" w:w="2052"/>
            <w:tcMar>
              <w:top w:w="70" w:type="dxa"/>
              <w:start w:w="80" w:type="dxa"/>
              <w:bottom w:w="70" w:type="dxa"/>
              <w:end w:w="80" w:type="dxa"/>
            </w:tcMar>
            <w:vAlign w:val="top"/>
          </w:tcPr>
          <w:p>
            <w:pPr>
              <w:spacing w:after="0" w:line="240" w:lineRule="auto"/>
            </w:pPr>
            <w:r>
              <w:rPr>
                <w:rFonts w:ascii="Roboto" w:hAnsi="Roboto"/>
                <w:sz w:val="15"/>
              </w:rPr>
              <w:t>Depende de sangre y ecosistema previo</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Function Health</w:t>
            </w:r>
          </w:p>
        </w:tc>
        <w:tc>
          <w:tcPr>
            <w:tcW w:type="dxa" w:w="2052"/>
            <w:tcMar>
              <w:top w:w="70" w:type="dxa"/>
              <w:start w:w="80" w:type="dxa"/>
              <w:bottom w:w="70" w:type="dxa"/>
              <w:end w:w="80" w:type="dxa"/>
            </w:tcMar>
            <w:vAlign w:val="top"/>
          </w:tcPr>
          <w:p>
            <w:pPr>
              <w:spacing w:after="0" w:line="240" w:lineRule="auto"/>
            </w:pPr>
            <w:r>
              <w:rPr>
                <w:rFonts w:ascii="Roboto" w:hAnsi="Roboto"/>
                <w:sz w:val="15"/>
              </w:rPr>
              <w:t>US$365/año</w:t>
            </w:r>
          </w:p>
        </w:tc>
        <w:tc>
          <w:tcPr>
            <w:tcW w:type="dxa" w:w="2052"/>
            <w:tcMar>
              <w:top w:w="70" w:type="dxa"/>
              <w:start w:w="80" w:type="dxa"/>
              <w:bottom w:w="70" w:type="dxa"/>
              <w:end w:w="80" w:type="dxa"/>
            </w:tcMar>
            <w:vAlign w:val="top"/>
          </w:tcPr>
          <w:p>
            <w:pPr>
              <w:spacing w:after="0" w:line="240" w:lineRule="auto"/>
            </w:pPr>
            <w:r>
              <w:rPr>
                <w:rFonts w:ascii="Roboto" w:hAnsi="Roboto"/>
                <w:sz w:val="15"/>
              </w:rPr>
              <w:t>Membresía anual de laboratorio/insights</w:t>
            </w:r>
          </w:p>
        </w:tc>
        <w:tc>
          <w:tcPr>
            <w:tcW w:type="dxa" w:w="2052"/>
            <w:tcMar>
              <w:top w:w="70" w:type="dxa"/>
              <w:start w:w="80" w:type="dxa"/>
              <w:bottom w:w="70" w:type="dxa"/>
              <w:end w:w="80" w:type="dxa"/>
            </w:tcMar>
            <w:vAlign w:val="top"/>
          </w:tcPr>
          <w:p>
            <w:pPr>
              <w:spacing w:after="0" w:line="240" w:lineRule="auto"/>
            </w:pPr>
            <w:r>
              <w:rPr>
                <w:rFonts w:ascii="Roboto" w:hAnsi="Roboto"/>
                <w:sz w:val="15"/>
              </w:rPr>
              <w:t>160+ pruebas, longitudinalidad y revisión clínica</w:t>
            </w:r>
          </w:p>
        </w:tc>
        <w:tc>
          <w:tcPr>
            <w:tcW w:type="dxa" w:w="2052"/>
            <w:tcMar>
              <w:top w:w="70" w:type="dxa"/>
              <w:start w:w="80" w:type="dxa"/>
              <w:bottom w:w="70" w:type="dxa"/>
              <w:end w:w="80" w:type="dxa"/>
            </w:tcMar>
            <w:vAlign w:val="top"/>
          </w:tcPr>
          <w:p>
            <w:pPr>
              <w:spacing w:after="0" w:line="240" w:lineRule="auto"/>
            </w:pPr>
            <w:r>
              <w:rPr>
                <w:rFonts w:ascii="Roboto" w:hAnsi="Roboto"/>
                <w:sz w:val="15"/>
              </w:rPr>
              <w:t>US-only, visita de laboratorio y precio de membresía</w:t>
            </w:r>
          </w:p>
        </w:tc>
      </w:tr>
      <w:tr>
        <w:trPr>
          <w:cantSplit/>
        </w:trPr>
        <w:tc>
          <w:tcPr>
            <w:tcW w:type="dxa" w:w="2052"/>
            <w:tcMar>
              <w:top w:w="70" w:type="dxa"/>
              <w:start w:w="80" w:type="dxa"/>
              <w:bottom w:w="70" w:type="dxa"/>
              <w:end w:w="80" w:type="dxa"/>
            </w:tcMar>
            <w:vAlign w:val="top"/>
          </w:tcPr>
          <w:p>
            <w:pPr>
              <w:spacing w:after="0" w:line="240" w:lineRule="auto"/>
            </w:pPr>
            <w:r>
              <w:rPr>
                <w:rFonts w:ascii="Roboto" w:hAnsi="Roboto"/>
                <w:sz w:val="15"/>
              </w:rPr>
              <w:t>HowOldIsMyBody.org</w:t>
            </w:r>
          </w:p>
        </w:tc>
        <w:tc>
          <w:tcPr>
            <w:tcW w:type="dxa" w:w="2052"/>
            <w:tcMar>
              <w:top w:w="70" w:type="dxa"/>
              <w:start w:w="80" w:type="dxa"/>
              <w:bottom w:w="70" w:type="dxa"/>
              <w:end w:w="80" w:type="dxa"/>
            </w:tcMar>
            <w:vAlign w:val="top"/>
          </w:tcPr>
          <w:p>
            <w:pPr>
              <w:spacing w:after="0" w:line="240" w:lineRule="auto"/>
            </w:pPr>
            <w:r>
              <w:rPr>
                <w:rFonts w:ascii="Roboto" w:hAnsi="Roboto"/>
                <w:sz w:val="15"/>
              </w:rPr>
              <w:t>Gratis</w:t>
            </w:r>
          </w:p>
        </w:tc>
        <w:tc>
          <w:tcPr>
            <w:tcW w:type="dxa" w:w="2052"/>
            <w:tcMar>
              <w:top w:w="70" w:type="dxa"/>
              <w:start w:w="80" w:type="dxa"/>
              <w:bottom w:w="70" w:type="dxa"/>
              <w:end w:w="80" w:type="dxa"/>
            </w:tcMar>
            <w:vAlign w:val="top"/>
          </w:tcPr>
          <w:p>
            <w:pPr>
              <w:spacing w:after="0" w:line="240" w:lineRule="auto"/>
            </w:pPr>
            <w:r>
              <w:rPr>
                <w:rFonts w:ascii="Roboto" w:hAnsi="Roboto"/>
                <w:sz w:val="15"/>
              </w:rPr>
              <w:t>Contenido/SEO; calculadora educativa</w:t>
            </w:r>
          </w:p>
        </w:tc>
        <w:tc>
          <w:tcPr>
            <w:tcW w:type="dxa" w:w="2052"/>
            <w:tcMar>
              <w:top w:w="70" w:type="dxa"/>
              <w:start w:w="80" w:type="dxa"/>
              <w:bottom w:w="70" w:type="dxa"/>
              <w:end w:w="80" w:type="dxa"/>
            </w:tcMar>
            <w:vAlign w:val="top"/>
          </w:tcPr>
          <w:p>
            <w:pPr>
              <w:spacing w:after="0" w:line="240" w:lineRule="auto"/>
            </w:pPr>
            <w:r>
              <w:rPr>
                <w:rFonts w:ascii="Roboto" w:hAnsi="Roboto"/>
                <w:sz w:val="15"/>
              </w:rPr>
              <w:t>Cero fricción y sin laboratorio</w:t>
            </w:r>
          </w:p>
        </w:tc>
        <w:tc>
          <w:tcPr>
            <w:tcW w:type="dxa" w:w="2052"/>
            <w:tcMar>
              <w:top w:w="70" w:type="dxa"/>
              <w:start w:w="80" w:type="dxa"/>
              <w:bottom w:w="70" w:type="dxa"/>
              <w:end w:w="80" w:type="dxa"/>
            </w:tcMar>
            <w:vAlign w:val="top"/>
          </w:tcPr>
          <w:p>
            <w:pPr>
              <w:spacing w:after="0" w:line="240" w:lineRule="auto"/>
            </w:pPr>
            <w:r>
              <w:rPr>
                <w:rFonts w:ascii="Roboto" w:hAnsi="Roboto"/>
                <w:sz w:val="15"/>
              </w:rPr>
              <w:t>Estimaciones de estilo de vida; no presenta validación predictiva individual comparable</w:t>
            </w:r>
          </w:p>
        </w:tc>
      </w:tr>
    </w:tbl>
    <w:p>
      <w:pPr>
        <w:spacing w:after="0"/>
      </w:pPr>
    </w:p>
    <w:p>
      <w:pPr>
        <w:widowControl/>
      </w:pPr>
      <w:r>
        <w:rPr>
          <w:rFonts w:ascii="Roboto" w:hAnsi="Roboto"/>
          <w:b/>
          <w:sz w:val="18"/>
        </w:rPr>
        <w:t>Hueco no cubierto bien:</w:t>
      </w:r>
      <w:r>
        <w:rPr>
          <w:rFonts w:ascii="Roboto" w:hAnsi="Roboto"/>
          <w:sz w:val="18"/>
        </w:rPr>
        <w:t xml:space="preserve"> una evaluación </w:t>
      </w:r>
      <w:r>
        <w:rPr>
          <w:rFonts w:ascii="Roboto" w:hAnsi="Roboto"/>
          <w:b/>
          <w:sz w:val="18"/>
        </w:rPr>
        <w:t>instantánea, sin laboratorio, &lt;90 s, de bajo precio, calibrada contra outcomes reales</w:t>
      </w:r>
      <w:r>
        <w:rPr>
          <w:rFonts w:ascii="Roboto" w:hAnsi="Roboto"/>
          <w:sz w:val="18"/>
        </w:rPr>
        <w:t>, que muestre incertidumbre y explique exactamente qué significa la “edad”. Los gratuitos ganan en fricción pero suelen perder en validación; los tests moleculares ganan en profundidad pero pierden en precio, espera y logística.</w:t>
      </w:r>
    </w:p>
    <w:p>
      <w:pPr>
        <w:pStyle w:val="Heading1"/>
      </w:pPr>
      <w:r>
        <w:rPr>
          <w:rFonts w:ascii="Roboto" w:hAnsi="Roboto"/>
          <w:sz w:val="30"/>
        </w:rPr>
        <w:t>5. Público, países y Job-To-Be-Done</w:t>
      </w:r>
    </w:p>
    <w:tbl>
      <w:tblPr>
        <w:tblStyle w:val="TableGrid"/>
        <w:tblW w:type="auto" w:w="0"/>
        <w:jc w:val="center"/>
        <w:tblLayout w:type="autofit"/>
        <w:tblLook w:firstColumn="1" w:firstRow="1" w:lastColumn="0" w:lastRow="0" w:noHBand="0" w:noVBand="1" w:val="04A0"/>
      </w:tblPr>
      <w:tblGrid>
        <w:gridCol w:w="2565"/>
        <w:gridCol w:w="2565"/>
        <w:gridCol w:w="2565"/>
        <w:gridCol w:w="2565"/>
      </w:tblGrid>
      <w:tr>
        <w:trPr>
          <w:tblHeader w:val="true"/>
        </w:trPr>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Segmento</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Tamaño estimado</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Dolor</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Trigger</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Longevity-curious professionals 35–54</w:t>
            </w:r>
          </w:p>
        </w:tc>
        <w:tc>
          <w:tcPr>
            <w:tcW w:type="dxa" w:w="2565"/>
            <w:tcMar>
              <w:top w:w="70" w:type="dxa"/>
              <w:start w:w="80" w:type="dxa"/>
              <w:bottom w:w="70" w:type="dxa"/>
              <w:end w:w="80" w:type="dxa"/>
            </w:tcMar>
            <w:vAlign w:val="top"/>
          </w:tcPr>
          <w:p>
            <w:pPr>
              <w:spacing w:after="0" w:line="240" w:lineRule="auto"/>
            </w:pPr>
            <w:r>
              <w:rPr>
                <w:rFonts w:ascii="Roboto" w:hAnsi="Roboto"/>
                <w:sz w:val="16"/>
              </w:rPr>
              <w:t>~70–150 M globales online (estimación top-down, no censo)</w:t>
            </w:r>
          </w:p>
        </w:tc>
        <w:tc>
          <w:tcPr>
            <w:tcW w:type="dxa" w:w="2565"/>
            <w:tcMar>
              <w:top w:w="70" w:type="dxa"/>
              <w:start w:w="80" w:type="dxa"/>
              <w:bottom w:w="70" w:type="dxa"/>
              <w:end w:w="80" w:type="dxa"/>
            </w:tcMar>
            <w:vAlign w:val="top"/>
          </w:tcPr>
          <w:p>
            <w:pPr>
              <w:spacing w:after="0" w:line="240" w:lineRule="auto"/>
            </w:pPr>
            <w:r>
              <w:rPr>
                <w:rFonts w:ascii="Roboto" w:hAnsi="Roboto"/>
                <w:sz w:val="16"/>
              </w:rPr>
              <w:t>Quieren una señal cuantificada sin gastar US$300–500 ni ir a un laboratorio.</w:t>
            </w:r>
          </w:p>
        </w:tc>
        <w:tc>
          <w:tcPr>
            <w:tcW w:type="dxa" w:w="2565"/>
            <w:tcMar>
              <w:top w:w="70" w:type="dxa"/>
              <w:start w:w="80" w:type="dxa"/>
              <w:bottom w:w="70" w:type="dxa"/>
              <w:end w:w="80" w:type="dxa"/>
            </w:tcMar>
            <w:vAlign w:val="top"/>
          </w:tcPr>
          <w:p>
            <w:pPr>
              <w:spacing w:after="0" w:line="240" w:lineRule="auto"/>
            </w:pPr>
            <w:r>
              <w:rPr>
                <w:rFonts w:ascii="Roboto" w:hAnsi="Roboto"/>
                <w:sz w:val="16"/>
              </w:rPr>
              <w:t>Cumpleaños, chequeo anual, aparición de contenido de longevidad, familiar enfermo o compra de wearable.</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Prevention-minded adults 50–69</w:t>
            </w:r>
          </w:p>
        </w:tc>
        <w:tc>
          <w:tcPr>
            <w:tcW w:type="dxa" w:w="2565"/>
            <w:tcMar>
              <w:top w:w="70" w:type="dxa"/>
              <w:start w:w="80" w:type="dxa"/>
              <w:bottom w:w="70" w:type="dxa"/>
              <w:end w:w="80" w:type="dxa"/>
            </w:tcMar>
            <w:vAlign w:val="top"/>
          </w:tcPr>
          <w:p>
            <w:pPr>
              <w:spacing w:after="0" w:line="240" w:lineRule="auto"/>
            </w:pPr>
            <w:r>
              <w:rPr>
                <w:rFonts w:ascii="Roboto" w:hAnsi="Roboto"/>
                <w:sz w:val="16"/>
              </w:rPr>
              <w:t>~120–250 M globales online (estimación)</w:t>
            </w:r>
          </w:p>
        </w:tc>
        <w:tc>
          <w:tcPr>
            <w:tcW w:type="dxa" w:w="2565"/>
            <w:tcMar>
              <w:top w:w="70" w:type="dxa"/>
              <w:start w:w="80" w:type="dxa"/>
              <w:bottom w:w="70" w:type="dxa"/>
              <w:end w:w="80" w:type="dxa"/>
            </w:tcMar>
            <w:vAlign w:val="top"/>
          </w:tcPr>
          <w:p>
            <w:pPr>
              <w:spacing w:after="0" w:line="240" w:lineRule="auto"/>
            </w:pPr>
            <w:r>
              <w:rPr>
                <w:rFonts w:ascii="Roboto" w:hAnsi="Roboto"/>
                <w:sz w:val="16"/>
              </w:rPr>
              <w:t>Necesitan traducir hábitos y diagnósticos conocidos a una señal comprensible de riesgo.</w:t>
            </w:r>
          </w:p>
        </w:tc>
        <w:tc>
          <w:tcPr>
            <w:tcW w:type="dxa" w:w="2565"/>
            <w:tcMar>
              <w:top w:w="70" w:type="dxa"/>
              <w:start w:w="80" w:type="dxa"/>
              <w:bottom w:w="70" w:type="dxa"/>
              <w:end w:w="80" w:type="dxa"/>
            </w:tcMar>
            <w:vAlign w:val="top"/>
          </w:tcPr>
          <w:p>
            <w:pPr>
              <w:spacing w:after="0" w:line="240" w:lineRule="auto"/>
            </w:pPr>
            <w:r>
              <w:rPr>
                <w:rFonts w:ascii="Roboto" w:hAnsi="Roboto"/>
                <w:sz w:val="16"/>
              </w:rPr>
              <w:t>Resultado médico limítrofe, cambio de peso, diagnóstico en la familia, jubilación o seguro/planificación.</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Quantified-self / fitness optimizers 30–49</w:t>
            </w:r>
          </w:p>
        </w:tc>
        <w:tc>
          <w:tcPr>
            <w:tcW w:type="dxa" w:w="2565"/>
            <w:tcMar>
              <w:top w:w="70" w:type="dxa"/>
              <w:start w:w="80" w:type="dxa"/>
              <w:bottom w:w="70" w:type="dxa"/>
              <w:end w:w="80" w:type="dxa"/>
            </w:tcMar>
            <w:vAlign w:val="top"/>
          </w:tcPr>
          <w:p>
            <w:pPr>
              <w:spacing w:after="0" w:line="240" w:lineRule="auto"/>
            </w:pPr>
            <w:r>
              <w:rPr>
                <w:rFonts w:ascii="Roboto" w:hAnsi="Roboto"/>
                <w:sz w:val="16"/>
              </w:rPr>
              <w:t>~30–80 M globales (estimación)</w:t>
            </w:r>
          </w:p>
        </w:tc>
        <w:tc>
          <w:tcPr>
            <w:tcW w:type="dxa" w:w="2565"/>
            <w:tcMar>
              <w:top w:w="70" w:type="dxa"/>
              <w:start w:w="80" w:type="dxa"/>
              <w:bottom w:w="70" w:type="dxa"/>
              <w:end w:w="80" w:type="dxa"/>
            </w:tcMar>
            <w:vAlign w:val="top"/>
          </w:tcPr>
          <w:p>
            <w:pPr>
              <w:spacing w:after="0" w:line="240" w:lineRule="auto"/>
            </w:pPr>
            <w:r>
              <w:rPr>
                <w:rFonts w:ascii="Roboto" w:hAnsi="Roboto"/>
                <w:sz w:val="16"/>
              </w:rPr>
              <w:t>Tienen métricas dispersas pero no una síntesis longitudinal interpretable.</w:t>
            </w:r>
          </w:p>
        </w:tc>
        <w:tc>
          <w:tcPr>
            <w:tcW w:type="dxa" w:w="2565"/>
            <w:tcMar>
              <w:top w:w="70" w:type="dxa"/>
              <w:start w:w="80" w:type="dxa"/>
              <w:bottom w:w="70" w:type="dxa"/>
              <w:end w:w="80" w:type="dxa"/>
            </w:tcMar>
            <w:vAlign w:val="top"/>
          </w:tcPr>
          <w:p>
            <w:pPr>
              <w:spacing w:after="0" w:line="240" w:lineRule="auto"/>
            </w:pPr>
            <w:r>
              <w:rPr>
                <w:rFonts w:ascii="Roboto" w:hAnsi="Roboto"/>
                <w:sz w:val="16"/>
              </w:rPr>
              <w:t>Nuevo programa de entrenamiento, mejora de VO2max/peso/sueño, reto de 90 días o comparación con amigos.</w:t>
            </w:r>
          </w:p>
        </w:tc>
      </w:tr>
    </w:tbl>
    <w:p>
      <w:pPr>
        <w:spacing w:after="0"/>
      </w:pPr>
    </w:p>
    <w:p>
      <w:pPr>
        <w:widowControl/>
      </w:pPr>
      <w:r>
        <w:rPr>
          <w:rFonts w:ascii="Roboto" w:hAnsi="Roboto"/>
          <w:b/>
          <w:sz w:val="18"/>
        </w:rPr>
        <w:t>Todas las cifras de segmento son estimaciones</w:t>
      </w:r>
      <w:r>
        <w:rPr>
          <w:rFonts w:ascii="Roboto" w:hAnsi="Roboto"/>
          <w:sz w:val="18"/>
        </w:rPr>
        <w:t>, construidas top-down y deliberadamente conservadoras; no son censos. Deben validarse con tráfico, CPC y conversiones reales.</w:t>
      </w:r>
    </w:p>
    <w:tbl>
      <w:tblPr>
        <w:tblStyle w:val="TableGrid"/>
        <w:tblW w:type="auto" w:w="0"/>
        <w:jc w:val="center"/>
        <w:tblLayout w:type="autofit"/>
        <w:tblLook w:firstColumn="1" w:firstRow="1" w:lastColumn="0" w:lastRow="0" w:noHBand="0" w:noVBand="1" w:val="04A0"/>
      </w:tblPr>
      <w:tblGrid>
        <w:gridCol w:w="2565"/>
        <w:gridCol w:w="2565"/>
        <w:gridCol w:w="2565"/>
        <w:gridCol w:w="2565"/>
      </w:tblGrid>
      <w:tr>
        <w:trPr>
          <w:tblHeader w:val="true"/>
        </w:trPr>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Orden</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País</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Por qué</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Entrada</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1</w:t>
            </w:r>
          </w:p>
        </w:tc>
        <w:tc>
          <w:tcPr>
            <w:tcW w:type="dxa" w:w="2565"/>
            <w:tcMar>
              <w:top w:w="70" w:type="dxa"/>
              <w:start w:w="80" w:type="dxa"/>
              <w:bottom w:w="70" w:type="dxa"/>
              <w:end w:w="80" w:type="dxa"/>
            </w:tcMar>
            <w:vAlign w:val="top"/>
          </w:tcPr>
          <w:p>
            <w:pPr>
              <w:spacing w:after="0" w:line="240" w:lineRule="auto"/>
            </w:pPr>
            <w:r>
              <w:rPr>
                <w:rFonts w:ascii="Roboto" w:hAnsi="Roboto"/>
                <w:sz w:val="16"/>
              </w:rPr>
              <w:t>United States</w:t>
            </w:r>
          </w:p>
        </w:tc>
        <w:tc>
          <w:tcPr>
            <w:tcW w:type="dxa" w:w="2565"/>
            <w:tcMar>
              <w:top w:w="70" w:type="dxa"/>
              <w:start w:w="80" w:type="dxa"/>
              <w:bottom w:w="70" w:type="dxa"/>
              <w:end w:w="80" w:type="dxa"/>
            </w:tcMar>
            <w:vAlign w:val="top"/>
          </w:tcPr>
          <w:p>
            <w:pPr>
              <w:spacing w:after="0" w:line="240" w:lineRule="auto"/>
            </w:pPr>
            <w:r>
              <w:rPr>
                <w:rFonts w:ascii="Roboto" w:hAnsi="Roboto"/>
                <w:sz w:val="16"/>
              </w:rPr>
              <w:t>Datos de entrenamiento/validación más accesibles (NHANES/NHIS+NDI), gasto alto y ecosistema longevity maduro.</w:t>
            </w:r>
          </w:p>
        </w:tc>
        <w:tc>
          <w:tcPr>
            <w:tcW w:type="dxa" w:w="2565"/>
            <w:tcMar>
              <w:top w:w="70" w:type="dxa"/>
              <w:start w:w="80" w:type="dxa"/>
              <w:bottom w:w="70" w:type="dxa"/>
              <w:end w:w="80" w:type="dxa"/>
            </w:tcMar>
            <w:vAlign w:val="top"/>
          </w:tcPr>
          <w:p>
            <w:pPr>
              <w:spacing w:after="0" w:line="240" w:lineRule="auto"/>
            </w:pPr>
            <w:r>
              <w:rPr>
                <w:rFonts w:ascii="Roboto" w:hAnsi="Roboto"/>
                <w:sz w:val="16"/>
              </w:rPr>
              <w:t>MVP</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2</w:t>
            </w:r>
          </w:p>
        </w:tc>
        <w:tc>
          <w:tcPr>
            <w:tcW w:type="dxa" w:w="2565"/>
            <w:tcMar>
              <w:top w:w="70" w:type="dxa"/>
              <w:start w:w="80" w:type="dxa"/>
              <w:bottom w:w="70" w:type="dxa"/>
              <w:end w:w="80" w:type="dxa"/>
            </w:tcMar>
            <w:vAlign w:val="top"/>
          </w:tcPr>
          <w:p>
            <w:pPr>
              <w:spacing w:after="0" w:line="240" w:lineRule="auto"/>
            </w:pPr>
            <w:r>
              <w:rPr>
                <w:rFonts w:ascii="Roboto" w:hAnsi="Roboto"/>
                <w:sz w:val="16"/>
              </w:rPr>
              <w:t>United Kingdom</w:t>
            </w:r>
          </w:p>
        </w:tc>
        <w:tc>
          <w:tcPr>
            <w:tcW w:type="dxa" w:w="2565"/>
            <w:tcMar>
              <w:top w:w="70" w:type="dxa"/>
              <w:start w:w="80" w:type="dxa"/>
              <w:bottom w:w="70" w:type="dxa"/>
              <w:end w:w="80" w:type="dxa"/>
            </w:tcMar>
            <w:vAlign w:val="top"/>
          </w:tcPr>
          <w:p>
            <w:pPr>
              <w:spacing w:after="0" w:line="240" w:lineRule="auto"/>
            </w:pPr>
            <w:r>
              <w:rPr>
                <w:rFonts w:ascii="Roboto" w:hAnsi="Roboto"/>
                <w:sz w:val="16"/>
              </w:rPr>
              <w:t>Interés de búsqueda en biological age en fuerte crecimiento y mercado digital-health maduro.</w:t>
            </w:r>
          </w:p>
        </w:tc>
        <w:tc>
          <w:tcPr>
            <w:tcW w:type="dxa" w:w="2565"/>
            <w:tcMar>
              <w:top w:w="70" w:type="dxa"/>
              <w:start w:w="80" w:type="dxa"/>
              <w:bottom w:w="70" w:type="dxa"/>
              <w:end w:w="80" w:type="dxa"/>
            </w:tcMar>
            <w:vAlign w:val="top"/>
          </w:tcPr>
          <w:p>
            <w:pPr>
              <w:spacing w:after="0" w:line="240" w:lineRule="auto"/>
            </w:pPr>
            <w:r>
              <w:rPr>
                <w:rFonts w:ascii="Roboto" w:hAnsi="Roboto"/>
                <w:sz w:val="16"/>
              </w:rPr>
              <w:t>tras recalibración/validación</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3</w:t>
            </w:r>
          </w:p>
        </w:tc>
        <w:tc>
          <w:tcPr>
            <w:tcW w:type="dxa" w:w="2565"/>
            <w:tcMar>
              <w:top w:w="70" w:type="dxa"/>
              <w:start w:w="80" w:type="dxa"/>
              <w:bottom w:w="70" w:type="dxa"/>
              <w:end w:w="80" w:type="dxa"/>
            </w:tcMar>
            <w:vAlign w:val="top"/>
          </w:tcPr>
          <w:p>
            <w:pPr>
              <w:spacing w:after="0" w:line="240" w:lineRule="auto"/>
            </w:pPr>
            <w:r>
              <w:rPr>
                <w:rFonts w:ascii="Roboto" w:hAnsi="Roboto"/>
                <w:sz w:val="16"/>
              </w:rPr>
              <w:t>Canada</w:t>
            </w:r>
          </w:p>
        </w:tc>
        <w:tc>
          <w:tcPr>
            <w:tcW w:type="dxa" w:w="2565"/>
            <w:tcMar>
              <w:top w:w="70" w:type="dxa"/>
              <w:start w:w="80" w:type="dxa"/>
              <w:bottom w:w="70" w:type="dxa"/>
              <w:end w:w="80" w:type="dxa"/>
            </w:tcMar>
            <w:vAlign w:val="top"/>
          </w:tcPr>
          <w:p>
            <w:pPr>
              <w:spacing w:after="0" w:line="240" w:lineRule="auto"/>
            </w:pPr>
            <w:r>
              <w:rPr>
                <w:rFonts w:ascii="Roboto" w:hAnsi="Roboto"/>
                <w:sz w:val="16"/>
              </w:rPr>
              <w:t>Mercado anglófono, alto poder adquisitivo y afinidad con wellness.</w:t>
            </w:r>
          </w:p>
        </w:tc>
        <w:tc>
          <w:tcPr>
            <w:tcW w:type="dxa" w:w="2565"/>
            <w:tcMar>
              <w:top w:w="70" w:type="dxa"/>
              <w:start w:w="80" w:type="dxa"/>
              <w:bottom w:w="70" w:type="dxa"/>
              <w:end w:w="80" w:type="dxa"/>
            </w:tcMar>
            <w:vAlign w:val="top"/>
          </w:tcPr>
          <w:p>
            <w:pPr>
              <w:spacing w:after="0" w:line="240" w:lineRule="auto"/>
            </w:pPr>
            <w:r>
              <w:rPr>
                <w:rFonts w:ascii="Roboto" w:hAnsi="Roboto"/>
                <w:sz w:val="16"/>
              </w:rPr>
              <w:t>tras recalibración</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4</w:t>
            </w:r>
          </w:p>
        </w:tc>
        <w:tc>
          <w:tcPr>
            <w:tcW w:type="dxa" w:w="2565"/>
            <w:tcMar>
              <w:top w:w="70" w:type="dxa"/>
              <w:start w:w="80" w:type="dxa"/>
              <w:bottom w:w="70" w:type="dxa"/>
              <w:end w:w="80" w:type="dxa"/>
            </w:tcMar>
            <w:vAlign w:val="top"/>
          </w:tcPr>
          <w:p>
            <w:pPr>
              <w:spacing w:after="0" w:line="240" w:lineRule="auto"/>
            </w:pPr>
            <w:r>
              <w:rPr>
                <w:rFonts w:ascii="Roboto" w:hAnsi="Roboto"/>
                <w:sz w:val="16"/>
              </w:rPr>
              <w:t>Australia</w:t>
            </w:r>
          </w:p>
        </w:tc>
        <w:tc>
          <w:tcPr>
            <w:tcW w:type="dxa" w:w="2565"/>
            <w:tcMar>
              <w:top w:w="70" w:type="dxa"/>
              <w:start w:w="80" w:type="dxa"/>
              <w:bottom w:w="70" w:type="dxa"/>
              <w:end w:w="80" w:type="dxa"/>
            </w:tcMar>
            <w:vAlign w:val="top"/>
          </w:tcPr>
          <w:p>
            <w:pPr>
              <w:spacing w:after="0" w:line="240" w:lineRule="auto"/>
            </w:pPr>
            <w:r>
              <w:rPr>
                <w:rFonts w:ascii="Roboto" w:hAnsi="Roboto"/>
                <w:sz w:val="16"/>
              </w:rPr>
              <w:t>Mercado anglófono, fitness/wellness digital y alto poder adquisitivo.</w:t>
            </w:r>
          </w:p>
        </w:tc>
        <w:tc>
          <w:tcPr>
            <w:tcW w:type="dxa" w:w="2565"/>
            <w:tcMar>
              <w:top w:w="70" w:type="dxa"/>
              <w:start w:w="80" w:type="dxa"/>
              <w:bottom w:w="70" w:type="dxa"/>
              <w:end w:w="80" w:type="dxa"/>
            </w:tcMar>
            <w:vAlign w:val="top"/>
          </w:tcPr>
          <w:p>
            <w:pPr>
              <w:spacing w:after="0" w:line="240" w:lineRule="auto"/>
            </w:pPr>
            <w:r>
              <w:rPr>
                <w:rFonts w:ascii="Roboto" w:hAnsi="Roboto"/>
                <w:sz w:val="16"/>
              </w:rPr>
              <w:t>tras recalibración</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5</w:t>
            </w:r>
          </w:p>
        </w:tc>
        <w:tc>
          <w:tcPr>
            <w:tcW w:type="dxa" w:w="2565"/>
            <w:tcMar>
              <w:top w:w="70" w:type="dxa"/>
              <w:start w:w="80" w:type="dxa"/>
              <w:bottom w:w="70" w:type="dxa"/>
              <w:end w:w="80" w:type="dxa"/>
            </w:tcMar>
            <w:vAlign w:val="top"/>
          </w:tcPr>
          <w:p>
            <w:pPr>
              <w:spacing w:after="0" w:line="240" w:lineRule="auto"/>
            </w:pPr>
            <w:r>
              <w:rPr>
                <w:rFonts w:ascii="Roboto" w:hAnsi="Roboto"/>
                <w:sz w:val="16"/>
              </w:rPr>
              <w:t>Brazil</w:t>
            </w:r>
          </w:p>
        </w:tc>
        <w:tc>
          <w:tcPr>
            <w:tcW w:type="dxa" w:w="2565"/>
            <w:tcMar>
              <w:top w:w="70" w:type="dxa"/>
              <w:start w:w="80" w:type="dxa"/>
              <w:bottom w:w="70" w:type="dxa"/>
              <w:end w:w="80" w:type="dxa"/>
            </w:tcMar>
            <w:vAlign w:val="top"/>
          </w:tcPr>
          <w:p>
            <w:pPr>
              <w:spacing w:after="0" w:line="240" w:lineRule="auto"/>
            </w:pPr>
            <w:r>
              <w:rPr>
                <w:rFonts w:ascii="Roboto" w:hAnsi="Roboto"/>
                <w:sz w:val="16"/>
              </w:rPr>
              <w:t>Escala poblacional, portugués requerido por la fábrica y gran mercado de fitness/wellness.</w:t>
            </w:r>
          </w:p>
        </w:tc>
        <w:tc>
          <w:tcPr>
            <w:tcW w:type="dxa" w:w="2565"/>
            <w:tcMar>
              <w:top w:w="70" w:type="dxa"/>
              <w:start w:w="80" w:type="dxa"/>
              <w:bottom w:w="70" w:type="dxa"/>
              <w:end w:w="80" w:type="dxa"/>
            </w:tcMar>
            <w:vAlign w:val="top"/>
          </w:tcPr>
          <w:p>
            <w:pPr>
              <w:spacing w:after="0" w:line="240" w:lineRule="auto"/>
            </w:pPr>
            <w:r>
              <w:rPr>
                <w:rFonts w:ascii="Roboto" w:hAnsi="Roboto"/>
                <w:sz w:val="16"/>
              </w:rPr>
              <w:t>tras validación local y LGPD</w:t>
            </w:r>
          </w:p>
        </w:tc>
      </w:tr>
    </w:tbl>
    <w:p>
      <w:pPr>
        <w:spacing w:after="0"/>
      </w:pPr>
    </w:p>
    <w:p>
      <w:pPr>
        <w:widowControl/>
      </w:pPr>
      <w:r>
        <w:rPr>
          <w:rFonts w:ascii="Roboto" w:hAnsi="Roboto"/>
          <w:b/>
          <w:sz w:val="18"/>
        </w:rPr>
        <w:t>Persona principal — Alex, 44.</w:t>
      </w:r>
      <w:r>
        <w:rPr>
          <w:rFonts w:ascii="Roboto" w:hAnsi="Roboto"/>
          <w:sz w:val="18"/>
        </w:rPr>
        <w:t xml:space="preserve"> Profesional con ingresos medios-altos, usa apps de fitness pero no quiere pagar una prueba epigenética; no se considera enfermo.</w:t>
      </w:r>
    </w:p>
    <w:p>
      <w:pPr>
        <w:widowControl/>
      </w:pPr>
      <w:r>
        <w:rPr>
          <w:rFonts w:ascii="Roboto" w:hAnsi="Roboto"/>
          <w:b/>
          <w:sz w:val="18"/>
        </w:rPr>
        <w:t>JTBD:</w:t>
      </w:r>
      <w:r>
        <w:rPr>
          <w:rFonts w:ascii="Roboto" w:hAnsi="Roboto"/>
          <w:sz w:val="18"/>
        </w:rPr>
        <w:t xml:space="preserve"> “Cuando empiezo a preocuparme por cómo estoy envejeciendo, quiero convertir mis hábitos en una cifra creíble y accionable, para saber qué mejorar primero y si necesito una evaluación más profunda.”</w:t>
      </w:r>
    </w:p>
    <w:p>
      <w:pPr>
        <w:widowControl/>
      </w:pPr>
      <w:r>
        <w:rPr>
          <w:rFonts w:ascii="Roboto" w:hAnsi="Roboto"/>
          <w:b/>
          <w:sz w:val="18"/>
        </w:rPr>
        <w:t>Disparador de compra:</w:t>
      </w:r>
      <w:r>
        <w:rPr>
          <w:rFonts w:ascii="Roboto" w:hAnsi="Roboto"/>
          <w:sz w:val="18"/>
        </w:rPr>
        <w:t xml:space="preserve"> Ve una diferencia de +6 años entre su edad cronológica y su Healthspan Age en la vista previa; quiere el informe con intervalo de confianza, drivers y simulador de escenarios.</w:t>
      </w:r>
    </w:p>
    <w:p>
      <w:pPr>
        <w:pStyle w:val="Heading1"/>
      </w:pPr>
      <w:r>
        <w:rPr>
          <w:rFonts w:ascii="Roboto" w:hAnsi="Roboto"/>
          <w:sz w:val="30"/>
        </w:rPr>
        <w:t>6. Tres enfoques de solución</w:t>
      </w:r>
    </w:p>
    <w:p>
      <w:pPr>
        <w:widowControl/>
      </w:pPr>
      <w:r>
        <w:rPr>
          <w:rFonts w:ascii="Roboto" w:hAnsi="Roboto"/>
          <w:sz w:val="18"/>
        </w:rPr>
        <w:t xml:space="preserve">Escala 1–5. Para </w:t>
      </w:r>
      <w:r>
        <w:rPr>
          <w:rFonts w:ascii="Roboto" w:hAnsi="Roboto"/>
          <w:b/>
          <w:sz w:val="18"/>
        </w:rPr>
        <w:t>riesgo legal</w:t>
      </w:r>
      <w:r>
        <w:rPr>
          <w:rFonts w:ascii="Roboto" w:hAnsi="Roboto"/>
          <w:sz w:val="18"/>
        </w:rPr>
        <w:t>, 1=bajo y 5=alto. Total ajustado = valor + precisión + facilidad + costo operativo + viralidad + (6 − riesgo legal).</w:t>
      </w:r>
    </w:p>
    <w:tbl>
      <w:tblPr>
        <w:tblStyle w:val="TableGrid"/>
        <w:tblW w:type="auto" w:w="0"/>
        <w:jc w:val="center"/>
        <w:tblLayout w:type="autofit"/>
        <w:tblLook w:firstColumn="1" w:firstRow="1" w:lastColumn="0" w:lastRow="0" w:noHBand="0" w:noVBand="1" w:val="04A0"/>
      </w:tblPr>
      <w:tblGrid>
        <w:gridCol w:w="1283"/>
        <w:gridCol w:w="1283"/>
        <w:gridCol w:w="1283"/>
        <w:gridCol w:w="1283"/>
        <w:gridCol w:w="1283"/>
        <w:gridCol w:w="1283"/>
        <w:gridCol w:w="1283"/>
        <w:gridCol w:w="1283"/>
      </w:tblGrid>
      <w:tr>
        <w:trPr>
          <w:tblHeader w:val="true"/>
        </w:trPr>
        <w:tc>
          <w:tcPr>
            <w:tcW w:type="dxa" w:w="1283"/>
            <w:shd w:fill="DCEBEC"/>
            <w:tcMar>
              <w:top w:w="70" w:type="dxa"/>
              <w:start w:w="80" w:type="dxa"/>
              <w:bottom w:w="70" w:type="dxa"/>
              <w:end w:w="80" w:type="dxa"/>
            </w:tcMar>
            <w:vAlign w:val="center"/>
          </w:tcPr>
          <w:p>
            <w:pPr>
              <w:spacing w:after="0"/>
            </w:pPr>
            <w:r>
              <w:rPr>
                <w:rFonts w:ascii="Roboto" w:hAnsi="Roboto"/>
                <w:b/>
                <w:color w:val="163B43"/>
                <w:sz w:val="16"/>
              </w:rPr>
              <w:t>Enfoque</w:t>
            </w:r>
          </w:p>
        </w:tc>
        <w:tc>
          <w:tcPr>
            <w:tcW w:type="dxa" w:w="1283"/>
            <w:shd w:fill="DCEBEC"/>
            <w:tcMar>
              <w:top w:w="70" w:type="dxa"/>
              <w:start w:w="80" w:type="dxa"/>
              <w:bottom w:w="70" w:type="dxa"/>
              <w:end w:w="80" w:type="dxa"/>
            </w:tcMar>
            <w:vAlign w:val="center"/>
          </w:tcPr>
          <w:p>
            <w:pPr>
              <w:spacing w:after="0"/>
            </w:pPr>
            <w:r>
              <w:rPr>
                <w:rFonts w:ascii="Roboto" w:hAnsi="Roboto"/>
                <w:b/>
                <w:color w:val="163B43"/>
                <w:sz w:val="16"/>
              </w:rPr>
              <w:t>Valor</w:t>
            </w:r>
          </w:p>
        </w:tc>
        <w:tc>
          <w:tcPr>
            <w:tcW w:type="dxa" w:w="1283"/>
            <w:shd w:fill="DCEBEC"/>
            <w:tcMar>
              <w:top w:w="70" w:type="dxa"/>
              <w:start w:w="80" w:type="dxa"/>
              <w:bottom w:w="70" w:type="dxa"/>
              <w:end w:w="80" w:type="dxa"/>
            </w:tcMar>
            <w:vAlign w:val="center"/>
          </w:tcPr>
          <w:p>
            <w:pPr>
              <w:spacing w:after="0"/>
            </w:pPr>
            <w:r>
              <w:rPr>
                <w:rFonts w:ascii="Roboto" w:hAnsi="Roboto"/>
                <w:b/>
                <w:color w:val="163B43"/>
                <w:sz w:val="16"/>
              </w:rPr>
              <w:t>Precisión</w:t>
            </w:r>
          </w:p>
        </w:tc>
        <w:tc>
          <w:tcPr>
            <w:tcW w:type="dxa" w:w="1283"/>
            <w:shd w:fill="DCEBEC"/>
            <w:tcMar>
              <w:top w:w="70" w:type="dxa"/>
              <w:start w:w="80" w:type="dxa"/>
              <w:bottom w:w="70" w:type="dxa"/>
              <w:end w:w="80" w:type="dxa"/>
            </w:tcMar>
            <w:vAlign w:val="center"/>
          </w:tcPr>
          <w:p>
            <w:pPr>
              <w:spacing w:after="0"/>
            </w:pPr>
            <w:r>
              <w:rPr>
                <w:rFonts w:ascii="Roboto" w:hAnsi="Roboto"/>
                <w:b/>
                <w:color w:val="163B43"/>
                <w:sz w:val="16"/>
              </w:rPr>
              <w:t>Inputs</w:t>
            </w:r>
          </w:p>
        </w:tc>
        <w:tc>
          <w:tcPr>
            <w:tcW w:type="dxa" w:w="1283"/>
            <w:shd w:fill="DCEBEC"/>
            <w:tcMar>
              <w:top w:w="70" w:type="dxa"/>
              <w:start w:w="80" w:type="dxa"/>
              <w:bottom w:w="70" w:type="dxa"/>
              <w:end w:w="80" w:type="dxa"/>
            </w:tcMar>
            <w:vAlign w:val="center"/>
          </w:tcPr>
          <w:p>
            <w:pPr>
              <w:spacing w:after="0"/>
            </w:pPr>
            <w:r>
              <w:rPr>
                <w:rFonts w:ascii="Roboto" w:hAnsi="Roboto"/>
                <w:b/>
                <w:color w:val="163B43"/>
                <w:sz w:val="16"/>
              </w:rPr>
              <w:t>Costo op.</w:t>
            </w:r>
          </w:p>
        </w:tc>
        <w:tc>
          <w:tcPr>
            <w:tcW w:type="dxa" w:w="1283"/>
            <w:shd w:fill="DCEBEC"/>
            <w:tcMar>
              <w:top w:w="70" w:type="dxa"/>
              <w:start w:w="80" w:type="dxa"/>
              <w:bottom w:w="70" w:type="dxa"/>
              <w:end w:w="80" w:type="dxa"/>
            </w:tcMar>
            <w:vAlign w:val="center"/>
          </w:tcPr>
          <w:p>
            <w:pPr>
              <w:spacing w:after="0"/>
            </w:pPr>
            <w:r>
              <w:rPr>
                <w:rFonts w:ascii="Roboto" w:hAnsi="Roboto"/>
                <w:b/>
                <w:color w:val="163B43"/>
                <w:sz w:val="16"/>
              </w:rPr>
              <w:t>Viralidad</w:t>
            </w:r>
          </w:p>
        </w:tc>
        <w:tc>
          <w:tcPr>
            <w:tcW w:type="dxa" w:w="1283"/>
            <w:shd w:fill="DCEBEC"/>
            <w:tcMar>
              <w:top w:w="70" w:type="dxa"/>
              <w:start w:w="80" w:type="dxa"/>
              <w:bottom w:w="70" w:type="dxa"/>
              <w:end w:w="80" w:type="dxa"/>
            </w:tcMar>
            <w:vAlign w:val="center"/>
          </w:tcPr>
          <w:p>
            <w:pPr>
              <w:spacing w:after="0"/>
            </w:pPr>
            <w:r>
              <w:rPr>
                <w:rFonts w:ascii="Roboto" w:hAnsi="Roboto"/>
                <w:b/>
                <w:color w:val="163B43"/>
                <w:sz w:val="16"/>
              </w:rPr>
              <w:t>Riesgo legal</w:t>
            </w:r>
          </w:p>
        </w:tc>
        <w:tc>
          <w:tcPr>
            <w:tcW w:type="dxa" w:w="1283"/>
            <w:shd w:fill="DCEBEC"/>
            <w:tcMar>
              <w:top w:w="70" w:type="dxa"/>
              <w:start w:w="80" w:type="dxa"/>
              <w:bottom w:w="70" w:type="dxa"/>
              <w:end w:w="80" w:type="dxa"/>
            </w:tcMar>
            <w:vAlign w:val="center"/>
          </w:tcPr>
          <w:p>
            <w:pPr>
              <w:spacing w:after="0"/>
            </w:pPr>
            <w:r>
              <w:rPr>
                <w:rFonts w:ascii="Roboto" w:hAnsi="Roboto"/>
                <w:b/>
                <w:color w:val="163B43"/>
                <w:sz w:val="16"/>
              </w:rPr>
              <w:t>Total ajustado</w:t>
            </w:r>
          </w:p>
        </w:tc>
      </w:tr>
      <w:tr>
        <w:trPr>
          <w:cantSplit/>
        </w:trPr>
        <w:tc>
          <w:tcPr>
            <w:tcW w:type="dxa" w:w="1283"/>
            <w:tcMar>
              <w:top w:w="70" w:type="dxa"/>
              <w:start w:w="80" w:type="dxa"/>
              <w:bottom w:w="70" w:type="dxa"/>
              <w:end w:w="80" w:type="dxa"/>
            </w:tcMar>
            <w:vAlign w:val="top"/>
          </w:tcPr>
          <w:p>
            <w:pPr>
              <w:spacing w:after="0" w:line="240" w:lineRule="auto"/>
            </w:pPr>
            <w:r>
              <w:rPr>
                <w:rFonts w:ascii="Roboto" w:hAnsi="Roboto"/>
                <w:sz w:val="15"/>
              </w:rPr>
              <w:t>A. Lifestyle BioAge heuristic</w:t>
            </w:r>
          </w:p>
        </w:tc>
        <w:tc>
          <w:tcPr>
            <w:tcW w:type="dxa" w:w="1283"/>
            <w:tcMar>
              <w:top w:w="70" w:type="dxa"/>
              <w:start w:w="80" w:type="dxa"/>
              <w:bottom w:w="70" w:type="dxa"/>
              <w:end w:w="80" w:type="dxa"/>
            </w:tcMar>
            <w:vAlign w:val="top"/>
          </w:tcPr>
          <w:p>
            <w:pPr>
              <w:spacing w:after="0" w:line="240" w:lineRule="auto"/>
            </w:pPr>
            <w:r>
              <w:rPr>
                <w:rFonts w:ascii="Roboto" w:hAnsi="Roboto"/>
                <w:sz w:val="15"/>
              </w:rPr>
              <w:t>4</w:t>
            </w:r>
          </w:p>
        </w:tc>
        <w:tc>
          <w:tcPr>
            <w:tcW w:type="dxa" w:w="1283"/>
            <w:tcMar>
              <w:top w:w="70" w:type="dxa"/>
              <w:start w:w="80" w:type="dxa"/>
              <w:bottom w:w="70" w:type="dxa"/>
              <w:end w:w="80" w:type="dxa"/>
            </w:tcMar>
            <w:vAlign w:val="top"/>
          </w:tcPr>
          <w:p>
            <w:pPr>
              <w:spacing w:after="0" w:line="240" w:lineRule="auto"/>
            </w:pPr>
            <w:r>
              <w:rPr>
                <w:rFonts w:ascii="Roboto" w:hAnsi="Roboto"/>
                <w:sz w:val="15"/>
              </w:rPr>
              <w:t>2</w:t>
            </w:r>
          </w:p>
        </w:tc>
        <w:tc>
          <w:tcPr>
            <w:tcW w:type="dxa" w:w="1283"/>
            <w:tcMar>
              <w:top w:w="70" w:type="dxa"/>
              <w:start w:w="80" w:type="dxa"/>
              <w:bottom w:w="70" w:type="dxa"/>
              <w:end w:w="80" w:type="dxa"/>
            </w:tcMar>
            <w:vAlign w:val="top"/>
          </w:tcPr>
          <w:p>
            <w:pPr>
              <w:spacing w:after="0" w:line="240" w:lineRule="auto"/>
            </w:pPr>
            <w:r>
              <w:rPr>
                <w:rFonts w:ascii="Roboto" w:hAnsi="Roboto"/>
                <w:sz w:val="15"/>
              </w:rPr>
              <w:t>5</w:t>
            </w:r>
          </w:p>
        </w:tc>
        <w:tc>
          <w:tcPr>
            <w:tcW w:type="dxa" w:w="1283"/>
            <w:tcMar>
              <w:top w:w="70" w:type="dxa"/>
              <w:start w:w="80" w:type="dxa"/>
              <w:bottom w:w="70" w:type="dxa"/>
              <w:end w:w="80" w:type="dxa"/>
            </w:tcMar>
            <w:vAlign w:val="top"/>
          </w:tcPr>
          <w:p>
            <w:pPr>
              <w:spacing w:after="0" w:line="240" w:lineRule="auto"/>
            </w:pPr>
            <w:r>
              <w:rPr>
                <w:rFonts w:ascii="Roboto" w:hAnsi="Roboto"/>
                <w:sz w:val="15"/>
              </w:rPr>
              <w:t>5</w:t>
            </w:r>
          </w:p>
        </w:tc>
        <w:tc>
          <w:tcPr>
            <w:tcW w:type="dxa" w:w="1283"/>
            <w:tcMar>
              <w:top w:w="70" w:type="dxa"/>
              <w:start w:w="80" w:type="dxa"/>
              <w:bottom w:w="70" w:type="dxa"/>
              <w:end w:w="80" w:type="dxa"/>
            </w:tcMar>
            <w:vAlign w:val="top"/>
          </w:tcPr>
          <w:p>
            <w:pPr>
              <w:spacing w:after="0" w:line="240" w:lineRule="auto"/>
            </w:pPr>
            <w:r>
              <w:rPr>
                <w:rFonts w:ascii="Roboto" w:hAnsi="Roboto"/>
                <w:sz w:val="15"/>
              </w:rPr>
              <w:t>5</w:t>
            </w:r>
          </w:p>
        </w:tc>
        <w:tc>
          <w:tcPr>
            <w:tcW w:type="dxa" w:w="1283"/>
            <w:tcMar>
              <w:top w:w="70" w:type="dxa"/>
              <w:start w:w="80" w:type="dxa"/>
              <w:bottom w:w="70" w:type="dxa"/>
              <w:end w:w="80" w:type="dxa"/>
            </w:tcMar>
            <w:vAlign w:val="top"/>
          </w:tcPr>
          <w:p>
            <w:pPr>
              <w:spacing w:after="0" w:line="240" w:lineRule="auto"/>
            </w:pPr>
            <w:r>
              <w:rPr>
                <w:rFonts w:ascii="Roboto" w:hAnsi="Roboto"/>
                <w:sz w:val="15"/>
              </w:rPr>
              <w:t>2</w:t>
            </w:r>
          </w:p>
        </w:tc>
        <w:tc>
          <w:tcPr>
            <w:tcW w:type="dxa" w:w="1283"/>
            <w:tcMar>
              <w:top w:w="70" w:type="dxa"/>
              <w:start w:w="80" w:type="dxa"/>
              <w:bottom w:w="70" w:type="dxa"/>
              <w:end w:w="80" w:type="dxa"/>
            </w:tcMar>
            <w:vAlign w:val="top"/>
          </w:tcPr>
          <w:p>
            <w:pPr>
              <w:spacing w:after="0" w:line="240" w:lineRule="auto"/>
            </w:pPr>
            <w:r>
              <w:rPr>
                <w:rFonts w:ascii="Roboto" w:hAnsi="Roboto"/>
                <w:sz w:val="15"/>
              </w:rPr>
              <w:t>25</w:t>
            </w:r>
          </w:p>
        </w:tc>
      </w:tr>
      <w:tr>
        <w:trPr>
          <w:cantSplit/>
        </w:trPr>
        <w:tc>
          <w:tcPr>
            <w:tcW w:type="dxa" w:w="1283"/>
            <w:tcMar>
              <w:top w:w="70" w:type="dxa"/>
              <w:start w:w="80" w:type="dxa"/>
              <w:bottom w:w="70" w:type="dxa"/>
              <w:end w:w="80" w:type="dxa"/>
            </w:tcMar>
            <w:vAlign w:val="top"/>
          </w:tcPr>
          <w:p>
            <w:pPr>
              <w:spacing w:after="0" w:line="240" w:lineRule="auto"/>
            </w:pPr>
            <w:r>
              <w:rPr>
                <w:rFonts w:ascii="Roboto" w:hAnsi="Roboto"/>
                <w:sz w:val="15"/>
              </w:rPr>
              <w:t>B. Mortality-calibrated Healthspan Age</w:t>
            </w:r>
          </w:p>
        </w:tc>
        <w:tc>
          <w:tcPr>
            <w:tcW w:type="dxa" w:w="1283"/>
            <w:tcMar>
              <w:top w:w="70" w:type="dxa"/>
              <w:start w:w="80" w:type="dxa"/>
              <w:bottom w:w="70" w:type="dxa"/>
              <w:end w:w="80" w:type="dxa"/>
            </w:tcMar>
            <w:vAlign w:val="top"/>
          </w:tcPr>
          <w:p>
            <w:pPr>
              <w:spacing w:after="0" w:line="240" w:lineRule="auto"/>
            </w:pPr>
            <w:r>
              <w:rPr>
                <w:rFonts w:ascii="Roboto" w:hAnsi="Roboto"/>
                <w:sz w:val="15"/>
              </w:rPr>
              <w:t>5</w:t>
            </w:r>
          </w:p>
        </w:tc>
        <w:tc>
          <w:tcPr>
            <w:tcW w:type="dxa" w:w="1283"/>
            <w:tcMar>
              <w:top w:w="70" w:type="dxa"/>
              <w:start w:w="80" w:type="dxa"/>
              <w:bottom w:w="70" w:type="dxa"/>
              <w:end w:w="80" w:type="dxa"/>
            </w:tcMar>
            <w:vAlign w:val="top"/>
          </w:tcPr>
          <w:p>
            <w:pPr>
              <w:spacing w:after="0" w:line="240" w:lineRule="auto"/>
            </w:pPr>
            <w:r>
              <w:rPr>
                <w:rFonts w:ascii="Roboto" w:hAnsi="Roboto"/>
                <w:sz w:val="15"/>
              </w:rPr>
              <w:t>4</w:t>
            </w:r>
          </w:p>
        </w:tc>
        <w:tc>
          <w:tcPr>
            <w:tcW w:type="dxa" w:w="1283"/>
            <w:tcMar>
              <w:top w:w="70" w:type="dxa"/>
              <w:start w:w="80" w:type="dxa"/>
              <w:bottom w:w="70" w:type="dxa"/>
              <w:end w:w="80" w:type="dxa"/>
            </w:tcMar>
            <w:vAlign w:val="top"/>
          </w:tcPr>
          <w:p>
            <w:pPr>
              <w:spacing w:after="0" w:line="240" w:lineRule="auto"/>
            </w:pPr>
            <w:r>
              <w:rPr>
                <w:rFonts w:ascii="Roboto" w:hAnsi="Roboto"/>
                <w:sz w:val="15"/>
              </w:rPr>
              <w:t>5</w:t>
            </w:r>
          </w:p>
        </w:tc>
        <w:tc>
          <w:tcPr>
            <w:tcW w:type="dxa" w:w="1283"/>
            <w:tcMar>
              <w:top w:w="70" w:type="dxa"/>
              <w:start w:w="80" w:type="dxa"/>
              <w:bottom w:w="70" w:type="dxa"/>
              <w:end w:w="80" w:type="dxa"/>
            </w:tcMar>
            <w:vAlign w:val="top"/>
          </w:tcPr>
          <w:p>
            <w:pPr>
              <w:spacing w:after="0" w:line="240" w:lineRule="auto"/>
            </w:pPr>
            <w:r>
              <w:rPr>
                <w:rFonts w:ascii="Roboto" w:hAnsi="Roboto"/>
                <w:sz w:val="15"/>
              </w:rPr>
              <w:t>5</w:t>
            </w:r>
          </w:p>
        </w:tc>
        <w:tc>
          <w:tcPr>
            <w:tcW w:type="dxa" w:w="1283"/>
            <w:tcMar>
              <w:top w:w="70" w:type="dxa"/>
              <w:start w:w="80" w:type="dxa"/>
              <w:bottom w:w="70" w:type="dxa"/>
              <w:end w:w="80" w:type="dxa"/>
            </w:tcMar>
            <w:vAlign w:val="top"/>
          </w:tcPr>
          <w:p>
            <w:pPr>
              <w:spacing w:after="0" w:line="240" w:lineRule="auto"/>
            </w:pPr>
            <w:r>
              <w:rPr>
                <w:rFonts w:ascii="Roboto" w:hAnsi="Roboto"/>
                <w:sz w:val="15"/>
              </w:rPr>
              <w:t>5</w:t>
            </w:r>
          </w:p>
        </w:tc>
        <w:tc>
          <w:tcPr>
            <w:tcW w:type="dxa" w:w="1283"/>
            <w:tcMar>
              <w:top w:w="70" w:type="dxa"/>
              <w:start w:w="80" w:type="dxa"/>
              <w:bottom w:w="70" w:type="dxa"/>
              <w:end w:w="80" w:type="dxa"/>
            </w:tcMar>
            <w:vAlign w:val="top"/>
          </w:tcPr>
          <w:p>
            <w:pPr>
              <w:spacing w:after="0" w:line="240" w:lineRule="auto"/>
            </w:pPr>
            <w:r>
              <w:rPr>
                <w:rFonts w:ascii="Roboto" w:hAnsi="Roboto"/>
                <w:sz w:val="15"/>
              </w:rPr>
              <w:t>3</w:t>
            </w:r>
          </w:p>
        </w:tc>
        <w:tc>
          <w:tcPr>
            <w:tcW w:type="dxa" w:w="1283"/>
            <w:tcMar>
              <w:top w:w="70" w:type="dxa"/>
              <w:start w:w="80" w:type="dxa"/>
              <w:bottom w:w="70" w:type="dxa"/>
              <w:end w:w="80" w:type="dxa"/>
            </w:tcMar>
            <w:vAlign w:val="top"/>
          </w:tcPr>
          <w:p>
            <w:pPr>
              <w:spacing w:after="0" w:line="240" w:lineRule="auto"/>
            </w:pPr>
            <w:r>
              <w:rPr>
                <w:rFonts w:ascii="Roboto" w:hAnsi="Roboto"/>
                <w:sz w:val="15"/>
              </w:rPr>
              <w:t>27</w:t>
            </w:r>
          </w:p>
        </w:tc>
      </w:tr>
      <w:tr>
        <w:trPr>
          <w:cantSplit/>
        </w:trPr>
        <w:tc>
          <w:tcPr>
            <w:tcW w:type="dxa" w:w="1283"/>
            <w:tcMar>
              <w:top w:w="70" w:type="dxa"/>
              <w:start w:w="80" w:type="dxa"/>
              <w:bottom w:w="70" w:type="dxa"/>
              <w:end w:w="80" w:type="dxa"/>
            </w:tcMar>
            <w:vAlign w:val="top"/>
          </w:tcPr>
          <w:p>
            <w:pPr>
              <w:spacing w:after="0" w:line="240" w:lineRule="auto"/>
            </w:pPr>
            <w:r>
              <w:rPr>
                <w:rFonts w:ascii="Roboto" w:hAnsi="Roboto"/>
                <w:sz w:val="15"/>
              </w:rPr>
              <w:t>C. Epigenetic/lab Biological Age</w:t>
            </w:r>
          </w:p>
        </w:tc>
        <w:tc>
          <w:tcPr>
            <w:tcW w:type="dxa" w:w="1283"/>
            <w:tcMar>
              <w:top w:w="70" w:type="dxa"/>
              <w:start w:w="80" w:type="dxa"/>
              <w:bottom w:w="70" w:type="dxa"/>
              <w:end w:w="80" w:type="dxa"/>
            </w:tcMar>
            <w:vAlign w:val="top"/>
          </w:tcPr>
          <w:p>
            <w:pPr>
              <w:spacing w:after="0" w:line="240" w:lineRule="auto"/>
            </w:pPr>
            <w:r>
              <w:rPr>
                <w:rFonts w:ascii="Roboto" w:hAnsi="Roboto"/>
                <w:sz w:val="15"/>
              </w:rPr>
              <w:t>5</w:t>
            </w:r>
          </w:p>
        </w:tc>
        <w:tc>
          <w:tcPr>
            <w:tcW w:type="dxa" w:w="1283"/>
            <w:tcMar>
              <w:top w:w="70" w:type="dxa"/>
              <w:start w:w="80" w:type="dxa"/>
              <w:bottom w:w="70" w:type="dxa"/>
              <w:end w:w="80" w:type="dxa"/>
            </w:tcMar>
            <w:vAlign w:val="top"/>
          </w:tcPr>
          <w:p>
            <w:pPr>
              <w:spacing w:after="0" w:line="240" w:lineRule="auto"/>
            </w:pPr>
            <w:r>
              <w:rPr>
                <w:rFonts w:ascii="Roboto" w:hAnsi="Roboto"/>
                <w:sz w:val="15"/>
              </w:rPr>
              <w:t>5</w:t>
            </w:r>
          </w:p>
        </w:tc>
        <w:tc>
          <w:tcPr>
            <w:tcW w:type="dxa" w:w="1283"/>
            <w:tcMar>
              <w:top w:w="70" w:type="dxa"/>
              <w:start w:w="80" w:type="dxa"/>
              <w:bottom w:w="70" w:type="dxa"/>
              <w:end w:w="80" w:type="dxa"/>
            </w:tcMar>
            <w:vAlign w:val="top"/>
          </w:tcPr>
          <w:p>
            <w:pPr>
              <w:spacing w:after="0" w:line="240" w:lineRule="auto"/>
            </w:pPr>
            <w:r>
              <w:rPr>
                <w:rFonts w:ascii="Roboto" w:hAnsi="Roboto"/>
                <w:sz w:val="15"/>
              </w:rPr>
              <w:t>1</w:t>
            </w:r>
          </w:p>
        </w:tc>
        <w:tc>
          <w:tcPr>
            <w:tcW w:type="dxa" w:w="1283"/>
            <w:tcMar>
              <w:top w:w="70" w:type="dxa"/>
              <w:start w:w="80" w:type="dxa"/>
              <w:bottom w:w="70" w:type="dxa"/>
              <w:end w:w="80" w:type="dxa"/>
            </w:tcMar>
            <w:vAlign w:val="top"/>
          </w:tcPr>
          <w:p>
            <w:pPr>
              <w:spacing w:after="0" w:line="240" w:lineRule="auto"/>
            </w:pPr>
            <w:r>
              <w:rPr>
                <w:rFonts w:ascii="Roboto" w:hAnsi="Roboto"/>
                <w:sz w:val="15"/>
              </w:rPr>
              <w:t>1</w:t>
            </w:r>
          </w:p>
        </w:tc>
        <w:tc>
          <w:tcPr>
            <w:tcW w:type="dxa" w:w="1283"/>
            <w:tcMar>
              <w:top w:w="70" w:type="dxa"/>
              <w:start w:w="80" w:type="dxa"/>
              <w:bottom w:w="70" w:type="dxa"/>
              <w:end w:w="80" w:type="dxa"/>
            </w:tcMar>
            <w:vAlign w:val="top"/>
          </w:tcPr>
          <w:p>
            <w:pPr>
              <w:spacing w:after="0" w:line="240" w:lineRule="auto"/>
            </w:pPr>
            <w:r>
              <w:rPr>
                <w:rFonts w:ascii="Roboto" w:hAnsi="Roboto"/>
                <w:sz w:val="15"/>
              </w:rPr>
              <w:t>4</w:t>
            </w:r>
          </w:p>
        </w:tc>
        <w:tc>
          <w:tcPr>
            <w:tcW w:type="dxa" w:w="1283"/>
            <w:tcMar>
              <w:top w:w="70" w:type="dxa"/>
              <w:start w:w="80" w:type="dxa"/>
              <w:bottom w:w="70" w:type="dxa"/>
              <w:end w:w="80" w:type="dxa"/>
            </w:tcMar>
            <w:vAlign w:val="top"/>
          </w:tcPr>
          <w:p>
            <w:pPr>
              <w:spacing w:after="0" w:line="240" w:lineRule="auto"/>
            </w:pPr>
            <w:r>
              <w:rPr>
                <w:rFonts w:ascii="Roboto" w:hAnsi="Roboto"/>
                <w:sz w:val="15"/>
              </w:rPr>
              <w:t>4</w:t>
            </w:r>
          </w:p>
        </w:tc>
        <w:tc>
          <w:tcPr>
            <w:tcW w:type="dxa" w:w="1283"/>
            <w:tcMar>
              <w:top w:w="70" w:type="dxa"/>
              <w:start w:w="80" w:type="dxa"/>
              <w:bottom w:w="70" w:type="dxa"/>
              <w:end w:w="80" w:type="dxa"/>
            </w:tcMar>
            <w:vAlign w:val="top"/>
          </w:tcPr>
          <w:p>
            <w:pPr>
              <w:spacing w:after="0" w:line="240" w:lineRule="auto"/>
            </w:pPr>
            <w:r>
              <w:rPr>
                <w:rFonts w:ascii="Roboto" w:hAnsi="Roboto"/>
                <w:sz w:val="15"/>
              </w:rPr>
              <w:t>18</w:t>
            </w:r>
          </w:p>
        </w:tc>
      </w:tr>
    </w:tbl>
    <w:p>
      <w:pPr>
        <w:spacing w:after="0"/>
      </w:pPr>
    </w:p>
    <w:p>
      <w:pPr>
        <w:widowControl/>
      </w:pPr>
      <w:r>
        <w:rPr>
          <w:rFonts w:ascii="Roboto" w:hAnsi="Roboto"/>
          <w:b/>
          <w:sz w:val="18"/>
        </w:rPr>
        <w:t>Elegido: B. Mortality-calibrated Healthspan Age.</w:t>
      </w:r>
      <w:r>
        <w:rPr>
          <w:rFonts w:ascii="Roboto" w:hAnsi="Roboto"/>
          <w:sz w:val="18"/>
        </w:rPr>
        <w:t xml:space="preserve"> Mantiene el gancho emocional de “¿qué edad tiene mi cuerpo?” pero lo define de forma auditables: el output es la edad cronológica de una persona promedio con un riesgo de mortalidad equivalente en la población de referencia. Esto replica la lógica conceptual usada en medidas como PhenoAge (S11), pero con inputs no laboratoriales y un modelo propio que el Agente 2 debe validar. </w:t>
      </w:r>
      <w:r>
        <w:rPr>
          <w:rFonts w:ascii="Roboto" w:hAnsi="Roboto"/>
          <w:b/>
          <w:sz w:val="18"/>
        </w:rPr>
        <w:t>PIVOT aplicado:</w:t>
      </w:r>
      <w:r>
        <w:rPr>
          <w:rFonts w:ascii="Roboto" w:hAnsi="Roboto"/>
          <w:sz w:val="18"/>
        </w:rPr>
        <w:t xml:space="preserve"> se descarta la promesa implícita de “edad celular real”. Sin metilación, sangre u otros biomarcadores no puede sostenerse esa afirmación con rigor. MorrowAge vende </w:t>
      </w:r>
      <w:r>
        <w:rPr>
          <w:rFonts w:ascii="Roboto" w:hAnsi="Roboto"/>
          <w:b/>
          <w:sz w:val="18"/>
        </w:rPr>
        <w:t>claridad de riesgo poblacional y palancas modificables</w:t>
      </w:r>
      <w:r>
        <w:rPr>
          <w:rFonts w:ascii="Roboto" w:hAnsi="Roboto"/>
          <w:sz w:val="18"/>
        </w:rPr>
        <w:t>, no una prueba epigenética barata.</w:t>
      </w:r>
    </w:p>
    <w:p>
      <w:pPr>
        <w:pStyle w:val="Heading1"/>
      </w:pPr>
      <w:r>
        <w:rPr>
          <w:rFonts w:ascii="Roboto" w:hAnsi="Roboto"/>
          <w:sz w:val="30"/>
        </w:rPr>
        <w:t>7. Qué predice</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shd w:fill="DCEBEC"/>
            <w:tcMar>
              <w:top w:w="70" w:type="dxa"/>
              <w:start w:w="80" w:type="dxa"/>
              <w:bottom w:w="70" w:type="dxa"/>
              <w:end w:w="80" w:type="dxa"/>
            </w:tcMar>
            <w:vAlign w:val="center"/>
          </w:tcPr>
          <w:p>
            <w:pPr>
              <w:spacing w:after="0"/>
            </w:pPr>
            <w:r>
              <w:rPr>
                <w:rFonts w:ascii="Roboto" w:hAnsi="Roboto"/>
                <w:b/>
                <w:color w:val="163B43"/>
                <w:sz w:val="16"/>
              </w:rPr>
              <w:t>Campo</w:t>
            </w:r>
          </w:p>
        </w:tc>
        <w:tc>
          <w:tcPr>
            <w:tcW w:type="dxa" w:w="5131"/>
            <w:shd w:fill="DCEBEC"/>
            <w:tcMar>
              <w:top w:w="70" w:type="dxa"/>
              <w:start w:w="80" w:type="dxa"/>
              <w:bottom w:w="70" w:type="dxa"/>
              <w:end w:w="80" w:type="dxa"/>
            </w:tcMar>
            <w:vAlign w:val="center"/>
          </w:tcPr>
          <w:p>
            <w:pPr>
              <w:spacing w:after="0"/>
            </w:pPr>
            <w:r>
              <w:rPr>
                <w:rFonts w:ascii="Roboto" w:hAnsi="Roboto"/>
                <w:b/>
                <w:color w:val="163B43"/>
                <w:sz w:val="16"/>
              </w:rPr>
              <w:t>Definición</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Variable objetivo</w:t>
            </w:r>
          </w:p>
        </w:tc>
        <w:tc>
          <w:tcPr>
            <w:tcW w:type="dxa" w:w="5131"/>
            <w:tcMar>
              <w:top w:w="70" w:type="dxa"/>
              <w:start w:w="80" w:type="dxa"/>
              <w:bottom w:w="70" w:type="dxa"/>
              <w:end w:w="80" w:type="dxa"/>
            </w:tcMar>
            <w:vAlign w:val="top"/>
          </w:tcPr>
          <w:p>
            <w:pPr>
              <w:spacing w:after="0" w:line="240" w:lineRule="auto"/>
            </w:pPr>
            <w:r>
              <w:rPr>
                <w:rFonts w:ascii="Roboto" w:hAnsi="Roboto"/>
                <w:sz w:val="16"/>
              </w:rPr>
              <w:t>Probabilidad calibrada de mortalidad por cualquier causa a 10 años + edad equivalente por riesgo ('Healthspan Age').</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Unidad</w:t>
            </w:r>
          </w:p>
        </w:tc>
        <w:tc>
          <w:tcPr>
            <w:tcW w:type="dxa" w:w="5131"/>
            <w:tcMar>
              <w:top w:w="70" w:type="dxa"/>
              <w:start w:w="80" w:type="dxa"/>
              <w:bottom w:w="70" w:type="dxa"/>
              <w:end w:w="80" w:type="dxa"/>
            </w:tcMar>
            <w:vAlign w:val="top"/>
          </w:tcPr>
          <w:p>
            <w:pPr>
              <w:spacing w:after="0" w:line="240" w:lineRule="auto"/>
            </w:pPr>
            <w:r>
              <w:rPr>
                <w:rFonts w:ascii="Roboto" w:hAnsi="Roboto"/>
                <w:sz w:val="16"/>
              </w:rPr>
              <w:t>% de riesgo a 10 años; años equivalentes; diferencia vs edad cronológica en años.</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Horizonte</w:t>
            </w:r>
          </w:p>
        </w:tc>
        <w:tc>
          <w:tcPr>
            <w:tcW w:type="dxa" w:w="5131"/>
            <w:tcMar>
              <w:top w:w="70" w:type="dxa"/>
              <w:start w:w="80" w:type="dxa"/>
              <w:bottom w:w="70" w:type="dxa"/>
              <w:end w:w="80" w:type="dxa"/>
            </w:tcMar>
            <w:vAlign w:val="top"/>
          </w:tcPr>
          <w:p>
            <w:pPr>
              <w:spacing w:after="0" w:line="240" w:lineRule="auto"/>
            </w:pPr>
            <w:r>
              <w:rPr>
                <w:rFonts w:ascii="Roboto" w:hAnsi="Roboto"/>
                <w:sz w:val="16"/>
              </w:rPr>
              <w:t>10 años (primario); 4–9 años como benchmarks de índices publicados.</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Granularidad</w:t>
            </w:r>
          </w:p>
        </w:tc>
        <w:tc>
          <w:tcPr>
            <w:tcW w:type="dxa" w:w="5131"/>
            <w:tcMar>
              <w:top w:w="70" w:type="dxa"/>
              <w:start w:w="80" w:type="dxa"/>
              <w:bottom w:w="70" w:type="dxa"/>
              <w:end w:w="80" w:type="dxa"/>
            </w:tcMar>
            <w:vAlign w:val="top"/>
          </w:tcPr>
          <w:p>
            <w:pPr>
              <w:spacing w:after="0" w:line="240" w:lineRule="auto"/>
            </w:pPr>
            <w:r>
              <w:rPr>
                <w:rFonts w:ascii="Roboto" w:hAnsi="Roboto"/>
                <w:sz w:val="16"/>
              </w:rPr>
              <w:t>Continua; además bandas de riesgo poblacional y rango de incertidumbre.</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Tipo de problema</w:t>
            </w:r>
          </w:p>
        </w:tc>
        <w:tc>
          <w:tcPr>
            <w:tcW w:type="dxa" w:w="5131"/>
            <w:tcMar>
              <w:top w:w="70" w:type="dxa"/>
              <w:start w:w="80" w:type="dxa"/>
              <w:bottom w:w="70" w:type="dxa"/>
              <w:end w:w="80" w:type="dxa"/>
            </w:tcMar>
            <w:vAlign w:val="top"/>
          </w:tcPr>
          <w:p>
            <w:pPr>
              <w:spacing w:after="0" w:line="240" w:lineRule="auto"/>
            </w:pPr>
            <w:r>
              <w:rPr>
                <w:rFonts w:ascii="Roboto" w:hAnsi="Roboto"/>
                <w:sz w:val="16"/>
              </w:rPr>
              <w:t>Análisis de supervivencia / regresión de riesgo + calibración + inversión monotónica a edad equivalente.</w:t>
            </w:r>
          </w:p>
        </w:tc>
      </w:tr>
    </w:tbl>
    <w:p>
      <w:pPr>
        <w:spacing w:after="0"/>
      </w:pPr>
    </w:p>
    <w:p>
      <w:pPr>
        <w:widowControl/>
      </w:pPr>
      <w:r>
        <w:rPr>
          <w:rFonts w:ascii="Roboto" w:hAnsi="Roboto"/>
          <w:b/>
          <w:sz w:val="18"/>
        </w:rPr>
        <w:t>Candidatos de modelo:</w:t>
      </w:r>
    </w:p>
    <w:p>
      <w:pPr>
        <w:pStyle w:val="ListBullet"/>
      </w:pPr>
      <w:r>
        <w:rPr>
          <w:rFonts w:ascii="Roboto" w:hAnsi="Roboto"/>
          <w:sz w:val="18"/>
        </w:rPr>
        <w:t>Cox proportional hazards ponderado por diseño de encuesta sobre NHANES 1999–2018 enlazado a NDI; candidato principal por transparencia.</w:t>
      </w:r>
    </w:p>
    <w:p>
      <w:pPr>
        <w:pStyle w:val="ListBullet"/>
      </w:pPr>
      <w:r>
        <w:rPr>
          <w:rFonts w:ascii="Roboto" w:hAnsi="Roboto"/>
          <w:sz w:val="18"/>
        </w:rPr>
        <w:t>Gradient Boosted Survival Trees / XGBoost survival como benchmark no lineal, con calibración isotónica o Platt según corresponda.</w:t>
      </w:r>
    </w:p>
    <w:p>
      <w:pPr>
        <w:pStyle w:val="ListBullet"/>
      </w:pPr>
      <w:r>
        <w:rPr>
          <w:rFonts w:ascii="Roboto" w:hAnsi="Roboto"/>
          <w:sz w:val="18"/>
        </w:rPr>
        <w:t>Índice de Lee (&gt;50 años) como benchmark interpretable de autorreporte a 4 años.</w:t>
      </w:r>
    </w:p>
    <w:p>
      <w:pPr>
        <w:pStyle w:val="ListBullet"/>
      </w:pPr>
      <w:r>
        <w:rPr>
          <w:rFonts w:ascii="Roboto" w:hAnsi="Roboto"/>
          <w:sz w:val="18"/>
        </w:rPr>
        <w:t>Índice de Schonberg (65+) como benchmark externo/segmento mayor.</w:t>
      </w:r>
    </w:p>
    <w:p>
      <w:pPr>
        <w:pStyle w:val="ListBullet"/>
      </w:pPr>
      <w:r>
        <w:rPr>
          <w:rFonts w:ascii="Roboto" w:hAnsi="Roboto"/>
          <w:sz w:val="18"/>
        </w:rPr>
        <w:t>Curva base de mortalidad por edad/sexo (CDC/SSA) para mapear riesgo a edad equivalente; internacionalización requerirá tablas nacionales/ONU.</w:t>
      </w:r>
    </w:p>
    <w:p>
      <w:pPr>
        <w:widowControl/>
      </w:pPr>
      <w:r>
        <w:rPr>
          <w:rFonts w:ascii="Roboto" w:hAnsi="Roboto"/>
          <w:b/>
          <w:sz w:val="18"/>
        </w:rPr>
        <w:t>Regla de fábrica:</w:t>
      </w:r>
      <w:r>
        <w:rPr>
          <w:rFonts w:ascii="Roboto" w:hAnsi="Roboto"/>
          <w:sz w:val="18"/>
        </w:rPr>
        <w:t xml:space="preserve"> El cálculo numérico lo hace un modelo estadístico/determinista versionado. Un LLM solo puede redactar explicación a partir de outputs estructurados y nunca modificar el score.</w:t>
      </w:r>
    </w:p>
    <w:p>
      <w:pPr>
        <w:pStyle w:val="Heading1"/>
      </w:pPr>
      <w:r>
        <w:rPr>
          <w:rFonts w:ascii="Roboto" w:hAnsi="Roboto"/>
          <w:sz w:val="30"/>
        </w:rPr>
        <w:t>8. Inputs — hipótesis</w:t>
      </w:r>
    </w:p>
    <w:p>
      <w:pPr>
        <w:pStyle w:val="ListNumber"/>
      </w:pPr>
      <w:r>
        <w:rPr>
          <w:rFonts w:ascii="Roboto" w:hAnsi="Roboto"/>
          <w:sz w:val="18"/>
        </w:rPr>
        <w:t>Edad cronológica.</w:t>
      </w:r>
    </w:p>
    <w:p>
      <w:pPr>
        <w:pStyle w:val="ListNumber"/>
      </w:pPr>
      <w:r>
        <w:rPr>
          <w:rFonts w:ascii="Roboto" w:hAnsi="Roboto"/>
          <w:sz w:val="18"/>
        </w:rPr>
        <w:t>Sexo al nacer (solo porque varios modelos/tablas de mortalidad lo requieren; explicar uso).</w:t>
      </w:r>
    </w:p>
    <w:p>
      <w:pPr>
        <w:pStyle w:val="ListNumber"/>
      </w:pPr>
      <w:r>
        <w:rPr>
          <w:rFonts w:ascii="Roboto" w:hAnsi="Roboto"/>
          <w:sz w:val="18"/>
        </w:rPr>
        <w:t>Altura + peso habituales (para BMI; aceptar unidades métricas/imperiales).</w:t>
      </w:r>
    </w:p>
    <w:p>
      <w:pPr>
        <w:pStyle w:val="ListNumber"/>
      </w:pPr>
      <w:r>
        <w:rPr>
          <w:rFonts w:ascii="Roboto" w:hAnsi="Roboto"/>
          <w:sz w:val="18"/>
        </w:rPr>
        <w:t>Tabaquismo: nunca / exfumador / actual.</w:t>
      </w:r>
    </w:p>
    <w:p>
      <w:pPr>
        <w:pStyle w:val="ListNumber"/>
      </w:pPr>
      <w:r>
        <w:rPr>
          <w:rFonts w:ascii="Roboto" w:hAnsi="Roboto"/>
          <w:sz w:val="18"/>
        </w:rPr>
        <w:t>Actividad física semanal: días o minutos en categorías simples.</w:t>
      </w:r>
    </w:p>
    <w:p>
      <w:pPr>
        <w:pStyle w:val="ListNumber"/>
      </w:pPr>
      <w:r>
        <w:rPr>
          <w:rFonts w:ascii="Roboto" w:hAnsi="Roboto"/>
          <w:sz w:val="18"/>
        </w:rPr>
        <w:t>Salud autopercibida: excelente / muy buena / buena / regular / mala.</w:t>
      </w:r>
    </w:p>
    <w:p>
      <w:pPr>
        <w:pStyle w:val="ListNumber"/>
      </w:pPr>
      <w:r>
        <w:rPr>
          <w:rFonts w:ascii="Roboto" w:hAnsi="Roboto"/>
          <w:sz w:val="18"/>
        </w:rPr>
        <w:t>Diagnósticos conocidos en checklist (p. ej., diabetes, cardiopatía, enfermedad pulmonar, cáncer) — sin pedir documentos.</w:t>
      </w:r>
    </w:p>
    <w:p>
      <w:pPr>
        <w:pStyle w:val="ListNumber"/>
      </w:pPr>
      <w:r>
        <w:rPr>
          <w:rFonts w:ascii="Roboto" w:hAnsi="Roboto"/>
          <w:sz w:val="18"/>
        </w:rPr>
        <w:t>Movilidad funcional: dificultad al caminar varias cuadras o subir escaleras / ritmo de marcha autopercibido.</w:t>
      </w:r>
    </w:p>
    <w:p>
      <w:pPr>
        <w:widowControl/>
      </w:pPr>
      <w:r>
        <w:rPr>
          <w:rFonts w:ascii="Roboto" w:hAnsi="Roboto"/>
          <w:sz w:val="18"/>
        </w:rPr>
        <w:t xml:space="preserve">Meta de UX: 7–8 grupos de respuesta, 60–75 segundos medianos. Los campos clínicos son </w:t>
      </w:r>
      <w:r>
        <w:rPr>
          <w:rFonts w:ascii="Roboto" w:hAnsi="Roboto"/>
          <w:b/>
          <w:sz w:val="18"/>
        </w:rPr>
        <w:t>autorreporte de diagnóstico conocido</w:t>
      </w:r>
      <w:r>
        <w:rPr>
          <w:rFonts w:ascii="Roboto" w:hAnsi="Roboto"/>
          <w:sz w:val="18"/>
        </w:rPr>
        <w:t>, no mediciones nuevas. Si el usuario no sabe un dato, el modelo debe aceptar “no sé” o usar una ruta degradada con mayor incertidumbre.</w:t>
      </w:r>
    </w:p>
    <w:p>
      <w:pPr>
        <w:pStyle w:val="Heading1"/>
      </w:pPr>
      <w:r>
        <w:rPr>
          <w:rFonts w:ascii="Roboto" w:hAnsi="Roboto"/>
          <w:sz w:val="30"/>
        </w:rPr>
        <w:t>9. Alcance del MVP</w:t>
      </w:r>
    </w:p>
    <w:p>
      <w:pPr>
        <w:pStyle w:val="Heading2"/>
      </w:pPr>
      <w:r>
        <w:rPr>
          <w:rFonts w:ascii="Roboto" w:hAnsi="Roboto"/>
          <w:sz w:val="23"/>
        </w:rPr>
        <w:t>In</w:t>
      </w:r>
    </w:p>
    <w:p>
      <w:pPr>
        <w:pStyle w:val="ListBullet"/>
      </w:pPr>
      <w:r>
        <w:rPr>
          <w:rFonts w:ascii="Roboto" w:hAnsi="Roboto"/>
          <w:sz w:val="18"/>
        </w:rPr>
        <w:t>Landing page SEO + calculadora EN/ES/PT.</w:t>
      </w:r>
    </w:p>
    <w:p>
      <w:pPr>
        <w:pStyle w:val="ListBullet"/>
      </w:pPr>
      <w:r>
        <w:rPr>
          <w:rFonts w:ascii="Roboto" w:hAnsi="Roboto"/>
          <w:sz w:val="18"/>
        </w:rPr>
        <w:t>Assessment de 7–8 grupos de inputs en &lt;90 s, con indicador de progreso.</w:t>
      </w:r>
    </w:p>
    <w:p>
      <w:pPr>
        <w:pStyle w:val="ListBullet"/>
      </w:pPr>
      <w:r>
        <w:rPr>
          <w:rFonts w:ascii="Roboto" w:hAnsi="Roboto"/>
          <w:sz w:val="18"/>
        </w:rPr>
        <w:t>Cálculo determinista/estadístico de riesgo a 10 años y Healthspan Age equivalente.</w:t>
      </w:r>
    </w:p>
    <w:p>
      <w:pPr>
        <w:pStyle w:val="ListBullet"/>
      </w:pPr>
      <w:r>
        <w:rPr>
          <w:rFonts w:ascii="Roboto" w:hAnsi="Roboto"/>
          <w:sz w:val="18"/>
        </w:rPr>
        <w:t>Vista previa inmediata: edad equivalente, delta vs cronológica, rango de confianza y 3 principales drivers.</w:t>
      </w:r>
    </w:p>
    <w:p>
      <w:pPr>
        <w:pStyle w:val="ListBullet"/>
      </w:pPr>
      <w:r>
        <w:rPr>
          <w:rFonts w:ascii="Roboto" w:hAnsi="Roboto"/>
          <w:sz w:val="18"/>
        </w:rPr>
        <w:t>Email gate para informe completo; envío al usuario y copia al dueño en Fase 1.</w:t>
      </w:r>
    </w:p>
    <w:p>
      <w:pPr>
        <w:pStyle w:val="ListBullet"/>
      </w:pPr>
      <w:r>
        <w:rPr>
          <w:rFonts w:ascii="Roboto" w:hAnsi="Roboto"/>
          <w:sz w:val="18"/>
        </w:rPr>
        <w:t>Informe web/PDF ligero con explicación, límites, drivers y escenario 'what-if' solo sobre factores modificables.</w:t>
      </w:r>
    </w:p>
    <w:p>
      <w:pPr>
        <w:pStyle w:val="ListBullet"/>
      </w:pPr>
      <w:r>
        <w:rPr>
          <w:rFonts w:ascii="Roboto" w:hAnsi="Roboto"/>
          <w:sz w:val="18"/>
        </w:rPr>
        <w:t>Consentimiento, política de privacidad, disclaimer y borrado de datos.</w:t>
      </w:r>
    </w:p>
    <w:p>
      <w:pPr>
        <w:pStyle w:val="ListBullet"/>
      </w:pPr>
      <w:r>
        <w:rPr>
          <w:rFonts w:ascii="Roboto" w:hAnsi="Roboto"/>
          <w:sz w:val="18"/>
        </w:rPr>
        <w:t>Eventos analíticos del funnel y versión del modelo registrada por resultado.</w:t>
      </w:r>
    </w:p>
    <w:p>
      <w:pPr>
        <w:pStyle w:val="Heading2"/>
      </w:pPr>
      <w:r>
        <w:rPr>
          <w:rFonts w:ascii="Roboto" w:hAnsi="Roboto"/>
          <w:sz w:val="23"/>
        </w:rPr>
        <w:t>Out</w:t>
      </w:r>
    </w:p>
    <w:p>
      <w:pPr>
        <w:pStyle w:val="ListBullet"/>
      </w:pPr>
      <w:r>
        <w:rPr>
          <w:rFonts w:ascii="Roboto" w:hAnsi="Roboto"/>
          <w:sz w:val="18"/>
        </w:rPr>
        <w:t>Diagnóstico médico o recomendación de tratamiento/medicación/suplementos.</w:t>
      </w:r>
    </w:p>
    <w:p>
      <w:pPr>
        <w:pStyle w:val="ListBullet"/>
      </w:pPr>
      <w:r>
        <w:rPr>
          <w:rFonts w:ascii="Roboto" w:hAnsi="Roboto"/>
          <w:sz w:val="18"/>
        </w:rPr>
        <w:t>Predicción para menores, embarazo, enfermedad terminal o fuera de 35–69 en MVP.</w:t>
      </w:r>
    </w:p>
    <w:p>
      <w:pPr>
        <w:pStyle w:val="ListBullet"/>
      </w:pPr>
      <w:r>
        <w:rPr>
          <w:rFonts w:ascii="Roboto" w:hAnsi="Roboto"/>
          <w:sz w:val="18"/>
        </w:rPr>
        <w:t>Integración obligatoria con Apple Health/Google Fit/wearables.</w:t>
      </w:r>
    </w:p>
    <w:p>
      <w:pPr>
        <w:pStyle w:val="ListBullet"/>
      </w:pPr>
      <w:r>
        <w:rPr>
          <w:rFonts w:ascii="Roboto" w:hAnsi="Roboto"/>
          <w:sz w:val="18"/>
        </w:rPr>
        <w:t>Laboratorios, ADN, epigenética, presión arterial medida en vivo o dispositivos.</w:t>
      </w:r>
    </w:p>
    <w:p>
      <w:pPr>
        <w:pStyle w:val="ListBullet"/>
      </w:pPr>
      <w:r>
        <w:rPr>
          <w:rFonts w:ascii="Roboto" w:hAnsi="Roboto"/>
          <w:sz w:val="18"/>
        </w:rPr>
        <w:t>Seguro, underwriting, decisiones laborales o crédito.</w:t>
      </w:r>
    </w:p>
    <w:p>
      <w:pPr>
        <w:pStyle w:val="ListBullet"/>
      </w:pPr>
      <w:r>
        <w:rPr>
          <w:rFonts w:ascii="Roboto" w:hAnsi="Roboto"/>
          <w:sz w:val="18"/>
        </w:rPr>
        <w:t>Chat médico abierto generado por LLM.</w:t>
      </w:r>
    </w:p>
    <w:p>
      <w:pPr>
        <w:pStyle w:val="Heading2"/>
      </w:pPr>
      <w:r>
        <w:rPr>
          <w:rFonts w:ascii="Roboto" w:hAnsi="Roboto"/>
          <w:sz w:val="23"/>
        </w:rPr>
        <w:t>V2</w:t>
      </w:r>
    </w:p>
    <w:p>
      <w:pPr>
        <w:pStyle w:val="ListBullet"/>
      </w:pPr>
      <w:r>
        <w:rPr>
          <w:rFonts w:ascii="Roboto" w:hAnsi="Roboto"/>
          <w:sz w:val="18"/>
        </w:rPr>
        <w:t>Tracking longitudinal y re-test trimestral.</w:t>
      </w:r>
    </w:p>
    <w:p>
      <w:pPr>
        <w:pStyle w:val="ListBullet"/>
      </w:pPr>
      <w:r>
        <w:rPr>
          <w:rFonts w:ascii="Roboto" w:hAnsi="Roboto"/>
          <w:sz w:val="18"/>
        </w:rPr>
        <w:t>Wearables opcionales para enriquecer actividad/sueño/fitness tras validar incremental lift.</w:t>
      </w:r>
    </w:p>
    <w:p>
      <w:pPr>
        <w:pStyle w:val="ListBullet"/>
      </w:pPr>
      <w:r>
        <w:rPr>
          <w:rFonts w:ascii="Roboto" w:hAnsi="Roboto"/>
          <w:sz w:val="18"/>
        </w:rPr>
        <w:t>Calibración específica por país y cohortes.</w:t>
      </w:r>
    </w:p>
    <w:p>
      <w:pPr>
        <w:pStyle w:val="ListBullet"/>
      </w:pPr>
      <w:r>
        <w:rPr>
          <w:rFonts w:ascii="Roboto" w:hAnsi="Roboto"/>
          <w:sz w:val="18"/>
        </w:rPr>
        <w:t>Comparación de escenario de hábitos con supuestos transparentes.</w:t>
      </w:r>
    </w:p>
    <w:p>
      <w:pPr>
        <w:pStyle w:val="ListBullet"/>
      </w:pPr>
      <w:r>
        <w:rPr>
          <w:rFonts w:ascii="Roboto" w:hAnsi="Roboto"/>
          <w:sz w:val="18"/>
        </w:rPr>
        <w:t>B2B2C para wellness corporativo, coaches y clínicas como top-of-funnel, sin decisiones clínicas automatizadas.</w:t>
      </w:r>
    </w:p>
    <w:p>
      <w:pPr>
        <w:pStyle w:val="Heading1"/>
      </w:pPr>
      <w:r>
        <w:rPr>
          <w:rFonts w:ascii="Roboto" w:hAnsi="Roboto"/>
          <w:sz w:val="30"/>
        </w:rPr>
        <w:t>10. Métricas y metas numéricas</w:t>
      </w:r>
    </w:p>
    <w:p>
      <w:pPr>
        <w:pStyle w:val="Heading2"/>
      </w:pPr>
      <w:r>
        <w:rPr>
          <w:rFonts w:ascii="Roboto" w:hAnsi="Roboto"/>
          <w:sz w:val="23"/>
        </w:rPr>
        <w:t>Producto</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shd w:fill="DCEBEC"/>
            <w:tcMar>
              <w:top w:w="70" w:type="dxa"/>
              <w:start w:w="80" w:type="dxa"/>
              <w:bottom w:w="70" w:type="dxa"/>
              <w:end w:w="80" w:type="dxa"/>
            </w:tcMar>
            <w:vAlign w:val="center"/>
          </w:tcPr>
          <w:p>
            <w:pPr>
              <w:spacing w:after="0"/>
            </w:pPr>
            <w:r>
              <w:rPr>
                <w:rFonts w:ascii="Roboto" w:hAnsi="Roboto"/>
                <w:b/>
                <w:color w:val="163B43"/>
                <w:sz w:val="16"/>
              </w:rPr>
              <w:t>Métrica</w:t>
            </w:r>
          </w:p>
        </w:tc>
        <w:tc>
          <w:tcPr>
            <w:tcW w:type="dxa" w:w="5131"/>
            <w:shd w:fill="DCEBEC"/>
            <w:tcMar>
              <w:top w:w="70" w:type="dxa"/>
              <w:start w:w="80" w:type="dxa"/>
              <w:bottom w:w="70" w:type="dxa"/>
              <w:end w:w="80" w:type="dxa"/>
            </w:tcMar>
            <w:vAlign w:val="center"/>
          </w:tcPr>
          <w:p>
            <w:pPr>
              <w:spacing w:after="0"/>
            </w:pPr>
            <w:r>
              <w:rPr>
                <w:rFonts w:ascii="Roboto" w:hAnsi="Roboto"/>
                <w:b/>
                <w:color w:val="163B43"/>
                <w:sz w:val="16"/>
              </w:rPr>
              <w:t>Meta</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visita→inicio</w:t>
            </w:r>
          </w:p>
        </w:tc>
        <w:tc>
          <w:tcPr>
            <w:tcW w:type="dxa" w:w="5131"/>
            <w:tcMar>
              <w:top w:w="70" w:type="dxa"/>
              <w:start w:w="80" w:type="dxa"/>
              <w:bottom w:w="70" w:type="dxa"/>
              <w:end w:w="80" w:type="dxa"/>
            </w:tcMar>
            <w:vAlign w:val="top"/>
          </w:tcPr>
          <w:p>
            <w:pPr>
              <w:spacing w:after="0" w:line="240" w:lineRule="auto"/>
            </w:pPr>
            <w:r>
              <w:rPr>
                <w:rFonts w:ascii="Roboto" w:hAnsi="Roboto"/>
                <w:sz w:val="16"/>
              </w:rPr>
              <w:t>&gt;=45%</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inicio→vista previa</w:t>
            </w:r>
          </w:p>
        </w:tc>
        <w:tc>
          <w:tcPr>
            <w:tcW w:type="dxa" w:w="5131"/>
            <w:tcMar>
              <w:top w:w="70" w:type="dxa"/>
              <w:start w:w="80" w:type="dxa"/>
              <w:bottom w:w="70" w:type="dxa"/>
              <w:end w:w="80" w:type="dxa"/>
            </w:tcMar>
            <w:vAlign w:val="top"/>
          </w:tcPr>
          <w:p>
            <w:pPr>
              <w:spacing w:after="0" w:line="240" w:lineRule="auto"/>
            </w:pPr>
            <w:r>
              <w:rPr>
                <w:rFonts w:ascii="Roboto" w:hAnsi="Roboto"/>
                <w:sz w:val="16"/>
              </w:rPr>
              <w:t>&gt;=70%</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vista previa→solicitud de informe/email</w:t>
            </w:r>
          </w:p>
        </w:tc>
        <w:tc>
          <w:tcPr>
            <w:tcW w:type="dxa" w:w="5131"/>
            <w:tcMar>
              <w:top w:w="70" w:type="dxa"/>
              <w:start w:w="80" w:type="dxa"/>
              <w:bottom w:w="70" w:type="dxa"/>
              <w:end w:w="80" w:type="dxa"/>
            </w:tcMar>
            <w:vAlign w:val="top"/>
          </w:tcPr>
          <w:p>
            <w:pPr>
              <w:spacing w:after="0" w:line="240" w:lineRule="auto"/>
            </w:pPr>
            <w:r>
              <w:rPr>
                <w:rFonts w:ascii="Roboto" w:hAnsi="Roboto"/>
                <w:sz w:val="16"/>
              </w:rPr>
              <w:t>&gt;=28%</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solicitud→pago (Fase 2)</w:t>
            </w:r>
          </w:p>
        </w:tc>
        <w:tc>
          <w:tcPr>
            <w:tcW w:type="dxa" w:w="5131"/>
            <w:tcMar>
              <w:top w:w="70" w:type="dxa"/>
              <w:start w:w="80" w:type="dxa"/>
              <w:bottom w:w="70" w:type="dxa"/>
              <w:end w:w="80" w:type="dxa"/>
            </w:tcMar>
            <w:vAlign w:val="top"/>
          </w:tcPr>
          <w:p>
            <w:pPr>
              <w:spacing w:after="0" w:line="240" w:lineRule="auto"/>
            </w:pPr>
            <w:r>
              <w:rPr>
                <w:rFonts w:ascii="Roboto" w:hAnsi="Roboto"/>
                <w:sz w:val="16"/>
              </w:rPr>
              <w:t>&gt;=8%</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tiempo mediano a vista previa</w:t>
            </w:r>
          </w:p>
        </w:tc>
        <w:tc>
          <w:tcPr>
            <w:tcW w:type="dxa" w:w="5131"/>
            <w:tcMar>
              <w:top w:w="70" w:type="dxa"/>
              <w:start w:w="80" w:type="dxa"/>
              <w:bottom w:w="70" w:type="dxa"/>
              <w:end w:w="80" w:type="dxa"/>
            </w:tcMar>
            <w:vAlign w:val="top"/>
          </w:tcPr>
          <w:p>
            <w:pPr>
              <w:spacing w:after="0" w:line="240" w:lineRule="auto"/>
            </w:pPr>
            <w:r>
              <w:rPr>
                <w:rFonts w:ascii="Roboto" w:hAnsi="Roboto"/>
                <w:sz w:val="16"/>
              </w:rPr>
              <w:t>&lt;=75 s</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share-card entre quienes ven preview</w:t>
            </w:r>
          </w:p>
        </w:tc>
        <w:tc>
          <w:tcPr>
            <w:tcW w:type="dxa" w:w="5131"/>
            <w:tcMar>
              <w:top w:w="70" w:type="dxa"/>
              <w:start w:w="80" w:type="dxa"/>
              <w:bottom w:w="70" w:type="dxa"/>
              <w:end w:w="80" w:type="dxa"/>
            </w:tcMar>
            <w:vAlign w:val="top"/>
          </w:tcPr>
          <w:p>
            <w:pPr>
              <w:spacing w:after="0" w:line="240" w:lineRule="auto"/>
            </w:pPr>
            <w:r>
              <w:rPr>
                <w:rFonts w:ascii="Roboto" w:hAnsi="Roboto"/>
                <w:sz w:val="16"/>
              </w:rPr>
              <w:t>&gt;=6%</w:t>
            </w:r>
          </w:p>
        </w:tc>
      </w:tr>
    </w:tbl>
    <w:p>
      <w:pPr>
        <w:spacing w:after="0"/>
      </w:pPr>
    </w:p>
    <w:p>
      <w:pPr>
        <w:pStyle w:val="Heading2"/>
      </w:pPr>
      <w:r>
        <w:rPr>
          <w:rFonts w:ascii="Roboto" w:hAnsi="Roboto"/>
          <w:sz w:val="23"/>
        </w:rPr>
        <w:t>Modelo</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shd w:fill="DCEBEC"/>
            <w:tcMar>
              <w:top w:w="70" w:type="dxa"/>
              <w:start w:w="80" w:type="dxa"/>
              <w:bottom w:w="70" w:type="dxa"/>
              <w:end w:w="80" w:type="dxa"/>
            </w:tcMar>
            <w:vAlign w:val="center"/>
          </w:tcPr>
          <w:p>
            <w:pPr>
              <w:spacing w:after="0"/>
            </w:pPr>
            <w:r>
              <w:rPr>
                <w:rFonts w:ascii="Roboto" w:hAnsi="Roboto"/>
                <w:b/>
                <w:color w:val="163B43"/>
                <w:sz w:val="16"/>
              </w:rPr>
              <w:t>Métrica</w:t>
            </w:r>
          </w:p>
        </w:tc>
        <w:tc>
          <w:tcPr>
            <w:tcW w:type="dxa" w:w="5131"/>
            <w:shd w:fill="DCEBEC"/>
            <w:tcMar>
              <w:top w:w="70" w:type="dxa"/>
              <w:start w:w="80" w:type="dxa"/>
              <w:bottom w:w="70" w:type="dxa"/>
              <w:end w:w="80" w:type="dxa"/>
            </w:tcMar>
            <w:vAlign w:val="center"/>
          </w:tcPr>
          <w:p>
            <w:pPr>
              <w:spacing w:after="0"/>
            </w:pPr>
            <w:r>
              <w:rPr>
                <w:rFonts w:ascii="Roboto" w:hAnsi="Roboto"/>
                <w:b/>
                <w:color w:val="163B43"/>
                <w:sz w:val="16"/>
              </w:rPr>
              <w:t>Meta</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C-index / time-dependent AUC 10y</w:t>
            </w:r>
          </w:p>
        </w:tc>
        <w:tc>
          <w:tcPr>
            <w:tcW w:type="dxa" w:w="5131"/>
            <w:tcMar>
              <w:top w:w="70" w:type="dxa"/>
              <w:start w:w="80" w:type="dxa"/>
              <w:bottom w:w="70" w:type="dxa"/>
              <w:end w:w="80" w:type="dxa"/>
            </w:tcMar>
            <w:vAlign w:val="top"/>
          </w:tcPr>
          <w:p>
            <w:pPr>
              <w:spacing w:after="0" w:line="240" w:lineRule="auto"/>
            </w:pPr>
            <w:r>
              <w:rPr>
                <w:rFonts w:ascii="Roboto" w:hAnsi="Roboto"/>
                <w:sz w:val="16"/>
              </w:rPr>
              <w:t>&gt;=0.72 en holdout; reportar IC95%</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Brier score 10y</w:t>
            </w:r>
          </w:p>
        </w:tc>
        <w:tc>
          <w:tcPr>
            <w:tcW w:type="dxa" w:w="5131"/>
            <w:tcMar>
              <w:top w:w="70" w:type="dxa"/>
              <w:start w:w="80" w:type="dxa"/>
              <w:bottom w:w="70" w:type="dxa"/>
              <w:end w:w="80" w:type="dxa"/>
            </w:tcMar>
            <w:vAlign w:val="top"/>
          </w:tcPr>
          <w:p>
            <w:pPr>
              <w:spacing w:after="0" w:line="240" w:lineRule="auto"/>
            </w:pPr>
            <w:r>
              <w:rPr>
                <w:rFonts w:ascii="Roboto" w:hAnsi="Roboto"/>
                <w:sz w:val="16"/>
              </w:rPr>
              <w:t>&lt;=0.12 o mejorar &gt;=10% vs modelo edad+sexo</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calibration slope</w:t>
            </w:r>
          </w:p>
        </w:tc>
        <w:tc>
          <w:tcPr>
            <w:tcW w:type="dxa" w:w="5131"/>
            <w:tcMar>
              <w:top w:w="70" w:type="dxa"/>
              <w:start w:w="80" w:type="dxa"/>
              <w:bottom w:w="70" w:type="dxa"/>
              <w:end w:w="80" w:type="dxa"/>
            </w:tcMar>
            <w:vAlign w:val="top"/>
          </w:tcPr>
          <w:p>
            <w:pPr>
              <w:spacing w:after="0" w:line="240" w:lineRule="auto"/>
            </w:pPr>
            <w:r>
              <w:rPr>
                <w:rFonts w:ascii="Roboto" w:hAnsi="Roboto"/>
                <w:sz w:val="16"/>
              </w:rPr>
              <w:t>0.90–1.10</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calibration-in-the-large</w:t>
            </w:r>
          </w:p>
        </w:tc>
        <w:tc>
          <w:tcPr>
            <w:tcW w:type="dxa" w:w="5131"/>
            <w:tcMar>
              <w:top w:w="70" w:type="dxa"/>
              <w:start w:w="80" w:type="dxa"/>
              <w:bottom w:w="70" w:type="dxa"/>
              <w:end w:w="80" w:type="dxa"/>
            </w:tcMar>
            <w:vAlign w:val="top"/>
          </w:tcPr>
          <w:p>
            <w:pPr>
              <w:spacing w:after="0" w:line="240" w:lineRule="auto"/>
            </w:pPr>
            <w:r>
              <w:rPr>
                <w:rFonts w:ascii="Roboto" w:hAnsi="Roboto"/>
                <w:sz w:val="16"/>
              </w:rPr>
              <w:t>|intercepto| &lt;=0.05 en escala apropiada</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brecha de AUC/calibración entre subgrupos</w:t>
            </w:r>
          </w:p>
        </w:tc>
        <w:tc>
          <w:tcPr>
            <w:tcW w:type="dxa" w:w="5131"/>
            <w:tcMar>
              <w:top w:w="70" w:type="dxa"/>
              <w:start w:w="80" w:type="dxa"/>
              <w:bottom w:w="70" w:type="dxa"/>
              <w:end w:w="80" w:type="dxa"/>
            </w:tcMar>
            <w:vAlign w:val="top"/>
          </w:tcPr>
          <w:p>
            <w:pPr>
              <w:spacing w:after="0" w:line="240" w:lineRule="auto"/>
            </w:pPr>
            <w:r>
              <w:rPr>
                <w:rFonts w:ascii="Roboto" w:hAnsi="Roboto"/>
                <w:sz w:val="16"/>
              </w:rPr>
              <w:t>&lt;0.05 AUC y sin miscalibración clínicamente material</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benchmark contra Lee/Schonberg</w:t>
            </w:r>
          </w:p>
        </w:tc>
        <w:tc>
          <w:tcPr>
            <w:tcW w:type="dxa" w:w="5131"/>
            <w:tcMar>
              <w:top w:w="70" w:type="dxa"/>
              <w:start w:w="80" w:type="dxa"/>
              <w:bottom w:w="70" w:type="dxa"/>
              <w:end w:w="80" w:type="dxa"/>
            </w:tcMar>
            <w:vAlign w:val="top"/>
          </w:tcPr>
          <w:p>
            <w:pPr>
              <w:spacing w:after="0" w:line="240" w:lineRule="auto"/>
            </w:pPr>
            <w:r>
              <w:rPr>
                <w:rFonts w:ascii="Roboto" w:hAnsi="Roboto"/>
                <w:sz w:val="16"/>
              </w:rPr>
              <w:t>no inferior en cohortes elegibles o justificar trade-off</w:t>
            </w:r>
          </w:p>
        </w:tc>
      </w:tr>
    </w:tbl>
    <w:p>
      <w:pPr>
        <w:spacing w:after="0"/>
      </w:pPr>
    </w:p>
    <w:p>
      <w:pPr>
        <w:pStyle w:val="Heading2"/>
      </w:pPr>
      <w:r>
        <w:rPr>
          <w:rFonts w:ascii="Roboto" w:hAnsi="Roboto"/>
          <w:sz w:val="23"/>
        </w:rPr>
        <w:t>Negocio</w:t>
      </w:r>
    </w:p>
    <w:tbl>
      <w:tblPr>
        <w:tblStyle w:val="TableGrid"/>
        <w:tblW w:type="auto" w:w="0"/>
        <w:jc w:val="center"/>
        <w:tblLayout w:type="autofit"/>
        <w:tblLook w:firstColumn="1" w:firstRow="1" w:lastColumn="0" w:lastRow="0" w:noHBand="0" w:noVBand="1" w:val="04A0"/>
      </w:tblPr>
      <w:tblGrid>
        <w:gridCol w:w="5131"/>
        <w:gridCol w:w="5131"/>
      </w:tblGrid>
      <w:tr>
        <w:trPr>
          <w:tblHeader w:val="true"/>
        </w:trPr>
        <w:tc>
          <w:tcPr>
            <w:tcW w:type="dxa" w:w="5131"/>
            <w:shd w:fill="DCEBEC"/>
            <w:tcMar>
              <w:top w:w="70" w:type="dxa"/>
              <w:start w:w="80" w:type="dxa"/>
              <w:bottom w:w="70" w:type="dxa"/>
              <w:end w:w="80" w:type="dxa"/>
            </w:tcMar>
            <w:vAlign w:val="center"/>
          </w:tcPr>
          <w:p>
            <w:pPr>
              <w:spacing w:after="0"/>
            </w:pPr>
            <w:r>
              <w:rPr>
                <w:rFonts w:ascii="Roboto" w:hAnsi="Roboto"/>
                <w:b/>
                <w:color w:val="163B43"/>
                <w:sz w:val="16"/>
              </w:rPr>
              <w:t>Métrica</w:t>
            </w:r>
          </w:p>
        </w:tc>
        <w:tc>
          <w:tcPr>
            <w:tcW w:type="dxa" w:w="5131"/>
            <w:shd w:fill="DCEBEC"/>
            <w:tcMar>
              <w:top w:w="70" w:type="dxa"/>
              <w:start w:w="80" w:type="dxa"/>
              <w:bottom w:w="70" w:type="dxa"/>
              <w:end w:w="80" w:type="dxa"/>
            </w:tcMar>
            <w:vAlign w:val="center"/>
          </w:tcPr>
          <w:p>
            <w:pPr>
              <w:spacing w:after="0"/>
            </w:pPr>
            <w:r>
              <w:rPr>
                <w:rFonts w:ascii="Roboto" w:hAnsi="Roboto"/>
                <w:b/>
                <w:color w:val="163B43"/>
                <w:sz w:val="16"/>
              </w:rPr>
              <w:t>Meta</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CAC blended objetivo US (tras contenido maduro)</w:t>
            </w:r>
          </w:p>
        </w:tc>
        <w:tc>
          <w:tcPr>
            <w:tcW w:type="dxa" w:w="5131"/>
            <w:tcMar>
              <w:top w:w="70" w:type="dxa"/>
              <w:start w:w="80" w:type="dxa"/>
              <w:bottom w:w="70" w:type="dxa"/>
              <w:end w:w="80" w:type="dxa"/>
            </w:tcMar>
            <w:vAlign w:val="top"/>
          </w:tcPr>
          <w:p>
            <w:pPr>
              <w:spacing w:after="0" w:line="240" w:lineRule="auto"/>
            </w:pPr>
            <w:r>
              <w:rPr>
                <w:rFonts w:ascii="Roboto" w:hAnsi="Roboto"/>
                <w:sz w:val="16"/>
              </w:rPr>
              <w:t>&lt;=US$8 por comprador</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ingreso medio por comprador inicial</w:t>
            </w:r>
          </w:p>
        </w:tc>
        <w:tc>
          <w:tcPr>
            <w:tcW w:type="dxa" w:w="5131"/>
            <w:tcMar>
              <w:top w:w="70" w:type="dxa"/>
              <w:start w:w="80" w:type="dxa"/>
              <w:bottom w:w="70" w:type="dxa"/>
              <w:end w:w="80" w:type="dxa"/>
            </w:tcMar>
            <w:vAlign w:val="top"/>
          </w:tcPr>
          <w:p>
            <w:pPr>
              <w:spacing w:after="0" w:line="240" w:lineRule="auto"/>
            </w:pPr>
            <w:r>
              <w:rPr>
                <w:rFonts w:ascii="Roboto" w:hAnsi="Roboto"/>
                <w:sz w:val="16"/>
              </w:rPr>
              <w:t>US$19–29</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margen bruto por informe digital</w:t>
            </w:r>
          </w:p>
        </w:tc>
        <w:tc>
          <w:tcPr>
            <w:tcW w:type="dxa" w:w="5131"/>
            <w:tcMar>
              <w:top w:w="70" w:type="dxa"/>
              <w:start w:w="80" w:type="dxa"/>
              <w:bottom w:w="70" w:type="dxa"/>
              <w:end w:w="80" w:type="dxa"/>
            </w:tcMar>
            <w:vAlign w:val="top"/>
          </w:tcPr>
          <w:p>
            <w:pPr>
              <w:spacing w:after="0" w:line="240" w:lineRule="auto"/>
            </w:pPr>
            <w:r>
              <w:rPr>
                <w:rFonts w:ascii="Roboto" w:hAnsi="Roboto"/>
                <w:sz w:val="16"/>
              </w:rPr>
              <w:t>&gt;=90% antes de soporte/revisión legal</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email→pago en 30 días</w:t>
            </w:r>
          </w:p>
        </w:tc>
        <w:tc>
          <w:tcPr>
            <w:tcW w:type="dxa" w:w="5131"/>
            <w:tcMar>
              <w:top w:w="70" w:type="dxa"/>
              <w:start w:w="80" w:type="dxa"/>
              <w:bottom w:w="70" w:type="dxa"/>
              <w:end w:w="80" w:type="dxa"/>
            </w:tcMar>
            <w:vAlign w:val="top"/>
          </w:tcPr>
          <w:p>
            <w:pPr>
              <w:spacing w:after="0" w:line="240" w:lineRule="auto"/>
            </w:pPr>
            <w:r>
              <w:rPr>
                <w:rFonts w:ascii="Roboto" w:hAnsi="Roboto"/>
                <w:sz w:val="16"/>
              </w:rPr>
              <w:t>&gt;=10%</w:t>
            </w:r>
          </w:p>
        </w:tc>
      </w:tr>
      <w:tr>
        <w:trPr>
          <w:cantSplit/>
        </w:trPr>
        <w:tc>
          <w:tcPr>
            <w:tcW w:type="dxa" w:w="5131"/>
            <w:tcMar>
              <w:top w:w="70" w:type="dxa"/>
              <w:start w:w="80" w:type="dxa"/>
              <w:bottom w:w="70" w:type="dxa"/>
              <w:end w:w="80" w:type="dxa"/>
            </w:tcMar>
            <w:vAlign w:val="top"/>
          </w:tcPr>
          <w:p>
            <w:pPr>
              <w:spacing w:after="0" w:line="240" w:lineRule="auto"/>
            </w:pPr>
            <w:r>
              <w:rPr>
                <w:rFonts w:ascii="Roboto" w:hAnsi="Roboto"/>
                <w:sz w:val="16"/>
              </w:rPr>
              <w:t>refund rate</w:t>
            </w:r>
          </w:p>
        </w:tc>
        <w:tc>
          <w:tcPr>
            <w:tcW w:type="dxa" w:w="5131"/>
            <w:tcMar>
              <w:top w:w="70" w:type="dxa"/>
              <w:start w:w="80" w:type="dxa"/>
              <w:bottom w:w="70" w:type="dxa"/>
              <w:end w:w="80" w:type="dxa"/>
            </w:tcMar>
            <w:vAlign w:val="top"/>
          </w:tcPr>
          <w:p>
            <w:pPr>
              <w:spacing w:after="0" w:line="240" w:lineRule="auto"/>
            </w:pPr>
            <w:r>
              <w:rPr>
                <w:rFonts w:ascii="Roboto" w:hAnsi="Roboto"/>
                <w:sz w:val="16"/>
              </w:rPr>
              <w:t>&lt;5%</w:t>
            </w:r>
          </w:p>
        </w:tc>
      </w:tr>
    </w:tbl>
    <w:p>
      <w:pPr>
        <w:spacing w:after="0"/>
      </w:pPr>
    </w:p>
    <w:p>
      <w:pPr>
        <w:pStyle w:val="Heading1"/>
      </w:pPr>
      <w:r>
        <w:rPr>
          <w:rFonts w:ascii="Roboto" w:hAnsi="Roboto"/>
          <w:sz w:val="30"/>
        </w:rPr>
        <w:t>11. Modelo de negocio</w:t>
      </w:r>
    </w:p>
    <w:p>
      <w:pPr>
        <w:widowControl/>
      </w:pPr>
      <w:r>
        <w:rPr>
          <w:rFonts w:ascii="Roboto" w:hAnsi="Roboto"/>
          <w:b/>
          <w:sz w:val="18"/>
        </w:rPr>
        <w:t>Gratis:</w:t>
      </w:r>
      <w:r>
        <w:rPr>
          <w:rFonts w:ascii="Roboto" w:hAnsi="Roboto"/>
          <w:sz w:val="18"/>
        </w:rPr>
        <w:t xml:space="preserve"> Resultado preliminar con Healthspan Age, delta, rango de confianza y 1 driver principal; sin tarjeta.</w:t>
      </w:r>
    </w:p>
    <w:p>
      <w:pPr>
        <w:widowControl/>
      </w:pPr>
      <w:r>
        <w:rPr>
          <w:rFonts w:ascii="Roboto" w:hAnsi="Roboto"/>
          <w:b/>
          <w:sz w:val="18"/>
        </w:rPr>
        <w:t>Pago:</w:t>
      </w:r>
      <w:r>
        <w:rPr>
          <w:rFonts w:ascii="Roboto" w:hAnsi="Roboto"/>
          <w:sz w:val="18"/>
        </w:rPr>
        <w:t xml:space="preserve"> Informe completo con todos los drivers, explicación del modelo, comparativas poblacionales y escenarios educativos: US$19 equivalente local.</w:t>
      </w:r>
    </w:p>
    <w:p>
      <w:pPr>
        <w:widowControl/>
      </w:pPr>
      <w:r>
        <w:rPr>
          <w:rFonts w:ascii="Roboto" w:hAnsi="Roboto"/>
          <w:b/>
          <w:sz w:val="18"/>
        </w:rPr>
        <w:t>Suscripción V2:</w:t>
      </w:r>
      <w:r>
        <w:rPr>
          <w:rFonts w:ascii="Roboto" w:hAnsi="Roboto"/>
          <w:sz w:val="18"/>
        </w:rPr>
        <w:t xml:space="preserve"> V2: US$39/año o equivalente para 4 re-evaluaciones, tracking y cambios de score; solo cuando exista necesidad recurrente probada.</w:t>
      </w:r>
    </w:p>
    <w:p>
      <w:pPr>
        <w:widowControl/>
      </w:pPr>
      <w:r>
        <w:rPr>
          <w:rFonts w:ascii="Roboto" w:hAnsi="Roboto"/>
          <w:b/>
          <w:sz w:val="18"/>
        </w:rPr>
        <w:t>B2B2C:</w:t>
      </w:r>
      <w:r>
        <w:rPr>
          <w:rFonts w:ascii="Roboto" w:hAnsi="Roboto"/>
          <w:sz w:val="18"/>
        </w:rPr>
        <w:t xml:space="preserve"> Licencias/lead-gen para coaches de bienestar, gimnasios, empleadores wellness y clínicas de longevidad, con límites estrictos de uso.</w:t>
      </w:r>
    </w:p>
    <w:p>
      <w:pPr>
        <w:pStyle w:val="Heading2"/>
      </w:pPr>
      <w:r>
        <w:rPr>
          <w:rFonts w:ascii="Roboto" w:hAnsi="Roboto"/>
          <w:sz w:val="23"/>
        </w:rPr>
        <w:t>Precio hipotético por país</w:t>
      </w:r>
    </w:p>
    <w:tbl>
      <w:tblPr>
        <w:tblStyle w:val="TableGrid"/>
        <w:tblW w:type="auto" w:w="0"/>
        <w:jc w:val="center"/>
        <w:tblLayout w:type="autofit"/>
        <w:tblLook w:firstColumn="1" w:firstRow="1" w:lastColumn="0" w:lastRow="0" w:noHBand="0" w:noVBand="1" w:val="04A0"/>
      </w:tblPr>
      <w:tblGrid>
        <w:gridCol w:w="3421"/>
        <w:gridCol w:w="3421"/>
        <w:gridCol w:w="3421"/>
      </w:tblGrid>
      <w:tr>
        <w:trPr>
          <w:tblHeader w:val="true"/>
        </w:trPr>
        <w:tc>
          <w:tcPr>
            <w:tcW w:type="dxa" w:w="3421"/>
            <w:shd w:fill="DCEBEC"/>
            <w:tcMar>
              <w:top w:w="70" w:type="dxa"/>
              <w:start w:w="80" w:type="dxa"/>
              <w:bottom w:w="70" w:type="dxa"/>
              <w:end w:w="80" w:type="dxa"/>
            </w:tcMar>
            <w:vAlign w:val="center"/>
          </w:tcPr>
          <w:p>
            <w:pPr>
              <w:spacing w:after="0"/>
            </w:pPr>
            <w:r>
              <w:rPr>
                <w:rFonts w:ascii="Roboto" w:hAnsi="Roboto"/>
                <w:b/>
                <w:color w:val="163B43"/>
                <w:sz w:val="16"/>
              </w:rPr>
              <w:t>País</w:t>
            </w:r>
          </w:p>
        </w:tc>
        <w:tc>
          <w:tcPr>
            <w:tcW w:type="dxa" w:w="3421"/>
            <w:shd w:fill="DCEBEC"/>
            <w:tcMar>
              <w:top w:w="70" w:type="dxa"/>
              <w:start w:w="80" w:type="dxa"/>
              <w:bottom w:w="70" w:type="dxa"/>
              <w:end w:w="80" w:type="dxa"/>
            </w:tcMar>
            <w:vAlign w:val="center"/>
          </w:tcPr>
          <w:p>
            <w:pPr>
              <w:spacing w:after="0"/>
            </w:pPr>
            <w:r>
              <w:rPr>
                <w:rFonts w:ascii="Roboto" w:hAnsi="Roboto"/>
                <w:b/>
                <w:color w:val="163B43"/>
                <w:sz w:val="16"/>
              </w:rPr>
              <w:t>Precio</w:t>
            </w:r>
          </w:p>
        </w:tc>
        <w:tc>
          <w:tcPr>
            <w:tcW w:type="dxa" w:w="3421"/>
            <w:shd w:fill="DCEBEC"/>
            <w:tcMar>
              <w:top w:w="70" w:type="dxa"/>
              <w:start w:w="80" w:type="dxa"/>
              <w:bottom w:w="70" w:type="dxa"/>
              <w:end w:w="80" w:type="dxa"/>
            </w:tcMar>
            <w:vAlign w:val="center"/>
          </w:tcPr>
          <w:p>
            <w:pPr>
              <w:spacing w:after="0"/>
            </w:pPr>
            <w:r>
              <w:rPr>
                <w:rFonts w:ascii="Roboto" w:hAnsi="Roboto"/>
                <w:b/>
                <w:color w:val="163B43"/>
                <w:sz w:val="16"/>
              </w:rPr>
              <w:t>Lógica</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United States</w:t>
            </w:r>
          </w:p>
        </w:tc>
        <w:tc>
          <w:tcPr>
            <w:tcW w:type="dxa" w:w="3421"/>
            <w:tcMar>
              <w:top w:w="70" w:type="dxa"/>
              <w:start w:w="80" w:type="dxa"/>
              <w:bottom w:w="70" w:type="dxa"/>
              <w:end w:w="80" w:type="dxa"/>
            </w:tcMar>
            <w:vAlign w:val="top"/>
          </w:tcPr>
          <w:p>
            <w:pPr>
              <w:spacing w:after="0" w:line="240" w:lineRule="auto"/>
            </w:pPr>
            <w:r>
              <w:rPr>
                <w:rFonts w:ascii="Roboto" w:hAnsi="Roboto"/>
                <w:sz w:val="16"/>
              </w:rPr>
              <w:t>US$19 informe</w:t>
            </w:r>
          </w:p>
        </w:tc>
        <w:tc>
          <w:tcPr>
            <w:tcW w:type="dxa" w:w="3421"/>
            <w:tcMar>
              <w:top w:w="70" w:type="dxa"/>
              <w:start w:w="80" w:type="dxa"/>
              <w:bottom w:w="70" w:type="dxa"/>
              <w:end w:w="80" w:type="dxa"/>
            </w:tcMar>
            <w:vAlign w:val="top"/>
          </w:tcPr>
          <w:p>
            <w:pPr>
              <w:spacing w:after="0" w:line="240" w:lineRule="auto"/>
            </w:pPr>
            <w:r>
              <w:rPr>
                <w:rFonts w:ascii="Roboto" w:hAnsi="Roboto"/>
                <w:sz w:val="16"/>
              </w:rPr>
              <w:t>ancla muy por debajo de US$299–499 de tests; suficiente fricción para validar WTP</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United Kingdom</w:t>
            </w:r>
          </w:p>
        </w:tc>
        <w:tc>
          <w:tcPr>
            <w:tcW w:type="dxa" w:w="3421"/>
            <w:tcMar>
              <w:top w:w="70" w:type="dxa"/>
              <w:start w:w="80" w:type="dxa"/>
              <w:bottom w:w="70" w:type="dxa"/>
              <w:end w:w="80" w:type="dxa"/>
            </w:tcMar>
            <w:vAlign w:val="top"/>
          </w:tcPr>
          <w:p>
            <w:pPr>
              <w:spacing w:after="0" w:line="240" w:lineRule="auto"/>
            </w:pPr>
            <w:r>
              <w:rPr>
                <w:rFonts w:ascii="Roboto" w:hAnsi="Roboto"/>
                <w:sz w:val="16"/>
              </w:rPr>
              <w:t>£15 informe</w:t>
            </w:r>
          </w:p>
        </w:tc>
        <w:tc>
          <w:tcPr>
            <w:tcW w:type="dxa" w:w="3421"/>
            <w:tcMar>
              <w:top w:w="70" w:type="dxa"/>
              <w:start w:w="80" w:type="dxa"/>
              <w:bottom w:w="70" w:type="dxa"/>
              <w:end w:w="80" w:type="dxa"/>
            </w:tcMar>
            <w:vAlign w:val="top"/>
          </w:tcPr>
          <w:p>
            <w:pPr>
              <w:spacing w:after="0" w:line="240" w:lineRule="auto"/>
            </w:pPr>
            <w:r>
              <w:rPr>
                <w:rFonts w:ascii="Roboto" w:hAnsi="Roboto"/>
                <w:sz w:val="16"/>
              </w:rPr>
              <w:t>aprox. paridad de poder adquisitivo y precio psicológico local</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Canada</w:t>
            </w:r>
          </w:p>
        </w:tc>
        <w:tc>
          <w:tcPr>
            <w:tcW w:type="dxa" w:w="3421"/>
            <w:tcMar>
              <w:top w:w="70" w:type="dxa"/>
              <w:start w:w="80" w:type="dxa"/>
              <w:bottom w:w="70" w:type="dxa"/>
              <w:end w:w="80" w:type="dxa"/>
            </w:tcMar>
            <w:vAlign w:val="top"/>
          </w:tcPr>
          <w:p>
            <w:pPr>
              <w:spacing w:after="0" w:line="240" w:lineRule="auto"/>
            </w:pPr>
            <w:r>
              <w:rPr>
                <w:rFonts w:ascii="Roboto" w:hAnsi="Roboto"/>
                <w:sz w:val="16"/>
              </w:rPr>
              <w:t>C$25 informe</w:t>
            </w:r>
          </w:p>
        </w:tc>
        <w:tc>
          <w:tcPr>
            <w:tcW w:type="dxa" w:w="3421"/>
            <w:tcMar>
              <w:top w:w="70" w:type="dxa"/>
              <w:start w:w="80" w:type="dxa"/>
              <w:bottom w:w="70" w:type="dxa"/>
              <w:end w:w="80" w:type="dxa"/>
            </w:tcMar>
            <w:vAlign w:val="top"/>
          </w:tcPr>
          <w:p>
            <w:pPr>
              <w:spacing w:after="0" w:line="240" w:lineRule="auto"/>
            </w:pPr>
            <w:r>
              <w:rPr>
                <w:rFonts w:ascii="Roboto" w:hAnsi="Roboto"/>
                <w:sz w:val="16"/>
              </w:rPr>
              <w:t>equivalente aproximado a US$19 ajustado</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Australia</w:t>
            </w:r>
          </w:p>
        </w:tc>
        <w:tc>
          <w:tcPr>
            <w:tcW w:type="dxa" w:w="3421"/>
            <w:tcMar>
              <w:top w:w="70" w:type="dxa"/>
              <w:start w:w="80" w:type="dxa"/>
              <w:bottom w:w="70" w:type="dxa"/>
              <w:end w:w="80" w:type="dxa"/>
            </w:tcMar>
            <w:vAlign w:val="top"/>
          </w:tcPr>
          <w:p>
            <w:pPr>
              <w:spacing w:after="0" w:line="240" w:lineRule="auto"/>
            </w:pPr>
            <w:r>
              <w:rPr>
                <w:rFonts w:ascii="Roboto" w:hAnsi="Roboto"/>
                <w:sz w:val="16"/>
              </w:rPr>
              <w:t>A$29 informe</w:t>
            </w:r>
          </w:p>
        </w:tc>
        <w:tc>
          <w:tcPr>
            <w:tcW w:type="dxa" w:w="3421"/>
            <w:tcMar>
              <w:top w:w="70" w:type="dxa"/>
              <w:start w:w="80" w:type="dxa"/>
              <w:bottom w:w="70" w:type="dxa"/>
              <w:end w:w="80" w:type="dxa"/>
            </w:tcMar>
            <w:vAlign w:val="top"/>
          </w:tcPr>
          <w:p>
            <w:pPr>
              <w:spacing w:after="0" w:line="240" w:lineRule="auto"/>
            </w:pPr>
            <w:r>
              <w:rPr>
                <w:rFonts w:ascii="Roboto" w:hAnsi="Roboto"/>
                <w:sz w:val="16"/>
              </w:rPr>
              <w:t>equivalente aproximado con redondeo psicológico</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Brazil</w:t>
            </w:r>
          </w:p>
        </w:tc>
        <w:tc>
          <w:tcPr>
            <w:tcW w:type="dxa" w:w="3421"/>
            <w:tcMar>
              <w:top w:w="70" w:type="dxa"/>
              <w:start w:w="80" w:type="dxa"/>
              <w:bottom w:w="70" w:type="dxa"/>
              <w:end w:w="80" w:type="dxa"/>
            </w:tcMar>
            <w:vAlign w:val="top"/>
          </w:tcPr>
          <w:p>
            <w:pPr>
              <w:spacing w:after="0" w:line="240" w:lineRule="auto"/>
            </w:pPr>
            <w:r>
              <w:rPr>
                <w:rFonts w:ascii="Roboto" w:hAnsi="Roboto"/>
                <w:sz w:val="16"/>
              </w:rPr>
              <w:t>R$49 informe</w:t>
            </w:r>
          </w:p>
        </w:tc>
        <w:tc>
          <w:tcPr>
            <w:tcW w:type="dxa" w:w="3421"/>
            <w:tcMar>
              <w:top w:w="70" w:type="dxa"/>
              <w:start w:w="80" w:type="dxa"/>
              <w:bottom w:w="70" w:type="dxa"/>
              <w:end w:w="80" w:type="dxa"/>
            </w:tcMar>
            <w:vAlign w:val="top"/>
          </w:tcPr>
          <w:p>
            <w:pPr>
              <w:spacing w:after="0" w:line="240" w:lineRule="auto"/>
            </w:pPr>
            <w:r>
              <w:rPr>
                <w:rFonts w:ascii="Roboto" w:hAnsi="Roboto"/>
                <w:sz w:val="16"/>
              </w:rPr>
              <w:t>descuento PPP deliberado para ampliar conversión</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Peru / LatAm test</w:t>
            </w:r>
          </w:p>
        </w:tc>
        <w:tc>
          <w:tcPr>
            <w:tcW w:type="dxa" w:w="3421"/>
            <w:tcMar>
              <w:top w:w="70" w:type="dxa"/>
              <w:start w:w="80" w:type="dxa"/>
              <w:bottom w:w="70" w:type="dxa"/>
              <w:end w:w="80" w:type="dxa"/>
            </w:tcMar>
            <w:vAlign w:val="top"/>
          </w:tcPr>
          <w:p>
            <w:pPr>
              <w:spacing w:after="0" w:line="240" w:lineRule="auto"/>
            </w:pPr>
            <w:r>
              <w:rPr>
                <w:rFonts w:ascii="Roboto" w:hAnsi="Roboto"/>
                <w:sz w:val="16"/>
              </w:rPr>
              <w:t>S/39 informe</w:t>
            </w:r>
          </w:p>
        </w:tc>
        <w:tc>
          <w:tcPr>
            <w:tcW w:type="dxa" w:w="3421"/>
            <w:tcMar>
              <w:top w:w="70" w:type="dxa"/>
              <w:start w:w="80" w:type="dxa"/>
              <w:bottom w:w="70" w:type="dxa"/>
              <w:end w:w="80" w:type="dxa"/>
            </w:tcMar>
            <w:vAlign w:val="top"/>
          </w:tcPr>
          <w:p>
            <w:pPr>
              <w:spacing w:after="0" w:line="240" w:lineRule="auto"/>
            </w:pPr>
            <w:r>
              <w:rPr>
                <w:rFonts w:ascii="Roboto" w:hAnsi="Roboto"/>
                <w:sz w:val="16"/>
              </w:rPr>
              <w:t>hipótesis de validación regional; no prioridad de lanzamiento del modelo</w:t>
            </w:r>
          </w:p>
        </w:tc>
      </w:tr>
    </w:tbl>
    <w:p>
      <w:pPr>
        <w:spacing w:after="0"/>
      </w:pPr>
    </w:p>
    <w:p>
      <w:pPr>
        <w:pStyle w:val="Heading2"/>
      </w:pPr>
      <w:r>
        <w:rPr>
          <w:rFonts w:ascii="Roboto" w:hAnsi="Roboto"/>
          <w:sz w:val="23"/>
        </w:rPr>
        <w:t>Upsells</w:t>
      </w:r>
    </w:p>
    <w:p>
      <w:pPr>
        <w:pStyle w:val="ListBullet"/>
      </w:pPr>
      <w:r>
        <w:rPr>
          <w:rFonts w:ascii="Roboto" w:hAnsi="Roboto"/>
          <w:sz w:val="18"/>
        </w:rPr>
        <w:t>Re-test en 90 días por US$9.</w:t>
      </w:r>
    </w:p>
    <w:p>
      <w:pPr>
        <w:pStyle w:val="ListBullet"/>
      </w:pPr>
      <w:r>
        <w:rPr>
          <w:rFonts w:ascii="Roboto" w:hAnsi="Roboto"/>
          <w:sz w:val="18"/>
        </w:rPr>
        <w:t>Bundle pareja/familia (2 informes) por US$29.</w:t>
      </w:r>
    </w:p>
    <w:p>
      <w:pPr>
        <w:pStyle w:val="ListBullet"/>
      </w:pPr>
      <w:r>
        <w:rPr>
          <w:rFonts w:ascii="Roboto" w:hAnsi="Roboto"/>
          <w:sz w:val="18"/>
        </w:rPr>
        <w:t>Suscripción anual de tracking en V2.</w:t>
      </w:r>
    </w:p>
    <w:p>
      <w:pPr>
        <w:pStyle w:val="ListBullet"/>
      </w:pPr>
      <w:r>
        <w:rPr>
          <w:rFonts w:ascii="Roboto" w:hAnsi="Roboto"/>
          <w:sz w:val="18"/>
        </w:rPr>
        <w:t>Referral a laboratorio/clinician opt-in en mercados permitidos, claramente separado del score y con disclosure comercial.</w:t>
      </w:r>
    </w:p>
    <w:p>
      <w:pPr>
        <w:pStyle w:val="Heading2"/>
      </w:pPr>
      <w:r>
        <w:rPr>
          <w:rFonts w:ascii="Roboto" w:hAnsi="Roboto"/>
          <w:sz w:val="23"/>
        </w:rPr>
        <w:t>Canales</w:t>
      </w:r>
    </w:p>
    <w:p>
      <w:pPr>
        <w:pStyle w:val="ListBullet"/>
      </w:pPr>
      <w:r>
        <w:rPr>
          <w:rFonts w:ascii="Roboto" w:hAnsi="Roboto"/>
          <w:sz w:val="18"/>
        </w:rPr>
        <w:t>SEO programático: /biological-age-calculator, /healthspan-age, /life-expectancy-by-age, /how-smoking-changes-healthspan, /country/age-risk.</w:t>
      </w:r>
    </w:p>
    <w:p>
      <w:pPr>
        <w:pStyle w:val="ListBullet"/>
      </w:pPr>
      <w:r>
        <w:rPr>
          <w:rFonts w:ascii="Roboto" w:hAnsi="Roboto"/>
          <w:sz w:val="18"/>
        </w:rPr>
        <w:t>Comunidades: r/Biohackers, r/QuantifiedSelf y foros de fitness/longevity, entrando con metodología abierta y no con claims.</w:t>
      </w:r>
    </w:p>
    <w:p>
      <w:pPr>
        <w:pStyle w:val="ListBullet"/>
      </w:pPr>
      <w:r>
        <w:rPr>
          <w:rFonts w:ascii="Roboto" w:hAnsi="Roboto"/>
          <w:sz w:val="18"/>
        </w:rPr>
        <w:t>Creadores de fitness/longevity: challenge 'What is your MorrowAge?' con disclosure de incertidumbre.</w:t>
      </w:r>
    </w:p>
    <w:p>
      <w:pPr>
        <w:pStyle w:val="ListBullet"/>
      </w:pPr>
      <w:r>
        <w:rPr>
          <w:rFonts w:ascii="Roboto" w:hAnsi="Roboto"/>
          <w:sz w:val="18"/>
        </w:rPr>
        <w:t>Herramientas gratuitas embebibles para blogs/medios y calculators backlinks.</w:t>
      </w:r>
    </w:p>
    <w:p>
      <w:pPr>
        <w:pStyle w:val="ListBullet"/>
      </w:pPr>
      <w:r>
        <w:rPr>
          <w:rFonts w:ascii="Roboto" w:hAnsi="Roboto"/>
          <w:sz w:val="18"/>
        </w:rPr>
        <w:t>Partnerships con wellness coaches/gimnasios como assessment educativo previo.</w:t>
      </w:r>
    </w:p>
    <w:p>
      <w:pPr>
        <w:widowControl/>
      </w:pPr>
      <w:r>
        <w:rPr>
          <w:rFonts w:ascii="Roboto" w:hAnsi="Roboto"/>
          <w:b/>
          <w:sz w:val="18"/>
        </w:rPr>
        <w:t>Gancho viral:</w:t>
      </w:r>
      <w:r>
        <w:rPr>
          <w:rFonts w:ascii="Roboto" w:hAnsi="Roboto"/>
          <w:sz w:val="18"/>
        </w:rPr>
        <w:t xml:space="preserve"> Share card: 'I’m 44. My MorrowAge is 39–42. Biggest lever: activity.' Nunca mostrar diagnósticos ni riesgo absoluto sin opt-in.</w:t>
      </w:r>
    </w:p>
    <w:p>
      <w:pPr>
        <w:pStyle w:val="Heading2"/>
      </w:pPr>
      <w:r>
        <w:rPr>
          <w:rFonts w:ascii="Roboto" w:hAnsi="Roboto"/>
          <w:sz w:val="23"/>
        </w:rPr>
        <w:t>Fases</w:t>
      </w:r>
    </w:p>
    <w:p>
      <w:pPr>
        <w:pStyle w:val="ListBullet"/>
      </w:pPr>
      <w:r>
        <w:rPr>
          <w:rFonts w:ascii="Roboto" w:hAnsi="Roboto"/>
          <w:sz w:val="18"/>
        </w:rPr>
        <w:t>Fase 1 VALIDACIÓN: preview gratis; email para informe completo; enviar al usuario y copia administrativa al dueño; medir funnel y feedback. Sin cobro.</w:t>
      </w:r>
    </w:p>
    <w:p>
      <w:pPr>
        <w:pStyle w:val="ListBullet"/>
      </w:pPr>
      <w:r>
        <w:rPr>
          <w:rFonts w:ascii="Roboto" w:hAnsi="Roboto"/>
          <w:sz w:val="18"/>
        </w:rPr>
        <w:t>Fase 2 COBRO: paywall después de la preview/email; pasarela; A/B test US$15/19/29; mantener preview sin tarjeta.</w:t>
      </w:r>
    </w:p>
    <w:p>
      <w:pPr>
        <w:pStyle w:val="ListBullet"/>
      </w:pPr>
      <w:r>
        <w:rPr>
          <w:rFonts w:ascii="Roboto" w:hAnsi="Roboto"/>
          <w:sz w:val="18"/>
        </w:rPr>
        <w:t>Fase 3 RETENCIÓN: re-tests, tracking y suscripción solo si cohortes muestran retorno voluntario.</w:t>
      </w:r>
    </w:p>
    <w:p>
      <w:pPr>
        <w:pStyle w:val="Heading1"/>
      </w:pPr>
      <w:r>
        <w:rPr>
          <w:rFonts w:ascii="Roboto" w:hAnsi="Roboto"/>
          <w:sz w:val="30"/>
        </w:rPr>
        <w:t>12. Riesgos y mitigación</w:t>
      </w:r>
    </w:p>
    <w:tbl>
      <w:tblPr>
        <w:tblStyle w:val="TableGrid"/>
        <w:tblW w:type="auto" w:w="0"/>
        <w:jc w:val="center"/>
        <w:tblLayout w:type="autofit"/>
        <w:tblLook w:firstColumn="1" w:firstRow="1" w:lastColumn="0" w:lastRow="0" w:noHBand="0" w:noVBand="1" w:val="04A0"/>
      </w:tblPr>
      <w:tblGrid>
        <w:gridCol w:w="3421"/>
        <w:gridCol w:w="3421"/>
        <w:gridCol w:w="3421"/>
      </w:tblGrid>
      <w:tr>
        <w:trPr>
          <w:tblHeader w:val="true"/>
        </w:trPr>
        <w:tc>
          <w:tcPr>
            <w:tcW w:type="dxa" w:w="3421"/>
            <w:shd w:fill="DCEBEC"/>
            <w:tcMar>
              <w:top w:w="70" w:type="dxa"/>
              <w:start w:w="80" w:type="dxa"/>
              <w:bottom w:w="70" w:type="dxa"/>
              <w:end w:w="80" w:type="dxa"/>
            </w:tcMar>
            <w:vAlign w:val="center"/>
          </w:tcPr>
          <w:p>
            <w:pPr>
              <w:spacing w:after="0"/>
            </w:pPr>
            <w:r>
              <w:rPr>
                <w:rFonts w:ascii="Roboto" w:hAnsi="Roboto"/>
                <w:b/>
                <w:color w:val="163B43"/>
                <w:sz w:val="16"/>
              </w:rPr>
              <w:t>Riesgo</w:t>
            </w:r>
          </w:p>
        </w:tc>
        <w:tc>
          <w:tcPr>
            <w:tcW w:type="dxa" w:w="3421"/>
            <w:shd w:fill="DCEBEC"/>
            <w:tcMar>
              <w:top w:w="70" w:type="dxa"/>
              <w:start w:w="80" w:type="dxa"/>
              <w:bottom w:w="70" w:type="dxa"/>
              <w:end w:w="80" w:type="dxa"/>
            </w:tcMar>
            <w:vAlign w:val="center"/>
          </w:tcPr>
          <w:p>
            <w:pPr>
              <w:spacing w:after="0"/>
            </w:pPr>
            <w:r>
              <w:rPr>
                <w:rFonts w:ascii="Roboto" w:hAnsi="Roboto"/>
                <w:b/>
                <w:color w:val="163B43"/>
                <w:sz w:val="16"/>
              </w:rPr>
              <w:t>Severidad</w:t>
            </w:r>
          </w:p>
        </w:tc>
        <w:tc>
          <w:tcPr>
            <w:tcW w:type="dxa" w:w="3421"/>
            <w:shd w:fill="DCEBEC"/>
            <w:tcMar>
              <w:top w:w="70" w:type="dxa"/>
              <w:start w:w="80" w:type="dxa"/>
              <w:bottom w:w="70" w:type="dxa"/>
              <w:end w:w="80" w:type="dxa"/>
            </w:tcMar>
            <w:vAlign w:val="center"/>
          </w:tcPr>
          <w:p>
            <w:pPr>
              <w:spacing w:after="0"/>
            </w:pPr>
            <w:r>
              <w:rPr>
                <w:rFonts w:ascii="Roboto" w:hAnsi="Roboto"/>
                <w:b/>
                <w:color w:val="163B43"/>
                <w:sz w:val="16"/>
              </w:rPr>
              <w:t>Mitigación</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Regulatorio/claims médicos</w:t>
            </w:r>
          </w:p>
        </w:tc>
        <w:tc>
          <w:tcPr>
            <w:tcW w:type="dxa" w:w="3421"/>
            <w:tcMar>
              <w:top w:w="70" w:type="dxa"/>
              <w:start w:w="80" w:type="dxa"/>
              <w:bottom w:w="70" w:type="dxa"/>
              <w:end w:w="80" w:type="dxa"/>
            </w:tcMar>
            <w:vAlign w:val="top"/>
          </w:tcPr>
          <w:p>
            <w:pPr>
              <w:spacing w:after="0" w:line="240" w:lineRule="auto"/>
            </w:pPr>
            <w:r>
              <w:rPr>
                <w:rFonts w:ascii="Roboto" w:hAnsi="Roboto"/>
                <w:sz w:val="16"/>
              </w:rPr>
              <w:t>Alta</w:t>
            </w:r>
          </w:p>
        </w:tc>
        <w:tc>
          <w:tcPr>
            <w:tcW w:type="dxa" w:w="3421"/>
            <w:tcMar>
              <w:top w:w="70" w:type="dxa"/>
              <w:start w:w="80" w:type="dxa"/>
              <w:bottom w:w="70" w:type="dxa"/>
              <w:end w:w="80" w:type="dxa"/>
            </w:tcMar>
            <w:vAlign w:val="top"/>
          </w:tcPr>
          <w:p>
            <w:pPr>
              <w:spacing w:after="0" w:line="240" w:lineRule="auto"/>
            </w:pPr>
            <w:r>
              <w:rPr>
                <w:rFonts w:ascii="Roboto" w:hAnsi="Roboto"/>
                <w:sz w:val="16"/>
              </w:rPr>
              <w:t>Posicionar como general wellness educativo; no diagnosticar/prevenir/tratar; revisión legal; disclaimers no sustituyen control de claims; seguir FDA 2026 y equivalentes locales.</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Privacidad de datos de salud</w:t>
            </w:r>
          </w:p>
        </w:tc>
        <w:tc>
          <w:tcPr>
            <w:tcW w:type="dxa" w:w="3421"/>
            <w:tcMar>
              <w:top w:w="70" w:type="dxa"/>
              <w:start w:w="80" w:type="dxa"/>
              <w:bottom w:w="70" w:type="dxa"/>
              <w:end w:w="80" w:type="dxa"/>
            </w:tcMar>
            <w:vAlign w:val="top"/>
          </w:tcPr>
          <w:p>
            <w:pPr>
              <w:spacing w:after="0" w:line="240" w:lineRule="auto"/>
            </w:pPr>
            <w:r>
              <w:rPr>
                <w:rFonts w:ascii="Roboto" w:hAnsi="Roboto"/>
                <w:sz w:val="16"/>
              </w:rPr>
              <w:t>Alta</w:t>
            </w:r>
          </w:p>
        </w:tc>
        <w:tc>
          <w:tcPr>
            <w:tcW w:type="dxa" w:w="3421"/>
            <w:tcMar>
              <w:top w:w="70" w:type="dxa"/>
              <w:start w:w="80" w:type="dxa"/>
              <w:bottom w:w="70" w:type="dxa"/>
              <w:end w:w="80" w:type="dxa"/>
            </w:tcMar>
            <w:vAlign w:val="top"/>
          </w:tcPr>
          <w:p>
            <w:pPr>
              <w:spacing w:after="0" w:line="240" w:lineRule="auto"/>
            </w:pPr>
            <w:r>
              <w:rPr>
                <w:rFonts w:ascii="Roboto" w:hAnsi="Roboto"/>
                <w:sz w:val="16"/>
              </w:rPr>
              <w:t>Minimización; cifrado; separación email/inputs; retención corta; consentimiento explícito; DSR/borrado; evaluar FTC HBNR, GDPR/UK GDPR, LGPD y leyes estatales.</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Precisión individual / falsa certeza</w:t>
            </w:r>
          </w:p>
        </w:tc>
        <w:tc>
          <w:tcPr>
            <w:tcW w:type="dxa" w:w="3421"/>
            <w:tcMar>
              <w:top w:w="70" w:type="dxa"/>
              <w:start w:w="80" w:type="dxa"/>
              <w:bottom w:w="70" w:type="dxa"/>
              <w:end w:w="80" w:type="dxa"/>
            </w:tcMar>
            <w:vAlign w:val="top"/>
          </w:tcPr>
          <w:p>
            <w:pPr>
              <w:spacing w:after="0" w:line="240" w:lineRule="auto"/>
            </w:pPr>
            <w:r>
              <w:rPr>
                <w:rFonts w:ascii="Roboto" w:hAnsi="Roboto"/>
                <w:sz w:val="16"/>
              </w:rPr>
              <w:t>Alta</w:t>
            </w:r>
          </w:p>
        </w:tc>
        <w:tc>
          <w:tcPr>
            <w:tcW w:type="dxa" w:w="3421"/>
            <w:tcMar>
              <w:top w:w="70" w:type="dxa"/>
              <w:start w:w="80" w:type="dxa"/>
              <w:bottom w:w="70" w:type="dxa"/>
              <w:end w:w="80" w:type="dxa"/>
            </w:tcMar>
            <w:vAlign w:val="top"/>
          </w:tcPr>
          <w:p>
            <w:pPr>
              <w:spacing w:after="0" w:line="240" w:lineRule="auto"/>
            </w:pPr>
            <w:r>
              <w:rPr>
                <w:rFonts w:ascii="Roboto" w:hAnsi="Roboto"/>
                <w:sz w:val="16"/>
              </w:rPr>
              <w:t>Rango de confianza, calibración, validación externa, no usar lenguaje 'true age'; mostrar que es edad equivalente poblacional.</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Bias / transporte internacional</w:t>
            </w:r>
          </w:p>
        </w:tc>
        <w:tc>
          <w:tcPr>
            <w:tcW w:type="dxa" w:w="3421"/>
            <w:tcMar>
              <w:top w:w="70" w:type="dxa"/>
              <w:start w:w="80" w:type="dxa"/>
              <w:bottom w:w="70" w:type="dxa"/>
              <w:end w:w="80" w:type="dxa"/>
            </w:tcMar>
            <w:vAlign w:val="top"/>
          </w:tcPr>
          <w:p>
            <w:pPr>
              <w:spacing w:after="0" w:line="240" w:lineRule="auto"/>
            </w:pPr>
            <w:r>
              <w:rPr>
                <w:rFonts w:ascii="Roboto" w:hAnsi="Roboto"/>
                <w:sz w:val="16"/>
              </w:rPr>
              <w:t>Alta</w:t>
            </w:r>
          </w:p>
        </w:tc>
        <w:tc>
          <w:tcPr>
            <w:tcW w:type="dxa" w:w="3421"/>
            <w:tcMar>
              <w:top w:w="70" w:type="dxa"/>
              <w:start w:w="80" w:type="dxa"/>
              <w:bottom w:w="70" w:type="dxa"/>
              <w:end w:w="80" w:type="dxa"/>
            </w:tcMar>
            <w:vAlign w:val="top"/>
          </w:tcPr>
          <w:p>
            <w:pPr>
              <w:spacing w:after="0" w:line="240" w:lineRule="auto"/>
            </w:pPr>
            <w:r>
              <w:rPr>
                <w:rFonts w:ascii="Roboto" w:hAnsi="Roboto"/>
                <w:sz w:val="16"/>
              </w:rPr>
              <w:t>MVP US; auditoría por subgrupos; recalibrar por país; bloquear claims personalizados donde no haya validación suficiente.</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Dependencia de datos públicos y linkage</w:t>
            </w:r>
          </w:p>
        </w:tc>
        <w:tc>
          <w:tcPr>
            <w:tcW w:type="dxa" w:w="3421"/>
            <w:tcMar>
              <w:top w:w="70" w:type="dxa"/>
              <w:start w:w="80" w:type="dxa"/>
              <w:bottom w:w="70" w:type="dxa"/>
              <w:end w:w="80" w:type="dxa"/>
            </w:tcMar>
            <w:vAlign w:val="top"/>
          </w:tcPr>
          <w:p>
            <w:pPr>
              <w:spacing w:after="0" w:line="240" w:lineRule="auto"/>
            </w:pPr>
            <w:r>
              <w:rPr>
                <w:rFonts w:ascii="Roboto" w:hAnsi="Roboto"/>
                <w:sz w:val="16"/>
              </w:rPr>
              <w:t>Media</w:t>
            </w:r>
          </w:p>
        </w:tc>
        <w:tc>
          <w:tcPr>
            <w:tcW w:type="dxa" w:w="3421"/>
            <w:tcMar>
              <w:top w:w="70" w:type="dxa"/>
              <w:start w:w="80" w:type="dxa"/>
              <w:bottom w:w="70" w:type="dxa"/>
              <w:end w:w="80" w:type="dxa"/>
            </w:tcMar>
            <w:vAlign w:val="top"/>
          </w:tcPr>
          <w:p>
            <w:pPr>
              <w:spacing w:after="0" w:line="240" w:lineRule="auto"/>
            </w:pPr>
            <w:r>
              <w:rPr>
                <w:rFonts w:ascii="Roboto" w:hAnsi="Roboto"/>
                <w:sz w:val="16"/>
              </w:rPr>
              <w:t>Versionar datasets; documentar licencias; tener benchmark NHIS/HRS; plan de actualización anual.</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Commoditización por calculadoras gratis</w:t>
            </w:r>
          </w:p>
        </w:tc>
        <w:tc>
          <w:tcPr>
            <w:tcW w:type="dxa" w:w="3421"/>
            <w:tcMar>
              <w:top w:w="70" w:type="dxa"/>
              <w:start w:w="80" w:type="dxa"/>
              <w:bottom w:w="70" w:type="dxa"/>
              <w:end w:w="80" w:type="dxa"/>
            </w:tcMar>
            <w:vAlign w:val="top"/>
          </w:tcPr>
          <w:p>
            <w:pPr>
              <w:spacing w:after="0" w:line="240" w:lineRule="auto"/>
            </w:pPr>
            <w:r>
              <w:rPr>
                <w:rFonts w:ascii="Roboto" w:hAnsi="Roboto"/>
                <w:sz w:val="16"/>
              </w:rPr>
              <w:t>Media</w:t>
            </w:r>
          </w:p>
        </w:tc>
        <w:tc>
          <w:tcPr>
            <w:tcW w:type="dxa" w:w="3421"/>
            <w:tcMar>
              <w:top w:w="70" w:type="dxa"/>
              <w:start w:w="80" w:type="dxa"/>
              <w:bottom w:w="70" w:type="dxa"/>
              <w:end w:w="80" w:type="dxa"/>
            </w:tcMar>
            <w:vAlign w:val="top"/>
          </w:tcPr>
          <w:p>
            <w:pPr>
              <w:spacing w:after="0" w:line="240" w:lineRule="auto"/>
            </w:pPr>
            <w:r>
              <w:rPr>
                <w:rFonts w:ascii="Roboto" w:hAnsi="Roboto"/>
                <w:sz w:val="16"/>
              </w:rPr>
              <w:t>Moat = validación predictiva + calibración + transparencia + longitudinalidad + distribución SEO; publicar methodology card.</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Competencia de wearables/labs</w:t>
            </w:r>
          </w:p>
        </w:tc>
        <w:tc>
          <w:tcPr>
            <w:tcW w:type="dxa" w:w="3421"/>
            <w:tcMar>
              <w:top w:w="70" w:type="dxa"/>
              <w:start w:w="80" w:type="dxa"/>
              <w:bottom w:w="70" w:type="dxa"/>
              <w:end w:w="80" w:type="dxa"/>
            </w:tcMar>
            <w:vAlign w:val="top"/>
          </w:tcPr>
          <w:p>
            <w:pPr>
              <w:spacing w:after="0" w:line="240" w:lineRule="auto"/>
            </w:pPr>
            <w:r>
              <w:rPr>
                <w:rFonts w:ascii="Roboto" w:hAnsi="Roboto"/>
                <w:sz w:val="16"/>
              </w:rPr>
              <w:t>Media</w:t>
            </w:r>
          </w:p>
        </w:tc>
        <w:tc>
          <w:tcPr>
            <w:tcW w:type="dxa" w:w="3421"/>
            <w:tcMar>
              <w:top w:w="70" w:type="dxa"/>
              <w:start w:w="80" w:type="dxa"/>
              <w:bottom w:w="70" w:type="dxa"/>
              <w:end w:w="80" w:type="dxa"/>
            </w:tcMar>
            <w:vAlign w:val="top"/>
          </w:tcPr>
          <w:p>
            <w:pPr>
              <w:spacing w:after="0" w:line="240" w:lineRule="auto"/>
            </w:pPr>
            <w:r>
              <w:rPr>
                <w:rFonts w:ascii="Roboto" w:hAnsi="Roboto"/>
                <w:sz w:val="16"/>
              </w:rPr>
              <w:t>Ser capa de entrada de 90 s y US$19; luego integrarse opcionalmente en vez de competir por hardware/labs.</w:t>
            </w:r>
          </w:p>
        </w:tc>
      </w:tr>
      <w:tr>
        <w:trPr>
          <w:cantSplit/>
        </w:trPr>
        <w:tc>
          <w:tcPr>
            <w:tcW w:type="dxa" w:w="3421"/>
            <w:tcMar>
              <w:top w:w="70" w:type="dxa"/>
              <w:start w:w="80" w:type="dxa"/>
              <w:bottom w:w="70" w:type="dxa"/>
              <w:end w:w="80" w:type="dxa"/>
            </w:tcMar>
            <w:vAlign w:val="top"/>
          </w:tcPr>
          <w:p>
            <w:pPr>
              <w:spacing w:after="0" w:line="240" w:lineRule="auto"/>
            </w:pPr>
            <w:r>
              <w:rPr>
                <w:rFonts w:ascii="Roboto" w:hAnsi="Roboto"/>
                <w:sz w:val="16"/>
              </w:rPr>
              <w:t>Ansiedad o interpretación dañina</w:t>
            </w:r>
          </w:p>
        </w:tc>
        <w:tc>
          <w:tcPr>
            <w:tcW w:type="dxa" w:w="3421"/>
            <w:tcMar>
              <w:top w:w="70" w:type="dxa"/>
              <w:start w:w="80" w:type="dxa"/>
              <w:bottom w:w="70" w:type="dxa"/>
              <w:end w:w="80" w:type="dxa"/>
            </w:tcMar>
            <w:vAlign w:val="top"/>
          </w:tcPr>
          <w:p>
            <w:pPr>
              <w:spacing w:after="0" w:line="240" w:lineRule="auto"/>
            </w:pPr>
            <w:r>
              <w:rPr>
                <w:rFonts w:ascii="Roboto" w:hAnsi="Roboto"/>
                <w:sz w:val="16"/>
              </w:rPr>
              <w:t>Media-Alta</w:t>
            </w:r>
          </w:p>
        </w:tc>
        <w:tc>
          <w:tcPr>
            <w:tcW w:type="dxa" w:w="3421"/>
            <w:tcMar>
              <w:top w:w="70" w:type="dxa"/>
              <w:start w:w="80" w:type="dxa"/>
              <w:bottom w:w="70" w:type="dxa"/>
              <w:end w:w="80" w:type="dxa"/>
            </w:tcMar>
            <w:vAlign w:val="top"/>
          </w:tcPr>
          <w:p>
            <w:pPr>
              <w:spacing w:after="0" w:line="240" w:lineRule="auto"/>
            </w:pPr>
            <w:r>
              <w:rPr>
                <w:rFonts w:ascii="Roboto" w:hAnsi="Roboto"/>
                <w:sz w:val="16"/>
              </w:rPr>
              <w:t>Diseño no alarmista; evitar countdown de muerte; resultados con lenguaje poblacional; enlaces a atención profesional cuando corresponda.</w:t>
            </w:r>
          </w:p>
        </w:tc>
      </w:tr>
    </w:tbl>
    <w:p>
      <w:pPr>
        <w:spacing w:after="0"/>
      </w:pPr>
    </w:p>
    <w:p>
      <w:pPr>
        <w:widowControl/>
      </w:pPr>
      <w:r>
        <w:rPr>
          <w:rFonts w:ascii="Roboto" w:hAnsi="Roboto"/>
          <w:b/>
          <w:sz w:val="18"/>
        </w:rPr>
        <w:t>Principio de claims:</w:t>
      </w:r>
      <w:r>
        <w:rPr>
          <w:rFonts w:ascii="Roboto" w:hAnsi="Roboto"/>
          <w:sz w:val="18"/>
        </w:rPr>
        <w:t xml:space="preserve"> la FDA actualizó en enero de 2026 su guía de general wellness. El diseño debe mantenerse explícitamente en bienestar general y evitar claims de diagnóstico, cura, mitigación, prevención o tratamiento (S12). En EE.UU., una app de salud puede quedar sujeta a FTC Health Breach Notification Rule aun si no está bajo HIPAA (S13). En UK, los datos de salud son categoría especial (S14).</w:t>
      </w:r>
    </w:p>
    <w:p>
      <w:pPr>
        <w:pStyle w:val="Heading1"/>
      </w:pPr>
      <w:r>
        <w:rPr>
          <w:rFonts w:ascii="Roboto" w:hAnsi="Roboto"/>
          <w:sz w:val="30"/>
        </w:rPr>
        <w:t>13. Scorecard y veredicto</w:t>
      </w:r>
    </w:p>
    <w:tbl>
      <w:tblPr>
        <w:tblStyle w:val="TableGrid"/>
        <w:tblW w:type="auto" w:w="0"/>
        <w:jc w:val="center"/>
        <w:tblLayout w:type="autofit"/>
        <w:tblLook w:firstColumn="1" w:firstRow="1" w:lastColumn="0" w:lastRow="0" w:noHBand="0" w:noVBand="1" w:val="04A0"/>
      </w:tblPr>
      <w:tblGrid>
        <w:gridCol w:w="2565"/>
        <w:gridCol w:w="2565"/>
        <w:gridCol w:w="2565"/>
        <w:gridCol w:w="2565"/>
      </w:tblGrid>
      <w:tr>
        <w:trPr>
          <w:tblHeader w:val="true"/>
        </w:trPr>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Dimensión</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Puntos</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Máximo</w:t>
            </w:r>
          </w:p>
        </w:tc>
        <w:tc>
          <w:tcPr>
            <w:tcW w:type="dxa" w:w="2565"/>
            <w:shd w:fill="DCEBEC"/>
            <w:tcMar>
              <w:top w:w="70" w:type="dxa"/>
              <w:start w:w="80" w:type="dxa"/>
              <w:bottom w:w="70" w:type="dxa"/>
              <w:end w:w="80" w:type="dxa"/>
            </w:tcMar>
            <w:vAlign w:val="center"/>
          </w:tcPr>
          <w:p>
            <w:pPr>
              <w:spacing w:after="0"/>
            </w:pPr>
            <w:r>
              <w:rPr>
                <w:rFonts w:ascii="Roboto" w:hAnsi="Roboto"/>
                <w:b/>
                <w:color w:val="163B43"/>
                <w:sz w:val="16"/>
              </w:rPr>
              <w:t>Razonamiento</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Market</w:t>
            </w:r>
          </w:p>
        </w:tc>
        <w:tc>
          <w:tcPr>
            <w:tcW w:type="dxa" w:w="2565"/>
            <w:tcMar>
              <w:top w:w="70" w:type="dxa"/>
              <w:start w:w="80" w:type="dxa"/>
              <w:bottom w:w="70" w:type="dxa"/>
              <w:end w:w="80" w:type="dxa"/>
            </w:tcMar>
            <w:vAlign w:val="top"/>
          </w:tcPr>
          <w:p>
            <w:pPr>
              <w:spacing w:after="0" w:line="240" w:lineRule="auto"/>
            </w:pPr>
            <w:r>
              <w:rPr>
                <w:rFonts w:ascii="Roboto" w:hAnsi="Roboto"/>
                <w:sz w:val="16"/>
              </w:rPr>
              <w:t>23</w:t>
            </w:r>
          </w:p>
        </w:tc>
        <w:tc>
          <w:tcPr>
            <w:tcW w:type="dxa" w:w="2565"/>
            <w:tcMar>
              <w:top w:w="70" w:type="dxa"/>
              <w:start w:w="80" w:type="dxa"/>
              <w:bottom w:w="70" w:type="dxa"/>
              <w:end w:w="80" w:type="dxa"/>
            </w:tcMar>
            <w:vAlign w:val="top"/>
          </w:tcPr>
          <w:p>
            <w:pPr>
              <w:spacing w:after="0" w:line="240" w:lineRule="auto"/>
            </w:pPr>
            <w:r>
              <w:rPr>
                <w:rFonts w:ascii="Roboto" w:hAnsi="Roboto"/>
                <w:sz w:val="16"/>
              </w:rPr>
              <w:t>25</w:t>
            </w:r>
          </w:p>
        </w:tc>
        <w:tc>
          <w:tcPr>
            <w:tcW w:type="dxa" w:w="2565"/>
            <w:tcMar>
              <w:top w:w="70" w:type="dxa"/>
              <w:start w:w="80" w:type="dxa"/>
              <w:bottom w:w="70" w:type="dxa"/>
              <w:end w:w="80" w:type="dxa"/>
            </w:tcMar>
            <w:vAlign w:val="top"/>
          </w:tcPr>
          <w:p>
            <w:pPr>
              <w:spacing w:after="0" w:line="240" w:lineRule="auto"/>
            </w:pPr>
            <w:r>
              <w:rPr>
                <w:rFonts w:ascii="Roboto" w:hAnsi="Roboto"/>
                <w:sz w:val="16"/>
              </w:rPr>
              <w:t>Categoría en crecimiento, gasto probado y mercado global grande; naming/SEO competidos.</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Pain</w:t>
            </w:r>
          </w:p>
        </w:tc>
        <w:tc>
          <w:tcPr>
            <w:tcW w:type="dxa" w:w="2565"/>
            <w:tcMar>
              <w:top w:w="70" w:type="dxa"/>
              <w:start w:w="80" w:type="dxa"/>
              <w:bottom w:w="70" w:type="dxa"/>
              <w:end w:w="80" w:type="dxa"/>
            </w:tcMar>
            <w:vAlign w:val="top"/>
          </w:tcPr>
          <w:p>
            <w:pPr>
              <w:spacing w:after="0" w:line="240" w:lineRule="auto"/>
            </w:pPr>
            <w:r>
              <w:rPr>
                <w:rFonts w:ascii="Roboto" w:hAnsi="Roboto"/>
                <w:sz w:val="16"/>
              </w:rPr>
              <w:t>17</w:t>
            </w:r>
          </w:p>
        </w:tc>
        <w:tc>
          <w:tcPr>
            <w:tcW w:type="dxa" w:w="2565"/>
            <w:tcMar>
              <w:top w:w="70" w:type="dxa"/>
              <w:start w:w="80" w:type="dxa"/>
              <w:bottom w:w="70" w:type="dxa"/>
              <w:end w:w="80" w:type="dxa"/>
            </w:tcMar>
            <w:vAlign w:val="top"/>
          </w:tcPr>
          <w:p>
            <w:pPr>
              <w:spacing w:after="0" w:line="240" w:lineRule="auto"/>
            </w:pPr>
            <w:r>
              <w:rPr>
                <w:rFonts w:ascii="Roboto" w:hAnsi="Roboto"/>
                <w:sz w:val="16"/>
              </w:rPr>
              <w:t>20</w:t>
            </w:r>
          </w:p>
        </w:tc>
        <w:tc>
          <w:tcPr>
            <w:tcW w:type="dxa" w:w="2565"/>
            <w:tcMar>
              <w:top w:w="70" w:type="dxa"/>
              <w:start w:w="80" w:type="dxa"/>
              <w:bottom w:w="70" w:type="dxa"/>
              <w:end w:w="80" w:type="dxa"/>
            </w:tcMar>
            <w:vAlign w:val="top"/>
          </w:tcPr>
          <w:p>
            <w:pPr>
              <w:spacing w:after="0" w:line="240" w:lineRule="auto"/>
            </w:pPr>
            <w:r>
              <w:rPr>
                <w:rFonts w:ascii="Roboto" w:hAnsi="Roboto"/>
                <w:sz w:val="16"/>
              </w:rPr>
              <w:t>Envejecimiento y riesgo crónico son masivos, pero el dolor inmediato es intermitente hasta que aparece un trigger.</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Willingness To Pay</w:t>
            </w:r>
          </w:p>
        </w:tc>
        <w:tc>
          <w:tcPr>
            <w:tcW w:type="dxa" w:w="2565"/>
            <w:tcMar>
              <w:top w:w="70" w:type="dxa"/>
              <w:start w:w="80" w:type="dxa"/>
              <w:bottom w:w="70" w:type="dxa"/>
              <w:end w:w="80" w:type="dxa"/>
            </w:tcMar>
            <w:vAlign w:val="top"/>
          </w:tcPr>
          <w:p>
            <w:pPr>
              <w:spacing w:after="0" w:line="240" w:lineRule="auto"/>
            </w:pPr>
            <w:r>
              <w:rPr>
                <w:rFonts w:ascii="Roboto" w:hAnsi="Roboto"/>
                <w:sz w:val="16"/>
              </w:rPr>
              <w:t>17</w:t>
            </w:r>
          </w:p>
        </w:tc>
        <w:tc>
          <w:tcPr>
            <w:tcW w:type="dxa" w:w="2565"/>
            <w:tcMar>
              <w:top w:w="70" w:type="dxa"/>
              <w:start w:w="80" w:type="dxa"/>
              <w:bottom w:w="70" w:type="dxa"/>
              <w:end w:w="80" w:type="dxa"/>
            </w:tcMar>
            <w:vAlign w:val="top"/>
          </w:tcPr>
          <w:p>
            <w:pPr>
              <w:spacing w:after="0" w:line="240" w:lineRule="auto"/>
            </w:pPr>
            <w:r>
              <w:rPr>
                <w:rFonts w:ascii="Roboto" w:hAnsi="Roboto"/>
                <w:sz w:val="16"/>
              </w:rPr>
              <w:t>20</w:t>
            </w:r>
          </w:p>
        </w:tc>
        <w:tc>
          <w:tcPr>
            <w:tcW w:type="dxa" w:w="2565"/>
            <w:tcMar>
              <w:top w:w="70" w:type="dxa"/>
              <w:start w:w="80" w:type="dxa"/>
              <w:bottom w:w="70" w:type="dxa"/>
              <w:end w:w="80" w:type="dxa"/>
            </w:tcMar>
            <w:vAlign w:val="top"/>
          </w:tcPr>
          <w:p>
            <w:pPr>
              <w:spacing w:after="0" w:line="240" w:lineRule="auto"/>
            </w:pPr>
            <w:r>
              <w:rPr>
                <w:rFonts w:ascii="Roboto" w:hAnsi="Roboto"/>
                <w:sz w:val="16"/>
              </w:rPr>
              <w:t>Alternativas cuestan US$99–499+, pero debe demostrarse pago por un resultado sin laboratorio.</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Data Model Feasibility</w:t>
            </w:r>
          </w:p>
        </w:tc>
        <w:tc>
          <w:tcPr>
            <w:tcW w:type="dxa" w:w="2565"/>
            <w:tcMar>
              <w:top w:w="70" w:type="dxa"/>
              <w:start w:w="80" w:type="dxa"/>
              <w:bottom w:w="70" w:type="dxa"/>
              <w:end w:w="80" w:type="dxa"/>
            </w:tcMar>
            <w:vAlign w:val="top"/>
          </w:tcPr>
          <w:p>
            <w:pPr>
              <w:spacing w:after="0" w:line="240" w:lineRule="auto"/>
            </w:pPr>
            <w:r>
              <w:rPr>
                <w:rFonts w:ascii="Roboto" w:hAnsi="Roboto"/>
                <w:sz w:val="16"/>
              </w:rPr>
              <w:t>12</w:t>
            </w:r>
          </w:p>
        </w:tc>
        <w:tc>
          <w:tcPr>
            <w:tcW w:type="dxa" w:w="2565"/>
            <w:tcMar>
              <w:top w:w="70" w:type="dxa"/>
              <w:start w:w="80" w:type="dxa"/>
              <w:bottom w:w="70" w:type="dxa"/>
              <w:end w:w="80" w:type="dxa"/>
            </w:tcMar>
            <w:vAlign w:val="top"/>
          </w:tcPr>
          <w:p>
            <w:pPr>
              <w:spacing w:after="0" w:line="240" w:lineRule="auto"/>
            </w:pPr>
            <w:r>
              <w:rPr>
                <w:rFonts w:ascii="Roboto" w:hAnsi="Roboto"/>
                <w:sz w:val="16"/>
              </w:rPr>
              <w:t>15</w:t>
            </w:r>
          </w:p>
        </w:tc>
        <w:tc>
          <w:tcPr>
            <w:tcW w:type="dxa" w:w="2565"/>
            <w:tcMar>
              <w:top w:w="70" w:type="dxa"/>
              <w:start w:w="80" w:type="dxa"/>
              <w:bottom w:w="70" w:type="dxa"/>
              <w:end w:w="80" w:type="dxa"/>
            </w:tcMar>
            <w:vAlign w:val="top"/>
          </w:tcPr>
          <w:p>
            <w:pPr>
              <w:spacing w:after="0" w:line="240" w:lineRule="auto"/>
            </w:pPr>
            <w:r>
              <w:rPr>
                <w:rFonts w:ascii="Roboto" w:hAnsi="Roboto"/>
                <w:sz w:val="16"/>
              </w:rPr>
              <w:t>Datos públicos y modelos de supervivencia existen; el reto es transporte internacional y calibración individual.</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Virality</w:t>
            </w:r>
          </w:p>
        </w:tc>
        <w:tc>
          <w:tcPr>
            <w:tcW w:type="dxa" w:w="2565"/>
            <w:tcMar>
              <w:top w:w="70" w:type="dxa"/>
              <w:start w:w="80" w:type="dxa"/>
              <w:bottom w:w="70" w:type="dxa"/>
              <w:end w:w="80" w:type="dxa"/>
            </w:tcMar>
            <w:vAlign w:val="top"/>
          </w:tcPr>
          <w:p>
            <w:pPr>
              <w:spacing w:after="0" w:line="240" w:lineRule="auto"/>
            </w:pPr>
            <w:r>
              <w:rPr>
                <w:rFonts w:ascii="Roboto" w:hAnsi="Roboto"/>
                <w:sz w:val="16"/>
              </w:rPr>
              <w:t>8</w:t>
            </w:r>
          </w:p>
        </w:tc>
        <w:tc>
          <w:tcPr>
            <w:tcW w:type="dxa" w:w="2565"/>
            <w:tcMar>
              <w:top w:w="70" w:type="dxa"/>
              <w:start w:w="80" w:type="dxa"/>
              <w:bottom w:w="70" w:type="dxa"/>
              <w:end w:w="80" w:type="dxa"/>
            </w:tcMar>
            <w:vAlign w:val="top"/>
          </w:tcPr>
          <w:p>
            <w:pPr>
              <w:spacing w:after="0" w:line="240" w:lineRule="auto"/>
            </w:pPr>
            <w:r>
              <w:rPr>
                <w:rFonts w:ascii="Roboto" w:hAnsi="Roboto"/>
                <w:sz w:val="16"/>
              </w:rPr>
              <w:t>10</w:t>
            </w:r>
          </w:p>
        </w:tc>
        <w:tc>
          <w:tcPr>
            <w:tcW w:type="dxa" w:w="2565"/>
            <w:tcMar>
              <w:top w:w="70" w:type="dxa"/>
              <w:start w:w="80" w:type="dxa"/>
              <w:bottom w:w="70" w:type="dxa"/>
              <w:end w:w="80" w:type="dxa"/>
            </w:tcMar>
            <w:vAlign w:val="top"/>
          </w:tcPr>
          <w:p>
            <w:pPr>
              <w:spacing w:after="0" w:line="240" w:lineRule="auto"/>
            </w:pPr>
            <w:r>
              <w:rPr>
                <w:rFonts w:ascii="Roboto" w:hAnsi="Roboto"/>
                <w:sz w:val="16"/>
              </w:rPr>
              <w:t>Una 'edad' comparativa es altamente compartible; privacidad/sensibilidad limita mecánicas agresivas.</w:t>
            </w:r>
          </w:p>
        </w:tc>
      </w:tr>
      <w:tr>
        <w:trPr>
          <w:cantSplit/>
        </w:trPr>
        <w:tc>
          <w:tcPr>
            <w:tcW w:type="dxa" w:w="2565"/>
            <w:tcMar>
              <w:top w:w="70" w:type="dxa"/>
              <w:start w:w="80" w:type="dxa"/>
              <w:bottom w:w="70" w:type="dxa"/>
              <w:end w:w="80" w:type="dxa"/>
            </w:tcMar>
            <w:vAlign w:val="top"/>
          </w:tcPr>
          <w:p>
            <w:pPr>
              <w:spacing w:after="0" w:line="240" w:lineRule="auto"/>
            </w:pPr>
            <w:r>
              <w:rPr>
                <w:rFonts w:ascii="Roboto" w:hAnsi="Roboto"/>
                <w:sz w:val="16"/>
              </w:rPr>
              <w:t>Mvp Speed</w:t>
            </w:r>
          </w:p>
        </w:tc>
        <w:tc>
          <w:tcPr>
            <w:tcW w:type="dxa" w:w="2565"/>
            <w:tcMar>
              <w:top w:w="70" w:type="dxa"/>
              <w:start w:w="80" w:type="dxa"/>
              <w:bottom w:w="70" w:type="dxa"/>
              <w:end w:w="80" w:type="dxa"/>
            </w:tcMar>
            <w:vAlign w:val="top"/>
          </w:tcPr>
          <w:p>
            <w:pPr>
              <w:spacing w:after="0" w:line="240" w:lineRule="auto"/>
            </w:pPr>
            <w:r>
              <w:rPr>
                <w:rFonts w:ascii="Roboto" w:hAnsi="Roboto"/>
                <w:sz w:val="16"/>
              </w:rPr>
              <w:t>9</w:t>
            </w:r>
          </w:p>
        </w:tc>
        <w:tc>
          <w:tcPr>
            <w:tcW w:type="dxa" w:w="2565"/>
            <w:tcMar>
              <w:top w:w="70" w:type="dxa"/>
              <w:start w:w="80" w:type="dxa"/>
              <w:bottom w:w="70" w:type="dxa"/>
              <w:end w:w="80" w:type="dxa"/>
            </w:tcMar>
            <w:vAlign w:val="top"/>
          </w:tcPr>
          <w:p>
            <w:pPr>
              <w:spacing w:after="0" w:line="240" w:lineRule="auto"/>
            </w:pPr>
            <w:r>
              <w:rPr>
                <w:rFonts w:ascii="Roboto" w:hAnsi="Roboto"/>
                <w:sz w:val="16"/>
              </w:rPr>
              <w:t>10</w:t>
            </w:r>
          </w:p>
        </w:tc>
        <w:tc>
          <w:tcPr>
            <w:tcW w:type="dxa" w:w="2565"/>
            <w:tcMar>
              <w:top w:w="70" w:type="dxa"/>
              <w:start w:w="80" w:type="dxa"/>
              <w:bottom w:w="70" w:type="dxa"/>
              <w:end w:w="80" w:type="dxa"/>
            </w:tcMar>
            <w:vAlign w:val="top"/>
          </w:tcPr>
          <w:p>
            <w:pPr>
              <w:spacing w:after="0" w:line="240" w:lineRule="auto"/>
            </w:pPr>
            <w:r>
              <w:rPr>
                <w:rFonts w:ascii="Roboto" w:hAnsi="Roboto"/>
                <w:sz w:val="16"/>
              </w:rPr>
              <w:t>Inputs simples, modelo tabular y reporte web; revisión regulatoria/model QA es el cuello de botella.</w:t>
            </w:r>
          </w:p>
        </w:tc>
      </w:tr>
    </w:tbl>
    <w:p>
      <w:pPr>
        <w:spacing w:after="0"/>
      </w:pPr>
    </w:p>
    <w:p>
      <w:pPr>
        <w:widowControl/>
      </w:pPr>
      <w:r>
        <w:rPr>
          <w:rFonts w:ascii="Roboto" w:hAnsi="Roboto"/>
          <w:b/>
          <w:sz w:val="18"/>
        </w:rPr>
        <w:t>TOTAL: 86/100 — PIVOT.</w:t>
      </w:r>
      <w:r>
        <w:rPr>
          <w:rFonts w:ascii="Roboto" w:hAnsi="Roboto"/>
          <w:sz w:val="18"/>
        </w:rPr>
        <w:t xml:space="preserve"> De 'edad biológica' genérica a 'Healthspan Age' equivalente por riesgo poblacional, con mortalidad a 10 años como variable primaria y sin laboratorio.</w:t>
      </w:r>
    </w:p>
    <w:p>
      <w:pPr>
        <w:widowControl/>
      </w:pPr>
      <w:r>
        <w:rPr>
          <w:rFonts w:ascii="Roboto" w:hAnsi="Roboto"/>
          <w:b/>
          <w:sz w:val="18"/>
        </w:rPr>
        <w:t>Criterio GO para pasar de validación a cobro:</w:t>
      </w:r>
      <w:r>
        <w:rPr>
          <w:rFonts w:ascii="Roboto" w:hAnsi="Roboto"/>
          <w:sz w:val="18"/>
        </w:rPr>
        <w:t xml:space="preserve"> (1) C-index/AUC objetivo y calibración dentro de umbrales; (2) al menos 200 usuarios de validación con ≥28% preview→email; (3) ninguna señal de daño/interpretación clínica recurrente en investigación; (4) revisión legal de claims y privacidad; (5) test de precio con ≥8% solicitud→pago.</w:t>
      </w:r>
    </w:p>
    <w:p>
      <w:pPr>
        <w:pStyle w:val="Heading1"/>
      </w:pPr>
      <w:r>
        <w:rPr>
          <w:rFonts w:ascii="Roboto" w:hAnsi="Roboto"/>
          <w:sz w:val="30"/>
        </w:rPr>
        <w:t>Decisiones, supuestos y issues abiertos</w:t>
      </w:r>
    </w:p>
    <w:p>
      <w:pPr>
        <w:pStyle w:val="Heading2"/>
      </w:pPr>
      <w:r>
        <w:rPr>
          <w:rFonts w:ascii="Roboto" w:hAnsi="Roboto"/>
          <w:sz w:val="23"/>
        </w:rPr>
        <w:t>Decisiones</w:t>
      </w:r>
    </w:p>
    <w:p>
      <w:pPr>
        <w:pStyle w:val="ListBullet"/>
      </w:pPr>
      <w:r>
        <w:rPr>
          <w:rFonts w:ascii="Roboto" w:hAnsi="Roboto"/>
          <w:sz w:val="18"/>
        </w:rPr>
        <w:t>Renombrar la idea de trabajo BioAge a MorrowAge para evitar colisión de posicionamiento con BioAge Labs, múltiples apps BioAge y marcas existentes.</w:t>
      </w:r>
    </w:p>
    <w:p>
      <w:pPr>
        <w:pStyle w:val="ListBullet"/>
      </w:pPr>
      <w:r>
        <w:rPr>
          <w:rFonts w:ascii="Roboto" w:hAnsi="Roboto"/>
          <w:sz w:val="18"/>
        </w:rPr>
        <w:t>Elegir un modelo de supervivencia calibrado a mortalidad real, no un quiz heurístico ni un LLM.</w:t>
      </w:r>
    </w:p>
    <w:p>
      <w:pPr>
        <w:pStyle w:val="ListBullet"/>
      </w:pPr>
      <w:r>
        <w:rPr>
          <w:rFonts w:ascii="Roboto" w:hAnsi="Roboto"/>
          <w:sz w:val="18"/>
        </w:rPr>
        <w:t>Convertir probabilidad de mortalidad a una edad equivalente poblacional para mantener el gancho de 'edad' sin afirmar medición epigenética.</w:t>
      </w:r>
    </w:p>
    <w:p>
      <w:pPr>
        <w:pStyle w:val="ListBullet"/>
      </w:pPr>
      <w:r>
        <w:rPr>
          <w:rFonts w:ascii="Roboto" w:hAnsi="Roboto"/>
          <w:sz w:val="18"/>
        </w:rPr>
        <w:t>Mantener inputs bajo 90 segundos y sin laboratorio, wearable obligatorio ni instrumento.</w:t>
      </w:r>
    </w:p>
    <w:p>
      <w:pPr>
        <w:pStyle w:val="ListBullet"/>
      </w:pPr>
      <w:r>
        <w:rPr>
          <w:rFonts w:ascii="Roboto" w:hAnsi="Roboto"/>
          <w:sz w:val="18"/>
        </w:rPr>
        <w:t>Mostrar intervalo/rango de confianza y explicación de contribuyentes como rasgo central de confianza.</w:t>
      </w:r>
    </w:p>
    <w:p>
      <w:pPr>
        <w:pStyle w:val="ListBullet"/>
      </w:pPr>
      <w:r>
        <w:rPr>
          <w:rFonts w:ascii="Roboto" w:hAnsi="Roboto"/>
          <w:sz w:val="18"/>
        </w:rPr>
        <w:t>Usar email gate para informe completo en Fase 1 y pago por informe en Fase 2.</w:t>
      </w:r>
    </w:p>
    <w:p>
      <w:pPr>
        <w:pStyle w:val="ListBullet"/>
      </w:pPr>
      <w:r>
        <w:rPr>
          <w:rFonts w:ascii="Roboto" w:hAnsi="Roboto"/>
          <w:sz w:val="18"/>
        </w:rPr>
        <w:t>Evitar claims de diagnóstico, prevención o tratamiento para permanecer en territorio de general wellness de bajo riesgo, sujeto a revisión legal.</w:t>
      </w:r>
    </w:p>
    <w:p>
      <w:pPr>
        <w:pStyle w:val="Heading2"/>
      </w:pPr>
      <w:r>
        <w:rPr>
          <w:rFonts w:ascii="Roboto" w:hAnsi="Roboto"/>
          <w:sz w:val="23"/>
        </w:rPr>
        <w:t>Supuestos</w:t>
      </w:r>
    </w:p>
    <w:p>
      <w:pPr>
        <w:pStyle w:val="ListBullet"/>
      </w:pPr>
      <w:r>
        <w:rPr>
          <w:rFonts w:ascii="Roboto" w:hAnsi="Roboto"/>
          <w:sz w:val="18"/>
        </w:rPr>
        <w:t>La URL de Notion suministrada no pudo recuperarse con acceso web público; se infirió por el título 'BioAge' que la idea es un predictor B2C de edad biológica.</w:t>
      </w:r>
    </w:p>
    <w:p>
      <w:pPr>
        <w:pStyle w:val="ListBullet"/>
      </w:pPr>
      <w:r>
        <w:rPr>
          <w:rFonts w:ascii="Roboto" w:hAnsi="Roboto"/>
          <w:sz w:val="18"/>
        </w:rPr>
        <w:t>Se aplica un PIVOT de posicionamiento: no se afirmará medir edad celular/epigenética sin laboratorio; el producto mostrará una 'Healthspan Age' definida operacionalmente como edad equivalente por riesgo poblacional.</w:t>
      </w:r>
    </w:p>
    <w:p>
      <w:pPr>
        <w:pStyle w:val="ListBullet"/>
      </w:pPr>
      <w:r>
        <w:rPr>
          <w:rFonts w:ascii="Roboto" w:hAnsi="Roboto"/>
          <w:sz w:val="18"/>
        </w:rPr>
        <w:t>El MVP se entrena y valida inicialmente con datos de EE.UU. (NHANES/NHIS + mortalidad) y se comercializa primero en EE.UU.; otros países requieren recalibración antes de presentar cifras personalizadas como equivalentes.</w:t>
      </w:r>
    </w:p>
    <w:p>
      <w:pPr>
        <w:pStyle w:val="ListBullet"/>
      </w:pPr>
      <w:r>
        <w:rPr>
          <w:rFonts w:ascii="Roboto" w:hAnsi="Roboto"/>
          <w:sz w:val="18"/>
        </w:rPr>
        <w:t>La marca propuesta 'MorrowAge' y los dominios morrowage.com / morrowage.app son preliminares; no se realizó una búsqueda legal de marcas ni una comprobación registral de dominios.</w:t>
      </w:r>
    </w:p>
    <w:p>
      <w:pPr>
        <w:pStyle w:val="ListBullet"/>
      </w:pPr>
      <w:r>
        <w:rPr>
          <w:rFonts w:ascii="Roboto" w:hAnsi="Roboto"/>
          <w:sz w:val="18"/>
        </w:rPr>
        <w:t>Precios, CAC y conversiones son hipótesis de validación, no hechos de mercado.</w:t>
      </w:r>
    </w:p>
    <w:p>
      <w:pPr>
        <w:pStyle w:val="ListBullet"/>
      </w:pPr>
      <w:r>
        <w:rPr>
          <w:rFonts w:ascii="Roboto" w:hAnsi="Roboto"/>
          <w:sz w:val="18"/>
        </w:rPr>
        <w:t>El producto se limita a adultos 35–69 años en MVP para reducir extrapolación; embarazo, enfermedad terminal y menores quedan fuera.</w:t>
      </w:r>
    </w:p>
    <w:p>
      <w:pPr>
        <w:pStyle w:val="ListBullet"/>
      </w:pPr>
      <w:r>
        <w:rPr>
          <w:rFonts w:ascii="Roboto" w:hAnsi="Roboto"/>
          <w:sz w:val="18"/>
        </w:rPr>
        <w:t>El resultado es educativo de bienestar general: no diagnostica, no recomienda fármacos ni sustituye evaluación médica.</w:t>
      </w:r>
    </w:p>
    <w:p>
      <w:pPr>
        <w:pStyle w:val="Heading2"/>
      </w:pPr>
      <w:r>
        <w:rPr>
          <w:rFonts w:ascii="Roboto" w:hAnsi="Roboto"/>
          <w:sz w:val="23"/>
        </w:rPr>
        <w:t>Open issues</w:t>
      </w:r>
    </w:p>
    <w:p>
      <w:pPr>
        <w:pStyle w:val="ListBullet"/>
      </w:pPr>
      <w:r>
        <w:rPr>
          <w:rFonts w:ascii="Roboto" w:hAnsi="Roboto"/>
          <w:sz w:val="18"/>
        </w:rPr>
        <w:t>Verificar el contenido exacto de la página de Notion original y reconciliar cualquier requisito que no haya sido visible.</w:t>
      </w:r>
    </w:p>
    <w:p>
      <w:pPr>
        <w:pStyle w:val="ListBullet"/>
      </w:pPr>
      <w:r>
        <w:rPr>
          <w:rFonts w:ascii="Roboto" w:hAnsi="Roboto"/>
          <w:sz w:val="18"/>
        </w:rPr>
        <w:t>Agente 2 debe confirmar acceso/licencia/granularidad de NHANES/NHIS linked mortality y seleccionar cohortes/variables compatibles.</w:t>
      </w:r>
    </w:p>
    <w:p>
      <w:pPr>
        <w:pStyle w:val="ListBullet"/>
      </w:pPr>
      <w:r>
        <w:rPr>
          <w:rFonts w:ascii="Roboto" w:hAnsi="Roboto"/>
          <w:sz w:val="18"/>
        </w:rPr>
        <w:t>Validar discriminación, calibración y estabilidad por sexo, edad y grupos demográficos; no lanzar si hay brechas materiales no mitigadas.</w:t>
      </w:r>
    </w:p>
    <w:p>
      <w:pPr>
        <w:pStyle w:val="ListBullet"/>
      </w:pPr>
      <w:r>
        <w:rPr>
          <w:rFonts w:ascii="Roboto" w:hAnsi="Roboto"/>
          <w:sz w:val="18"/>
        </w:rPr>
        <w:t>Definir estrategia de calibración internacional (UK/Canada/Australia/Brazil) antes de mostrar un Healthspan Age comparable fuera de EE.UU.</w:t>
      </w:r>
    </w:p>
    <w:p>
      <w:pPr>
        <w:pStyle w:val="ListBullet"/>
      </w:pPr>
      <w:r>
        <w:rPr>
          <w:rFonts w:ascii="Roboto" w:hAnsi="Roboto"/>
          <w:sz w:val="18"/>
        </w:rPr>
        <w:t>Realizar revisión regulatoria/claims formal para EE.UU., UK/EU, Brasil y Canadá antes de cobro.</w:t>
      </w:r>
    </w:p>
    <w:p>
      <w:pPr>
        <w:pStyle w:val="ListBullet"/>
      </w:pPr>
      <w:r>
        <w:rPr>
          <w:rFonts w:ascii="Roboto" w:hAnsi="Roboto"/>
          <w:sz w:val="18"/>
        </w:rPr>
        <w:t>Realizar búsqueda profesional de marca y disponibilidad de dominios para MorrowAge.</w:t>
      </w:r>
    </w:p>
    <w:p>
      <w:pPr>
        <w:pStyle w:val="ListBullet"/>
      </w:pPr>
      <w:r>
        <w:rPr>
          <w:rFonts w:ascii="Roboto" w:hAnsi="Roboto"/>
          <w:sz w:val="18"/>
        </w:rPr>
        <w:t>Validar volúmenes SEO con una cuenta directa de Google Keyword Planner/SEMrush/Ahrefs; cifras actuales de demanda son estimaciones de terceros.</w:t>
      </w:r>
    </w:p>
    <w:p>
      <w:pPr>
        <w:pStyle w:val="Heading1"/>
        <w:pageBreakBefore/>
      </w:pPr>
      <w:r>
        <w:rPr>
          <w:rFonts w:ascii="Roboto" w:hAnsi="Roboto"/>
          <w:sz w:val="30"/>
        </w:rPr>
        <w:t>Fuentes</w:t>
      </w:r>
    </w:p>
    <w:p>
      <w:pPr>
        <w:widowControl/>
      </w:pPr>
      <w:r>
        <w:rPr>
          <w:rFonts w:ascii="Roboto" w:hAnsi="Roboto"/>
          <w:sz w:val="18"/>
        </w:rPr>
        <w:t xml:space="preserve">La tabla completa y estructurada está en </w:t>
      </w:r>
      <w:r>
        <w:rPr>
          <w:rFonts w:ascii="Roboto Mono" w:hAnsi="Roboto Mono"/>
          <w:sz w:val="18"/>
        </w:rPr>
        <w:t>fuentes_mercado.csv</w:t>
      </w:r>
      <w:r>
        <w:rPr>
          <w:rFonts w:ascii="Roboto" w:hAnsi="Roboto"/>
          <w:sz w:val="18"/>
        </w:rPr>
        <w:t>. URLs principales:</w:t>
      </w:r>
    </w:p>
    <w:p>
      <w:pPr>
        <w:pStyle w:val="ListBullet"/>
      </w:pPr>
      <w:r>
        <w:rPr>
          <w:rFonts w:ascii="Roboto" w:hAnsi="Roboto"/>
          <w:sz w:val="16"/>
        </w:rPr>
        <w:t xml:space="preserve">S01 — OMS / fuente primaria: · </w:t>
      </w:r>
      <w:hyperlink r:id="rId11">
        <w:r>
          <w:rPr>
            <w:rFonts w:ascii="Roboto" w:hAnsi="Roboto"/>
            <w:color w:val="146C73"/>
            <w:u w:val="single"/>
            <w:sz w:val="16"/>
          </w:rPr>
          <w:t>Abrir fuente</w:t>
        </w:r>
      </w:hyperlink>
    </w:p>
    <w:p>
      <w:pPr>
        <w:pStyle w:val="ListBullet"/>
      </w:pPr>
      <w:r>
        <w:rPr>
          <w:rFonts w:ascii="Roboto" w:hAnsi="Roboto"/>
          <w:sz w:val="16"/>
        </w:rPr>
        <w:t xml:space="preserve">S02 — OMS / fuente primaria: · </w:t>
      </w:r>
      <w:hyperlink r:id="rId12">
        <w:r>
          <w:rPr>
            <w:rFonts w:ascii="Roboto" w:hAnsi="Roboto"/>
            <w:color w:val="146C73"/>
            <w:u w:val="single"/>
            <w:sz w:val="16"/>
          </w:rPr>
          <w:t>Abrir fuente</w:t>
        </w:r>
      </w:hyperlink>
    </w:p>
    <w:p>
      <w:pPr>
        <w:pStyle w:val="ListBullet"/>
      </w:pPr>
      <w:r>
        <w:rPr>
          <w:rFonts w:ascii="Roboto" w:hAnsi="Roboto"/>
          <w:sz w:val="16"/>
        </w:rPr>
        <w:t xml:space="preserve">S03 — OMS / fuente primaria: · </w:t>
      </w:r>
      <w:hyperlink r:id="rId13">
        <w:r>
          <w:rPr>
            <w:rFonts w:ascii="Roboto" w:hAnsi="Roboto"/>
            <w:color w:val="146C73"/>
            <w:u w:val="single"/>
            <w:sz w:val="16"/>
          </w:rPr>
          <w:t>Abrir fuente</w:t>
        </w:r>
      </w:hyperlink>
    </w:p>
    <w:p>
      <w:pPr>
        <w:pStyle w:val="ListBullet"/>
      </w:pPr>
      <w:r>
        <w:rPr>
          <w:rFonts w:ascii="Roboto" w:hAnsi="Roboto"/>
          <w:sz w:val="16"/>
        </w:rPr>
        <w:t xml:space="preserve">S04 — OMS / fuente primaria: · </w:t>
      </w:r>
      <w:hyperlink r:id="rId14">
        <w:r>
          <w:rPr>
            <w:rFonts w:ascii="Roboto" w:hAnsi="Roboto"/>
            <w:color w:val="146C73"/>
            <w:u w:val="single"/>
            <w:sz w:val="16"/>
          </w:rPr>
          <w:t>Abrir fuente</w:t>
        </w:r>
      </w:hyperlink>
    </w:p>
    <w:p>
      <w:pPr>
        <w:pStyle w:val="ListBullet"/>
      </w:pPr>
      <w:r>
        <w:rPr>
          <w:rFonts w:ascii="Roboto" w:hAnsi="Roboto"/>
          <w:sz w:val="16"/>
        </w:rPr>
        <w:t xml:space="preserve">S05 — OMS / fuente primaria: · </w:t>
      </w:r>
      <w:hyperlink r:id="rId15">
        <w:r>
          <w:rPr>
            <w:rFonts w:ascii="Roboto" w:hAnsi="Roboto"/>
            <w:color w:val="146C73"/>
            <w:u w:val="single"/>
            <w:sz w:val="16"/>
          </w:rPr>
          <w:t>Abrir fuente</w:t>
        </w:r>
      </w:hyperlink>
    </w:p>
    <w:p>
      <w:pPr>
        <w:pStyle w:val="ListBullet"/>
      </w:pPr>
      <w:r>
        <w:rPr>
          <w:rFonts w:ascii="Roboto" w:hAnsi="Roboto"/>
          <w:sz w:val="16"/>
        </w:rPr>
        <w:t xml:space="preserve">S06 — ONU DESA / fuente primaria: · </w:t>
      </w:r>
      <w:hyperlink r:id="rId16">
        <w:r>
          <w:rPr>
            <w:rFonts w:ascii="Roboto" w:hAnsi="Roboto"/>
            <w:color w:val="146C73"/>
            <w:u w:val="single"/>
            <w:sz w:val="16"/>
          </w:rPr>
          <w:t>Abrir fuente</w:t>
        </w:r>
      </w:hyperlink>
    </w:p>
    <w:p>
      <w:pPr>
        <w:pStyle w:val="ListBullet"/>
      </w:pPr>
      <w:r>
        <w:rPr>
          <w:rFonts w:ascii="Roboto" w:hAnsi="Roboto"/>
          <w:sz w:val="16"/>
        </w:rPr>
        <w:t xml:space="preserve">S07 — ONU DESA / fuente primaria: · </w:t>
      </w:r>
      <w:hyperlink r:id="rId17">
        <w:r>
          <w:rPr>
            <w:rFonts w:ascii="Roboto" w:hAnsi="Roboto"/>
            <w:color w:val="146C73"/>
            <w:u w:val="single"/>
            <w:sz w:val="16"/>
          </w:rPr>
          <w:t>Abrir fuente</w:t>
        </w:r>
      </w:hyperlink>
    </w:p>
    <w:p>
      <w:pPr>
        <w:pStyle w:val="ListBullet"/>
      </w:pPr>
      <w:r>
        <w:rPr>
          <w:rFonts w:ascii="Roboto" w:hAnsi="Roboto"/>
          <w:sz w:val="16"/>
        </w:rPr>
        <w:t xml:space="preserve">S08 — CDC/NCHS / fuente primaria: · </w:t>
      </w:r>
      <w:hyperlink r:id="rId18">
        <w:r>
          <w:rPr>
            <w:rFonts w:ascii="Roboto" w:hAnsi="Roboto"/>
            <w:color w:val="146C73"/>
            <w:u w:val="single"/>
            <w:sz w:val="16"/>
          </w:rPr>
          <w:t>Abrir fuente</w:t>
        </w:r>
      </w:hyperlink>
    </w:p>
    <w:p>
      <w:pPr>
        <w:pStyle w:val="ListBullet"/>
      </w:pPr>
      <w:r>
        <w:rPr>
          <w:rFonts w:ascii="Roboto" w:hAnsi="Roboto"/>
          <w:sz w:val="16"/>
        </w:rPr>
        <w:t xml:space="preserve">S09 — JAMA / PubMed / revisado por pares: · </w:t>
      </w:r>
      <w:hyperlink r:id="rId19">
        <w:r>
          <w:rPr>
            <w:rFonts w:ascii="Roboto" w:hAnsi="Roboto"/>
            <w:color w:val="146C73"/>
            <w:u w:val="single"/>
            <w:sz w:val="16"/>
          </w:rPr>
          <w:t>Abrir fuente</w:t>
        </w:r>
      </w:hyperlink>
    </w:p>
    <w:p>
      <w:pPr>
        <w:pStyle w:val="ListBullet"/>
      </w:pPr>
      <w:r>
        <w:rPr>
          <w:rFonts w:ascii="Roboto" w:hAnsi="Roboto"/>
          <w:sz w:val="16"/>
        </w:rPr>
        <w:t xml:space="preserve">S10 — JAGS / PubMed / revisado por pares: · </w:t>
      </w:r>
      <w:hyperlink r:id="rId20">
        <w:r>
          <w:rPr>
            <w:rFonts w:ascii="Roboto" w:hAnsi="Roboto"/>
            <w:color w:val="146C73"/>
            <w:u w:val="single"/>
            <w:sz w:val="16"/>
          </w:rPr>
          <w:t>Abrir fuente</w:t>
        </w:r>
      </w:hyperlink>
    </w:p>
    <w:p>
      <w:pPr>
        <w:pStyle w:val="ListBullet"/>
      </w:pPr>
      <w:r>
        <w:rPr>
          <w:rFonts w:ascii="Roboto" w:hAnsi="Roboto"/>
          <w:sz w:val="16"/>
        </w:rPr>
        <w:t xml:space="preserve">S11 — Paper revisado por pares / PMC: · </w:t>
      </w:r>
      <w:hyperlink r:id="rId21">
        <w:r>
          <w:rPr>
            <w:rFonts w:ascii="Roboto" w:hAnsi="Roboto"/>
            <w:color w:val="146C73"/>
            <w:u w:val="single"/>
            <w:sz w:val="16"/>
          </w:rPr>
          <w:t>Abrir fuente</w:t>
        </w:r>
      </w:hyperlink>
    </w:p>
    <w:p>
      <w:pPr>
        <w:pStyle w:val="ListBullet"/>
      </w:pPr>
      <w:r>
        <w:rPr>
          <w:rFonts w:ascii="Roboto" w:hAnsi="Roboto"/>
          <w:sz w:val="16"/>
        </w:rPr>
        <w:t xml:space="preserve">S12 — FDA / regulador: · </w:t>
      </w:r>
      <w:hyperlink r:id="rId22">
        <w:r>
          <w:rPr>
            <w:rFonts w:ascii="Roboto" w:hAnsi="Roboto"/>
            <w:color w:val="146C73"/>
            <w:u w:val="single"/>
            <w:sz w:val="16"/>
          </w:rPr>
          <w:t>Abrir fuente</w:t>
        </w:r>
      </w:hyperlink>
    </w:p>
    <w:p>
      <w:pPr>
        <w:pStyle w:val="ListBullet"/>
      </w:pPr>
      <w:r>
        <w:rPr>
          <w:rFonts w:ascii="Roboto" w:hAnsi="Roboto"/>
          <w:sz w:val="16"/>
        </w:rPr>
        <w:t xml:space="preserve">S13 — FTC / regulador: · </w:t>
      </w:r>
      <w:hyperlink r:id="rId23">
        <w:r>
          <w:rPr>
            <w:rFonts w:ascii="Roboto" w:hAnsi="Roboto"/>
            <w:color w:val="146C73"/>
            <w:u w:val="single"/>
            <w:sz w:val="16"/>
          </w:rPr>
          <w:t>Abrir fuente</w:t>
        </w:r>
      </w:hyperlink>
    </w:p>
    <w:p>
      <w:pPr>
        <w:pStyle w:val="ListBullet"/>
      </w:pPr>
      <w:r>
        <w:rPr>
          <w:rFonts w:ascii="Roboto" w:hAnsi="Roboto"/>
          <w:sz w:val="16"/>
        </w:rPr>
        <w:t xml:space="preserve">S14 — ICO / regulador: · </w:t>
      </w:r>
      <w:hyperlink r:id="rId24">
        <w:r>
          <w:rPr>
            <w:rFonts w:ascii="Roboto" w:hAnsi="Roboto"/>
            <w:color w:val="146C73"/>
            <w:u w:val="single"/>
            <w:sz w:val="16"/>
          </w:rPr>
          <w:t>Abrir fuente</w:t>
        </w:r>
      </w:hyperlink>
    </w:p>
    <w:p>
      <w:pPr>
        <w:pStyle w:val="ListBullet"/>
      </w:pPr>
      <w:r>
        <w:rPr>
          <w:rFonts w:ascii="Roboto" w:hAnsi="Roboto"/>
          <w:sz w:val="16"/>
        </w:rPr>
        <w:t xml:space="preserve">S15 — Precio oficial competidor: · </w:t>
      </w:r>
      <w:hyperlink r:id="rId25">
        <w:r>
          <w:rPr>
            <w:rFonts w:ascii="Roboto" w:hAnsi="Roboto"/>
            <w:color w:val="146C73"/>
            <w:u w:val="single"/>
            <w:sz w:val="16"/>
          </w:rPr>
          <w:t>Abrir fuente</w:t>
        </w:r>
      </w:hyperlink>
    </w:p>
    <w:p>
      <w:pPr>
        <w:pStyle w:val="ListBullet"/>
      </w:pPr>
      <w:r>
        <w:rPr>
          <w:rFonts w:ascii="Roboto" w:hAnsi="Roboto"/>
          <w:sz w:val="16"/>
        </w:rPr>
        <w:t xml:space="preserve">S16 — Precio oficial competidor: · </w:t>
      </w:r>
      <w:hyperlink r:id="rId26">
        <w:r>
          <w:rPr>
            <w:rFonts w:ascii="Roboto" w:hAnsi="Roboto"/>
            <w:color w:val="146C73"/>
            <w:u w:val="single"/>
            <w:sz w:val="16"/>
          </w:rPr>
          <w:t>Abrir fuente</w:t>
        </w:r>
      </w:hyperlink>
    </w:p>
    <w:p>
      <w:pPr>
        <w:pStyle w:val="ListBullet"/>
      </w:pPr>
      <w:r>
        <w:rPr>
          <w:rFonts w:ascii="Roboto" w:hAnsi="Roboto"/>
          <w:sz w:val="16"/>
        </w:rPr>
        <w:t xml:space="preserve">S17 — Precio oficial competidor: · </w:t>
      </w:r>
      <w:hyperlink r:id="rId27">
        <w:r>
          <w:rPr>
            <w:rFonts w:ascii="Roboto" w:hAnsi="Roboto"/>
            <w:color w:val="146C73"/>
            <w:u w:val="single"/>
            <w:sz w:val="16"/>
          </w:rPr>
          <w:t>Abrir fuente</w:t>
        </w:r>
      </w:hyperlink>
    </w:p>
    <w:p>
      <w:pPr>
        <w:pStyle w:val="ListBullet"/>
      </w:pPr>
      <w:r>
        <w:rPr>
          <w:rFonts w:ascii="Roboto" w:hAnsi="Roboto"/>
          <w:sz w:val="16"/>
        </w:rPr>
        <w:t xml:space="preserve">S18 — Precio oficial competidor: · </w:t>
      </w:r>
      <w:hyperlink r:id="rId28">
        <w:r>
          <w:rPr>
            <w:rFonts w:ascii="Roboto" w:hAnsi="Roboto"/>
            <w:color w:val="146C73"/>
            <w:u w:val="single"/>
            <w:sz w:val="16"/>
          </w:rPr>
          <w:t>Abrir fuente</w:t>
        </w:r>
      </w:hyperlink>
    </w:p>
    <w:p>
      <w:pPr>
        <w:pStyle w:val="ListBullet"/>
      </w:pPr>
      <w:r>
        <w:rPr>
          <w:rFonts w:ascii="Roboto" w:hAnsi="Roboto"/>
          <w:sz w:val="16"/>
        </w:rPr>
        <w:t xml:space="preserve">S19 — Precio oficial competidor: · </w:t>
      </w:r>
      <w:hyperlink r:id="rId29">
        <w:r>
          <w:rPr>
            <w:rFonts w:ascii="Roboto" w:hAnsi="Roboto"/>
            <w:color w:val="146C73"/>
            <w:u w:val="single"/>
            <w:sz w:val="16"/>
          </w:rPr>
          <w:t>Abrir fuente</w:t>
        </w:r>
      </w:hyperlink>
    </w:p>
    <w:p>
      <w:pPr>
        <w:pStyle w:val="ListBullet"/>
      </w:pPr>
      <w:r>
        <w:rPr>
          <w:rFonts w:ascii="Roboto" w:hAnsi="Roboto"/>
          <w:sz w:val="16"/>
        </w:rPr>
        <w:t xml:space="preserve">S20 — Tercero / SEO estimado: · </w:t>
      </w:r>
      <w:hyperlink r:id="rId30">
        <w:r>
          <w:rPr>
            <w:rFonts w:ascii="Roboto" w:hAnsi="Roboto"/>
            <w:color w:val="146C73"/>
            <w:u w:val="single"/>
            <w:sz w:val="16"/>
          </w:rPr>
          <w:t>Abrir fuente</w:t>
        </w:r>
      </w:hyperlink>
    </w:p>
    <w:p>
      <w:pPr>
        <w:pStyle w:val="ListBullet"/>
      </w:pPr>
      <w:r>
        <w:rPr>
          <w:rFonts w:ascii="Roboto" w:hAnsi="Roboto"/>
          <w:sz w:val="16"/>
        </w:rPr>
        <w:t xml:space="preserve">S21 — Tercero / Google Keyword Planner declarado: · </w:t>
      </w:r>
      <w:hyperlink r:id="rId31">
        <w:r>
          <w:rPr>
            <w:rFonts w:ascii="Roboto" w:hAnsi="Roboto"/>
            <w:color w:val="146C73"/>
            <w:u w:val="single"/>
            <w:sz w:val="16"/>
          </w:rPr>
          <w:t>Abrir fuente</w:t>
        </w:r>
      </w:hyperlink>
    </w:p>
    <w:p>
      <w:pPr>
        <w:pStyle w:val="ListBullet"/>
      </w:pPr>
      <w:r>
        <w:rPr>
          <w:rFonts w:ascii="Roboto" w:hAnsi="Roboto"/>
          <w:sz w:val="16"/>
        </w:rPr>
        <w:t xml:space="preserve">S22 — Tercero / análisis Google Trends: · </w:t>
      </w:r>
      <w:hyperlink r:id="rId30">
        <w:r>
          <w:rPr>
            <w:rFonts w:ascii="Roboto" w:hAnsi="Roboto"/>
            <w:color w:val="146C73"/>
            <w:u w:val="single"/>
            <w:sz w:val="16"/>
          </w:rPr>
          <w:t>Abrir fuente</w:t>
        </w:r>
      </w:hyperlink>
    </w:p>
    <w:p>
      <w:pPr>
        <w:pStyle w:val="ListBullet"/>
      </w:pPr>
      <w:r>
        <w:rPr>
          <w:rFonts w:ascii="Roboto" w:hAnsi="Roboto"/>
          <w:sz w:val="16"/>
        </w:rPr>
        <w:t xml:space="preserve">S23 — Competidor / sitio oficial: · </w:t>
      </w:r>
      <w:hyperlink r:id="rId32">
        <w:r>
          <w:rPr>
            <w:rFonts w:ascii="Roboto" w:hAnsi="Roboto"/>
            <w:color w:val="146C73"/>
            <w:u w:val="single"/>
            <w:sz w:val="16"/>
          </w:rPr>
          <w:t>Abrir fuente</w:t>
        </w:r>
      </w:hyperlink>
    </w:p>
    <w:p>
      <w:pPr>
        <w:pStyle w:val="ListBullet"/>
      </w:pPr>
      <w:r>
        <w:rPr>
          <w:rFonts w:ascii="Roboto" w:hAnsi="Roboto"/>
          <w:sz w:val="16"/>
        </w:rPr>
        <w:t xml:space="preserve">S24 — Comunidad / cualitativa: · </w:t>
      </w:r>
      <w:hyperlink r:id="rId33">
        <w:r>
          <w:rPr>
            <w:rFonts w:ascii="Roboto" w:hAnsi="Roboto"/>
            <w:color w:val="146C73"/>
            <w:u w:val="single"/>
            <w:sz w:val="16"/>
          </w:rPr>
          <w:t>Abrir fuente</w:t>
        </w:r>
      </w:hyperlink>
    </w:p>
    <w:p>
      <w:pPr>
        <w:pStyle w:val="ListBullet"/>
      </w:pPr>
      <w:r>
        <w:rPr>
          <w:rFonts w:ascii="Roboto" w:hAnsi="Roboto"/>
          <w:sz w:val="16"/>
        </w:rPr>
        <w:t xml:space="preserve">S25 — Comunidad / cualitativa: · </w:t>
      </w:r>
      <w:hyperlink r:id="rId34">
        <w:r>
          <w:rPr>
            <w:rFonts w:ascii="Roboto" w:hAnsi="Roboto"/>
            <w:color w:val="146C73"/>
            <w:u w:val="single"/>
            <w:sz w:val="16"/>
          </w:rPr>
          <w:t>Abrir fuente</w:t>
        </w:r>
      </w:hyperlink>
    </w:p>
    <w:sectPr w:rsidR="00FC693F" w:rsidRPr="0006063C" w:rsidSect="00034616">
      <w:headerReference w:type="default" r:id="rId9"/>
      <w:footerReference w:type="default" r:id="rId10"/>
      <w:pgSz w:w="11906" w:h="16838"/>
      <w:pgMar w:top="765" w:right="822" w:bottom="765" w:left="822"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Roboto" w:hAnsi="Roboto"/>
        <w:color w:val="6E6E6E"/>
        <w:sz w:val="16"/>
      </w:rPr>
      <w:t xml:space="preserve">MorrowAge · Etapa 1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Roboto" w:hAnsi="Roboto"/>
        <w:b/>
        <w:color w:val="146C73"/>
        <w:sz w:val="15"/>
      </w:rPr>
      <w:t>MORROWAGE  /  PRODUCT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Roboto" w:hAnsi="Robot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Roboto" w:hAnsi="Roboto"/>
      <w:b/>
      <w:bCs/>
      <w:color w:val="163B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Roboto" w:hAnsi="Roboto"/>
      <w:b/>
      <w:bCs/>
      <w:color w:val="146C7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Roboto" w:hAnsi="Roboto"/>
      <w:b/>
      <w:color w:val="163B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283" w:hanging="125"/>
      <w:contextualSpacing/>
    </w:pPr>
    <w:rPr>
      <w:rFonts w:ascii="Roboto" w:hAnsi="Roboto"/>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283" w:hanging="125"/>
      <w:contextualSpacing/>
    </w:pPr>
    <w:rPr>
      <w:rFonts w:ascii="Roboto" w:hAnsi="Roboto"/>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news-room/fact-sheets/detail/noncommunicable-diseases" TargetMode="External"/><Relationship Id="rId12" Type="http://schemas.openxmlformats.org/officeDocument/2006/relationships/hyperlink" Target="https://www.who.int/news/item/26-06-2024-nearly-1.8-billion-adults-at-risk-of-disease-from-not-doing-enough-physical-activity" TargetMode="External"/><Relationship Id="rId13" Type="http://schemas.openxmlformats.org/officeDocument/2006/relationships/hyperlink" Target="https://www.who.int/news-room/fact-sheets/detail/obesity-and-overweight" TargetMode="External"/><Relationship Id="rId14" Type="http://schemas.openxmlformats.org/officeDocument/2006/relationships/hyperlink" Target="https://www.who.int/news-room/fact-sheets/detail/hypertension" TargetMode="External"/><Relationship Id="rId15" Type="http://schemas.openxmlformats.org/officeDocument/2006/relationships/hyperlink" Target="https://www.who.int/news/item/24-05-2024-Covid-19-eliminated-a-decade-of-progress-in-global-level-of-life-expectancy" TargetMode="External"/><Relationship Id="rId16" Type="http://schemas.openxmlformats.org/officeDocument/2006/relationships/hyperlink" Target="https://www.un.org/development/desa/pd/sites/www.un.org.development.desa.pd/files/undesa_pd_2024_icpd30.pdf" TargetMode="External"/><Relationship Id="rId17" Type="http://schemas.openxmlformats.org/officeDocument/2006/relationships/hyperlink" Target="https://desapublications.un.org/publications/world-population-prospects-2024-summary-results" TargetMode="External"/><Relationship Id="rId18" Type="http://schemas.openxmlformats.org/officeDocument/2006/relationships/hyperlink" Target="https://cdc.gov/nchs/linked-data/mortality-files/index.html" TargetMode="External"/><Relationship Id="rId19" Type="http://schemas.openxmlformats.org/officeDocument/2006/relationships/hyperlink" Target="https://pubmed.ncbi.nlm.nih.gov/16478903/" TargetMode="External"/><Relationship Id="rId20" Type="http://schemas.openxmlformats.org/officeDocument/2006/relationships/hyperlink" Target="https://pubmed.ncbi.nlm.nih.gov/21797837/" TargetMode="External"/><Relationship Id="rId21" Type="http://schemas.openxmlformats.org/officeDocument/2006/relationships/hyperlink" Target="https://pmc.ncbi.nlm.nih.gov/articles/PMC10460553/" TargetMode="External"/><Relationship Id="rId22" Type="http://schemas.openxmlformats.org/officeDocument/2006/relationships/hyperlink" Target="https://www.fda.gov/regulatory-information/search-fda-guidance-documents/general-wellness-policy-low-risk-devices" TargetMode="External"/><Relationship Id="rId23" Type="http://schemas.openxmlformats.org/officeDocument/2006/relationships/hyperlink" Target="https://www.ftc.gov/business-guidance/resources/health-breach-notification-rule-basics-business" TargetMode="External"/><Relationship Id="rId24" Type="http://schemas.openxmlformats.org/officeDocument/2006/relationships/hyperlink" Target="https://ico.org.uk/for-organisations/uk-gdpr-guidance-and-resources/lawful-basis/special-category-data/what-is-special-category-data/" TargetMode="External"/><Relationship Id="rId25" Type="http://schemas.openxmlformats.org/officeDocument/2006/relationships/hyperlink" Target="https://www.elysiumhealth.com/products/index" TargetMode="External"/><Relationship Id="rId26" Type="http://schemas.openxmlformats.org/officeDocument/2006/relationships/hyperlink" Target="https://shop.trudiagnostic.com/products/truage-complete-epigenetic-collection" TargetMode="External"/><Relationship Id="rId27" Type="http://schemas.openxmlformats.org/officeDocument/2006/relationships/hyperlink" Target="https://glycanage.com/glycanage-test" TargetMode="External"/><Relationship Id="rId28" Type="http://schemas.openxmlformats.org/officeDocument/2006/relationships/hyperlink" Target="https://store.insidetracker.com/products/insidetracker-membership" TargetMode="External"/><Relationship Id="rId29" Type="http://schemas.openxmlformats.org/officeDocument/2006/relationships/hyperlink" Target="https://www.functionhealth.com/article/function365" TargetMode="External"/><Relationship Id="rId30" Type="http://schemas.openxmlformats.org/officeDocument/2006/relationships/hyperlink" Target="https://www.viverelife.co.uk/biohacking-britain-how-the-uk-is-searching-its-way-to-a-longer-life" TargetMode="External"/><Relationship Id="rId31" Type="http://schemas.openxmlformats.org/officeDocument/2006/relationships/hyperlink" Target="https://tools.hoponline.ai/glycanage-paid-media-proposal" TargetMode="External"/><Relationship Id="rId32" Type="http://schemas.openxmlformats.org/officeDocument/2006/relationships/hyperlink" Target="https://howoldismybody.org/" TargetMode="External"/><Relationship Id="rId33" Type="http://schemas.openxmlformats.org/officeDocument/2006/relationships/hyperlink" Target="https://www.reddit.com/r/Biohackers/comments/1s2u76r/the_biological_age_tests_are_going_out_of_hand/" TargetMode="External"/><Relationship Id="rId34" Type="http://schemas.openxmlformats.org/officeDocument/2006/relationships/hyperlink" Target="https://www.reddit.com/r/QuantifiedSelf/comments/1u3uzsc/open_longitudinal_longevity_experiment_since_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MorrowAge — Brief estratégico · Etapa 1</dc:title>
  <dc:subject>Estrategia de producto predictivo B2C</dc:subject>
  <dc:creator>OpenAI · Agente 1 Estratega de Producto Predictivo</dc:creator>
  <cp:keywords>MorrowAge, healthspan age, predictive app, strategy, stage 1</cp:keywords>
  <dc:description>generated by python-docx</dc:description>
  <cp:lastModifiedBy/>
  <cp:revision>1</cp:revision>
  <dcterms:created xsi:type="dcterms:W3CDTF">2013-12-23T23:15:00Z</dcterms:created>
  <dcterms:modified xsi:type="dcterms:W3CDTF">2013-12-23T23:15:00Z</dcterms:modified>
  <cp:category/>
</cp:coreProperties>
</file>