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rPr>
          <w:rFonts w:ascii="Roboto" w:hAnsi="Roboto" w:eastAsia="Roboto"/>
        </w:rPr>
        <w:t>PRD · MorrowAge</w:t>
      </w:r>
    </w:p>
    <w:p>
      <w:pPr>
        <w:pStyle w:val="Heading1"/>
        <w:keepNext/>
      </w:pPr>
      <w:r>
        <w:rPr>
          <w:rFonts w:ascii="Roboto" w:hAnsi="Roboto" w:eastAsia="Roboto"/>
        </w:rPr>
        <w:t>0. Ficha y versión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2E8F0"/>
          </w:tcPr>
          <w:p>
            <w:pPr>
              <w:jc w:val="left"/>
            </w:pPr>
            <w:r>
              <w:rPr>
                <w:rFonts w:ascii="Roboto" w:hAnsi="Roboto"/>
                <w:b/>
                <w:sz w:val="17"/>
              </w:rPr>
              <w:t>Campo</w:t>
            </w:r>
          </w:p>
        </w:tc>
        <w:tc>
          <w:tcPr>
            <w:tcW w:type="dxa" w:w="5040"/>
            <w:shd w:fill="E2E8F0"/>
          </w:tcPr>
          <w:p>
            <w:pPr>
              <w:jc w:val="left"/>
            </w:pPr>
            <w:r>
              <w:rPr>
                <w:rFonts w:ascii="Roboto" w:hAnsi="Roboto"/>
                <w:b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Producto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MorrowAge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Slug</w:t>
            </w:r>
          </w:p>
        </w:tc>
        <w:tc>
          <w:tcPr>
            <w:tcW w:type="dxa" w:w="5040"/>
            <w:vAlign w:val="top"/>
          </w:tcPr>
          <w:p>
            <w:r>
              <w:rPr>
                <w:rStyle w:val="CodeChar"/>
                <w:sz w:val="16"/>
              </w:rPr>
              <w:t>morrowage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PRD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v4.0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Modelo/wrapper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v2.1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Estado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READY_TO_BUILD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Etapa de fábrica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Fecha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2026-10-06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Idiomas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Español, inglés, portugués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Rango de uso v1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40–69 años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MONETIZATION_MODE inicial</w:t>
            </w:r>
          </w:p>
        </w:tc>
        <w:tc>
          <w:tcPr>
            <w:tcW w:type="dxa" w:w="5040"/>
            <w:vAlign w:val="top"/>
          </w:tcPr>
          <w:p>
            <w:r>
              <w:rPr>
                <w:rStyle w:val="CodeChar"/>
                <w:sz w:val="16"/>
              </w:rPr>
              <w:t>validation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Stack objetivo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Next.js App Router + TypeScript strict + Supabase + Google Drive + Resend + React PDF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Fuente canónica de cálculo</w:t>
            </w:r>
          </w:p>
        </w:tc>
        <w:tc>
          <w:tcPr>
            <w:tcW w:type="dxa" w:w="5040"/>
            <w:vAlign w:val="top"/>
          </w:tcPr>
          <w:p>
            <w:r>
              <w:rPr>
                <w:rStyle w:val="CodeChar"/>
                <w:sz w:val="16"/>
              </w:rPr>
              <w:t>model/engine_reference.py</w:t>
            </w:r>
            <w:r>
              <w:rPr>
                <w:rFonts w:ascii="Roboto" w:hAnsi="Roboto" w:eastAsia="Roboto"/>
                <w:sz w:val="16"/>
              </w:rPr>
              <w:t xml:space="preserve">, </w:t>
            </w:r>
            <w:r>
              <w:rPr>
                <w:rStyle w:val="CodeChar"/>
                <w:sz w:val="16"/>
              </w:rPr>
              <w:t>spec/model_spec.json</w:t>
            </w:r>
            <w:r>
              <w:rPr>
                <w:rFonts w:ascii="Roboto" w:hAnsi="Roboto" w:eastAsia="Roboto"/>
                <w:sz w:val="16"/>
              </w:rPr>
              <w:t xml:space="preserve">, </w:t>
            </w:r>
            <w:r>
              <w:rPr>
                <w:rStyle w:val="CodeChar"/>
                <w:sz w:val="16"/>
              </w:rPr>
              <w:t>spec/test_vectors.json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UX canónica</w:t>
            </w:r>
          </w:p>
        </w:tc>
        <w:tc>
          <w:tcPr>
            <w:tcW w:type="dxa" w:w="5040"/>
            <w:vAlign w:val="top"/>
          </w:tcPr>
          <w:p>
            <w:r>
              <w:rPr>
                <w:rStyle w:val="CodeChar"/>
                <w:sz w:val="16"/>
              </w:rPr>
              <w:t>ux/ux_spec.md</w:t>
            </w:r>
            <w:r>
              <w:rPr>
                <w:rFonts w:ascii="Roboto" w:hAnsi="Roboto" w:eastAsia="Roboto"/>
                <w:sz w:val="16"/>
              </w:rPr>
              <w:t xml:space="preserve">, </w:t>
            </w:r>
            <w:r>
              <w:rPr>
                <w:rStyle w:val="CodeChar"/>
                <w:sz w:val="16"/>
              </w:rPr>
              <w:t>ux/components.md</w:t>
            </w:r>
            <w:r>
              <w:rPr>
                <w:rFonts w:ascii="Roboto" w:hAnsi="Roboto" w:eastAsia="Roboto"/>
                <w:sz w:val="16"/>
              </w:rPr>
              <w:t xml:space="preserve">, </w:t>
            </w:r>
            <w:r>
              <w:rPr>
                <w:rStyle w:val="CodeChar"/>
                <w:sz w:val="16"/>
              </w:rPr>
              <w:t>ux/sitemap_flows.md</w:t>
            </w:r>
            <w:r>
              <w:rPr>
                <w:rFonts w:ascii="Roboto" w:hAnsi="Roboto" w:eastAsia="Roboto"/>
                <w:sz w:val="16"/>
              </w:rPr>
              <w:t xml:space="preserve">, </w:t>
            </w:r>
            <w:r>
              <w:rPr>
                <w:rStyle w:val="CodeChar"/>
                <w:sz w:val="16"/>
              </w:rPr>
              <w:t>spec/design_tokens.json</w:t>
            </w:r>
            <w:r>
              <w:rPr>
                <w:rFonts w:ascii="Roboto" w:hAnsi="Roboto" w:eastAsia="Roboto"/>
                <w:sz w:val="16"/>
              </w:rPr>
              <w:t xml:space="preserve">, </w:t>
            </w:r>
            <w:r>
              <w:rPr>
                <w:rStyle w:val="CodeChar"/>
                <w:sz w:val="16"/>
              </w:rPr>
              <w:t>spec/copy_i18n.json</w:t>
            </w:r>
          </w:p>
        </w:tc>
      </w:tr>
    </w:tbl>
    <w:p/>
    <w:p>
      <w:r>
        <w:rPr>
          <w:rFonts w:ascii="Roboto" w:hAnsi="Roboto" w:eastAsia="Roboto"/>
          <w:b/>
        </w:rPr>
        <w:t>Definición del producto.</w:t>
      </w:r>
      <w:r>
        <w:rPr>
          <w:rFonts w:ascii="Roboto" w:hAnsi="Roboto" w:eastAsia="Roboto"/>
        </w:rPr>
        <w:t xml:space="preserve"> MorrowAge convierte ocho datos cotidianos en una </w:t>
      </w:r>
      <w:r>
        <w:rPr>
          <w:rFonts w:ascii="Roboto" w:hAnsi="Roboto" w:eastAsia="Roboto"/>
          <w:b/>
        </w:rPr>
        <w:t>edad equivalente de riesgo poblacional</w:t>
      </w:r>
      <w:r>
        <w:rPr>
          <w:rFonts w:ascii="Roboto" w:hAnsi="Roboto" w:eastAsia="Roboto"/>
        </w:rPr>
        <w:t xml:space="preserve"> frente al benchmark del mismo modelo. No es edad biológica, diagnóstico, predicción cierta de longevidad ni probabilidad absoluta de mortalidad a 10 años.</w:t>
      </w:r>
    </w:p>
    <w:p>
      <w:r>
        <w:rPr>
          <w:rFonts w:ascii="Roboto" w:hAnsi="Roboto" w:eastAsia="Roboto"/>
          <w:b/>
        </w:rPr>
        <w:t>Reglas canónicas de Etapa 4.</w:t>
      </w:r>
      <w:r>
        <w:rPr>
          <w:rFonts w:ascii="Roboto" w:hAnsi="Roboto" w:eastAsia="Roboto"/>
        </w:rPr>
        <w:t xml:space="preserve"> Se preserva el wrapper v2.1; la salida raw puede existir para auditoría interna, pero la UI censura fuera de 40–69 como </w:t>
      </w:r>
      <w:r>
        <w:rPr>
          <w:rStyle w:val="CodeChar"/>
        </w:rPr>
        <w:t>&lt;40</w:t>
      </w:r>
      <w:r>
        <w:rPr>
          <w:rFonts w:ascii="Roboto" w:hAnsi="Roboto" w:eastAsia="Roboto"/>
        </w:rPr>
        <w:t xml:space="preserve"> o </w:t>
      </w:r>
      <w:r>
        <w:rPr>
          <w:rStyle w:val="CodeChar"/>
        </w:rPr>
        <w:t>&gt;69</w:t>
      </w:r>
      <w:r>
        <w:rPr>
          <w:rFonts w:ascii="Roboto" w:hAnsi="Roboto" w:eastAsia="Roboto"/>
        </w:rPr>
        <w:t xml:space="preserve">. La sensibilidad es un escenario de medición bounds-aware, nunca un intervalo de confianza. Los percentiles por país y la mortalidad absoluta a 10 años permanecen bloqueados. En analítica y </w:t>
      </w:r>
      <w:r>
        <w:rPr>
          <w:rStyle w:val="CodeChar"/>
        </w:rPr>
        <w:t>/admin</w:t>
      </w:r>
      <w:r>
        <w:rPr>
          <w:rFonts w:ascii="Roboto" w:hAnsi="Roboto" w:eastAsia="Roboto"/>
        </w:rPr>
        <w:t xml:space="preserve"> no se envían inputs de salud, resultados crudos ni URLs/tokens de informes. En </w:t>
      </w:r>
      <w:r>
        <w:rPr>
          <w:rStyle w:val="CodeChar"/>
        </w:rPr>
        <w:t>validation</w:t>
      </w:r>
      <w:r>
        <w:rPr>
          <w:rFonts w:ascii="Roboto" w:hAnsi="Roboto" w:eastAsia="Roboto"/>
        </w:rPr>
        <w:t xml:space="preserve">, el correo operacional a </w:t>
      </w:r>
      <w:r>
        <w:rPr>
          <w:rStyle w:val="CodeChar"/>
        </w:rPr>
        <w:t>OWNER_EMAIL</w:t>
      </w:r>
      <w:r>
        <w:rPr>
          <w:rFonts w:ascii="Roboto" w:hAnsi="Roboto" w:eastAsia="Roboto"/>
        </w:rPr>
        <w:t xml:space="preserve"> contiene los inputs, resultados y PDF completo exigidos por el protocolo de validación, y debe tratarse como dato sensible con acceso mínimo, transporte cifrado y retención operativa limitada.</w:t>
      </w:r>
    </w:p>
    <w:p>
      <w:pPr>
        <w:pStyle w:val="Heading1"/>
        <w:keepNext/>
      </w:pPr>
      <w:r>
        <w:rPr>
          <w:rFonts w:ascii="Roboto" w:hAnsi="Roboto" w:eastAsia="Roboto"/>
        </w:rPr>
        <w:t>1. Resumen ejecutivo</w:t>
      </w:r>
    </w:p>
    <w:p>
      <w:r>
        <w:rPr>
          <w:rFonts w:ascii="Roboto" w:hAnsi="Roboto" w:eastAsia="Roboto"/>
        </w:rPr>
        <w:t xml:space="preserve">MorrowAge es una web móvil-first para adultos de 40–69 años que quieren una señal rápida y auditable sobre cómo su perfil se compara con un benchmark poblacional. El usuario completa un assessment de ocho inputs en menos de 90 segundos, recibe una vista previa gratuita con </w:t>
      </w:r>
      <w:r>
        <w:rPr>
          <w:rStyle w:val="CodeChar"/>
        </w:rPr>
        <w:t>morrow_age_display</w:t>
      </w:r>
      <w:r>
        <w:rPr>
          <w:rFonts w:ascii="Roboto" w:hAnsi="Roboto" w:eastAsia="Roboto"/>
        </w:rPr>
        <w:t>, hazard relativo secundario y un driver principal, y puede solicitar el informe completo.</w:t>
      </w:r>
    </w:p>
    <w:p>
      <w:r>
        <w:rPr>
          <w:rFonts w:ascii="Roboto" w:hAnsi="Roboto" w:eastAsia="Roboto"/>
        </w:rPr>
        <w:t xml:space="preserve">El MVP se lanza con </w:t>
      </w:r>
      <w:r>
        <w:rPr>
          <w:rStyle w:val="CodeChar"/>
        </w:rPr>
        <w:t>MONETIZATION_MODE=validation</w:t>
      </w:r>
      <w:r>
        <w:rPr>
          <w:rFonts w:ascii="Roboto" w:hAnsi="Roboto" w:eastAsia="Roboto"/>
        </w:rPr>
        <w:t>: no cobra. La vista previa lleva a un gate de email explícito. La solicitud crea un lead, genera el informe web/PDF, envía confirmación al usuario y envía al dueño una notificación operacional con el detalle de la solicitud y el PDF. Stripe existe detrás de feature flag y solo se activa cuando se alcanzan umbrales de tracción y no hay blockers de seguridad, legal o modelo.</w:t>
      </w:r>
    </w:p>
    <w:p>
      <w:r>
        <w:rPr>
          <w:rFonts w:ascii="Roboto" w:hAnsi="Roboto" w:eastAsia="Roboto"/>
        </w:rPr>
        <w:t xml:space="preserve">El diferenciador es la combinación de fricción baja, cálculo determinista reproducible, fuentes visibles, límites explícitos y una experiencia que evita lenguaje clínico o causal. La implementación debe poder desplegarse en Vercel desde GitHub; Netlify es alternativa compatible. Los archivos de configuración y referencia del modelo se sincronizan desde Google Drive </w:t>
      </w:r>
      <w:r>
        <w:rPr>
          <w:rStyle w:val="CodeChar"/>
        </w:rPr>
        <w:t>/Apps/morrowage/</w:t>
      </w:r>
      <w:r>
        <w:rPr>
          <w:rFonts w:ascii="Roboto" w:hAnsi="Roboto" w:eastAsia="Roboto"/>
        </w:rPr>
        <w:t>, se validan por SHA-256, se cachean 24 horas y se conserva la última versión válida si Drive falla.</w:t>
      </w:r>
    </w:p>
    <w:p>
      <w:pPr>
        <w:pStyle w:val="Heading1"/>
        <w:keepNext/>
      </w:pPr>
      <w:r>
        <w:rPr>
          <w:rFonts w:ascii="Roboto" w:hAnsi="Roboto" w:eastAsia="Roboto"/>
        </w:rPr>
        <w:t>2. Problema y evidencia</w:t>
      </w:r>
    </w:p>
    <w:p>
      <w:r>
        <w:rPr>
          <w:rFonts w:ascii="Roboto" w:hAnsi="Roboto" w:eastAsia="Roboto"/>
        </w:rPr>
        <w:t>El problema de usuario no es la falta de métricas sino la dificultad de convertir hábitos y mediciones dispersas en una señal comprensible, contextualizada y suficientemente confiable como para decidir el siguiente paso. El brief de Etapa 1 documenta señales de necesidad estructural: carga global de enfermedades no transmisibles, brecha entre esperanza de vida y vida saludable, alta prevalencia de inactividad, hipertensión y exceso de peso, y disposición de pago demostrada por alternativas de longevidad con precios muy superiores.</w:t>
      </w:r>
    </w:p>
    <w:p>
      <w:r>
        <w:rPr>
          <w:rFonts w:ascii="Roboto" w:hAnsi="Roboto" w:eastAsia="Roboto"/>
        </w:rPr>
        <w:t xml:space="preserve">La demanda por “biological age” y conceptos afines aparece en búsquedas, comunidades de quantified self y productos de laboratorio. Esas señales son direccionales: los volúmenes SEO son estimaciones de terceros y deben tratarse como </w:t>
      </w:r>
      <w:r>
        <w:rPr>
          <w:rFonts w:ascii="Roboto" w:hAnsi="Roboto" w:eastAsia="Roboto"/>
          <w:b/>
        </w:rPr>
        <w:t>preliminares</w:t>
      </w:r>
      <w:r>
        <w:rPr>
          <w:rFonts w:ascii="Roboto" w:hAnsi="Roboto" w:eastAsia="Roboto"/>
        </w:rPr>
        <w:t xml:space="preserve"> hasta revalidarlos con herramientas directas.</w:t>
      </w:r>
    </w:p>
    <w:p>
      <w:r>
        <w:rPr>
          <w:rFonts w:ascii="Roboto" w:hAnsi="Roboto" w:eastAsia="Roboto"/>
        </w:rPr>
        <w:t xml:space="preserve">La evidencia de mercado y sus fuentes se conserva en </w:t>
      </w:r>
      <w:r>
        <w:rPr>
          <w:rStyle w:val="CodeChar"/>
        </w:rPr>
        <w:t>docs/brief_estrategico.md</w:t>
      </w:r>
      <w:r>
        <w:rPr>
          <w:rFonts w:ascii="Roboto" w:hAnsi="Roboto" w:eastAsia="Roboto"/>
        </w:rPr>
        <w:t xml:space="preserve"> y </w:t>
      </w:r>
      <w:r>
        <w:rPr>
          <w:rStyle w:val="CodeChar"/>
        </w:rPr>
        <w:t>01_estrategia/fuentes_mercado.csv</w:t>
      </w:r>
      <w:r>
        <w:rPr>
          <w:rFonts w:ascii="Roboto" w:hAnsi="Roboto" w:eastAsia="Roboto"/>
        </w:rPr>
        <w:t xml:space="preserve">. La evidencia del modelo se conserva en </w:t>
      </w:r>
      <w:r>
        <w:rPr>
          <w:rStyle w:val="CodeChar"/>
        </w:rPr>
        <w:t>model/model_card.md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spec/model_spec.json</w:t>
      </w:r>
      <w:r>
        <w:rPr>
          <w:rFonts w:ascii="Roboto" w:hAnsi="Roboto" w:eastAsia="Roboto"/>
        </w:rPr>
        <w:t xml:space="preserve"> y </w:t>
      </w:r>
      <w:r>
        <w:rPr>
          <w:rStyle w:val="CodeChar"/>
        </w:rPr>
        <w:t>02_datos_modelo/fuentes_datos.csv</w:t>
      </w:r>
      <w:r>
        <w:rPr>
          <w:rFonts w:ascii="Roboto" w:hAnsi="Roboto" w:eastAsia="Roboto"/>
        </w:rPr>
        <w:t>.</w:t>
      </w:r>
    </w:p>
    <w:p>
      <w:pPr>
        <w:pStyle w:val="Heading1"/>
        <w:keepNext/>
      </w:pPr>
      <w:r>
        <w:rPr>
          <w:rFonts w:ascii="Roboto" w:hAnsi="Roboto" w:eastAsia="Roboto"/>
        </w:rPr>
        <w:t>3. Mercado y segmentos</w:t>
      </w:r>
    </w:p>
    <w:p>
      <w:r>
        <w:rPr>
          <w:rFonts w:ascii="Roboto" w:hAnsi="Roboto" w:eastAsia="Roboto"/>
        </w:rPr>
        <w:t>Segmentos prioritarios:</w:t>
      </w:r>
    </w:p>
    <w:p>
      <w:pPr>
        <w:pStyle w:val="ListNumber"/>
      </w:pPr>
      <w:r>
        <w:rPr>
          <w:rFonts w:ascii="Roboto" w:hAnsi="Roboto" w:eastAsia="Roboto"/>
          <w:b/>
        </w:rPr>
        <w:t>Longevity-curious professionals, 40–54 dentro del rango v1.</w:t>
      </w:r>
      <w:r>
        <w:rPr>
          <w:rFonts w:ascii="Roboto" w:hAnsi="Roboto" w:eastAsia="Roboto"/>
        </w:rPr>
        <w:t xml:space="preserve"> Buscan una señal cuantificada sin pagar cientos de dólares ni usar laboratorio.</w:t>
      </w:r>
    </w:p>
    <w:p>
      <w:pPr>
        <w:pStyle w:val="ListNumber"/>
      </w:pPr>
      <w:r>
        <w:rPr>
          <w:rFonts w:ascii="Roboto" w:hAnsi="Roboto" w:eastAsia="Roboto"/>
          <w:b/>
        </w:rPr>
        <w:t>Prevention-minded adults, 50–69.</w:t>
      </w:r>
      <w:r>
        <w:rPr>
          <w:rFonts w:ascii="Roboto" w:hAnsi="Roboto" w:eastAsia="Roboto"/>
        </w:rPr>
        <w:t xml:space="preserve"> Quieren traducir hábitos y mediciones simples a una señal entendible.</w:t>
      </w:r>
    </w:p>
    <w:p>
      <w:pPr>
        <w:pStyle w:val="ListNumber"/>
      </w:pPr>
      <w:r>
        <w:rPr>
          <w:rFonts w:ascii="Roboto" w:hAnsi="Roboto" w:eastAsia="Roboto"/>
          <w:b/>
        </w:rPr>
        <w:t>Quantified-self / fitness optimizers, 40–49 dentro del rango v1.</w:t>
      </w:r>
      <w:r>
        <w:rPr>
          <w:rFonts w:ascii="Roboto" w:hAnsi="Roboto" w:eastAsia="Roboto"/>
        </w:rPr>
        <w:t xml:space="preserve"> Ya siguen métricas y valoran transparencia, tracking y auditabilidad.</w:t>
      </w:r>
    </w:p>
    <w:p>
      <w:r>
        <w:rPr>
          <w:rFonts w:ascii="Roboto" w:hAnsi="Roboto" w:eastAsia="Roboto"/>
        </w:rPr>
        <w:t>Las estimaciones de tamaño del brief son top-down y no censales. Se usarán como hipótesis de adquisición, no como TAM certificado. El MVP se puede adquirir globalmente en ES/EN/PT, pero no debe presentar calibración nacional ni percentiles hasta validación local. Estados Unidos es el mercado comercial primario de validación; UK, Canadá, Australia, Brasil y Perú/LatAm son extensiones posteriores condicionadas.</w:t>
      </w:r>
    </w:p>
    <w:p>
      <w:pPr>
        <w:pStyle w:val="Heading1"/>
        <w:keepNext/>
      </w:pPr>
      <w:r>
        <w:rPr>
          <w:rFonts w:ascii="Roboto" w:hAnsi="Roboto" w:eastAsia="Roboto"/>
        </w:rPr>
        <w:t>4. Persona y JTBD</w:t>
      </w:r>
    </w:p>
    <w:p>
      <w:r>
        <w:rPr>
          <w:rFonts w:ascii="Roboto" w:hAnsi="Roboto" w:eastAsia="Roboto"/>
          <w:b/>
        </w:rPr>
        <w:t>Persona principal: Alex, 44.</w:t>
      </w:r>
      <w:r>
        <w:rPr>
          <w:rFonts w:ascii="Roboto" w:hAnsi="Roboto" w:eastAsia="Roboto"/>
        </w:rPr>
        <w:t xml:space="preserve"> Profesional con ingresos medios-altos, usa apps de fitness, siente curiosidad por longevidad, no se considera enfermo y no quiere empezar con una prueba de laboratorio costosa.</w:t>
      </w:r>
    </w:p>
    <w:p>
      <w:r>
        <w:rPr>
          <w:rFonts w:ascii="Roboto" w:hAnsi="Roboto" w:eastAsia="Roboto"/>
          <w:b/>
        </w:rPr>
        <w:t>JTBD:</w:t>
      </w:r>
      <w:r>
        <w:rPr>
          <w:rFonts w:ascii="Roboto" w:hAnsi="Roboto" w:eastAsia="Roboto"/>
        </w:rPr>
        <w:t xml:space="preserve"> “Cuando empiezo a preocuparme por cómo estoy envejeciendo, quiero convertir mis hábitos en una cifra creíble y entendible, para priorizar qué revisar y decidir si necesito una evaluación más profunda.”</w:t>
      </w:r>
    </w:p>
    <w:p>
      <w:r>
        <w:rPr>
          <w:rFonts w:ascii="Roboto" w:hAnsi="Roboto" w:eastAsia="Roboto"/>
          <w:b/>
        </w:rPr>
        <w:t>Ansiedades.</w:t>
      </w:r>
      <w:r>
        <w:rPr>
          <w:rFonts w:ascii="Roboto" w:hAnsi="Roboto" w:eastAsia="Roboto"/>
        </w:rPr>
        <w:t xml:space="preserve"> “¿Esto es real o un quiz?”, “¿me está diciendo cuándo moriré?”, “¿por qué una variable se mueve en una dirección contraintuitiva?”, “¿qué pasa con mis datos?”. El producto responde con metodología visible, lenguaje poblacional, asociación ≠ causalidad y minimización de datos.</w:t>
      </w:r>
    </w:p>
    <w:p>
      <w:pPr>
        <w:pStyle w:val="Heading1"/>
        <w:keepNext/>
      </w:pPr>
      <w:r>
        <w:rPr>
          <w:rFonts w:ascii="Roboto" w:hAnsi="Roboto" w:eastAsia="Roboto"/>
        </w:rPr>
        <w:t>5. Competencia</w:t>
      </w:r>
    </w:p>
    <w:p>
      <w:r>
        <w:rPr>
          <w:rFonts w:ascii="Roboto" w:hAnsi="Roboto" w:eastAsia="Roboto"/>
        </w:rPr>
        <w:t>Las alternativas del brief se agrupan en: tests epigenéticos caros, plataformas de biomarcadores con laboratorio, membresías de salud longitudinal y calculadoras gratuitas de estilo de vida. El hueco del MVP es una evaluación instantánea, sin laboratorio, de bajo costo futuro y con cálculo reproducible.</w:t>
      </w:r>
    </w:p>
    <w:p>
      <w:r>
        <w:rPr>
          <w:rFonts w:ascii="Roboto" w:hAnsi="Roboto" w:eastAsia="Roboto"/>
        </w:rPr>
        <w:t xml:space="preserve">MorrowAge no compite afirmando mayor precisión clínica. Compite en fricción, transparencia y contexto. La tabla de competidores, precios y fuentes se mantiene en </w:t>
      </w:r>
      <w:r>
        <w:rPr>
          <w:rStyle w:val="CodeChar"/>
        </w:rPr>
        <w:t>docs/brief_estrategico.md</w:t>
      </w:r>
      <w:r>
        <w:rPr>
          <w:rFonts w:ascii="Roboto" w:hAnsi="Roboto" w:eastAsia="Roboto"/>
        </w:rPr>
        <w:t>; los precios de terceros deben revalidarse antes de publicación comparativa.</w:t>
      </w:r>
    </w:p>
    <w:p>
      <w:pPr>
        <w:pStyle w:val="Heading1"/>
        <w:keepNext/>
      </w:pPr>
      <w:r>
        <w:rPr>
          <w:rFonts w:ascii="Roboto" w:hAnsi="Roboto" w:eastAsia="Roboto"/>
        </w:rPr>
        <w:t>6. Propuesta de valor</w:t>
      </w:r>
    </w:p>
    <w:p>
      <w:r>
        <w:rPr>
          <w:rFonts w:ascii="Roboto" w:hAnsi="Roboto" w:eastAsia="Roboto"/>
          <w:b/>
        </w:rPr>
        <w:t>ES:</w:t>
      </w:r>
      <w:r>
        <w:rPr>
          <w:rFonts w:ascii="Roboto" w:hAnsi="Roboto" w:eastAsia="Roboto"/>
        </w:rPr>
        <w:t xml:space="preserve"> “8 datos. Menos de 90 segundos. Una edad equivalente de riesgo con contexto y fuentes visibles.”</w:t>
      </w:r>
    </w:p>
    <w:p>
      <w:r>
        <w:rPr>
          <w:rFonts w:ascii="Roboto" w:hAnsi="Roboto" w:eastAsia="Roboto"/>
          <w:b/>
        </w:rPr>
        <w:t>EN:</w:t>
      </w:r>
      <w:r>
        <w:rPr>
          <w:rFonts w:ascii="Roboto" w:hAnsi="Roboto" w:eastAsia="Roboto"/>
        </w:rPr>
        <w:t xml:space="preserve"> “8 inputs. Under 90 seconds. A risk-equivalent age with context and visible sources.”</w:t>
      </w:r>
    </w:p>
    <w:p>
      <w:r>
        <w:rPr>
          <w:rFonts w:ascii="Roboto" w:hAnsi="Roboto" w:eastAsia="Roboto"/>
          <w:b/>
        </w:rPr>
        <w:t>PT:</w:t>
      </w:r>
      <w:r>
        <w:rPr>
          <w:rFonts w:ascii="Roboto" w:hAnsi="Roboto" w:eastAsia="Roboto"/>
        </w:rPr>
        <w:t xml:space="preserve"> “8 dados. Menos de 90 segundos. Uma idade equivalente de risco com contexto e fontes visíveis.”</w:t>
      </w:r>
    </w:p>
    <w:p>
      <w:r>
        <w:rPr>
          <w:rFonts w:ascii="Roboto" w:hAnsi="Roboto" w:eastAsia="Roboto"/>
        </w:rPr>
        <w:t>Promesa funcional: cálculo determinista + preview inmediato + informe contextual. Promesa de confianza: metodología visible, límites explícitos, sin claims de edad biológica, sin LLM para la cifra numérica y sin vender outputs bloqueados.</w:t>
      </w:r>
    </w:p>
    <w:p>
      <w:pPr>
        <w:pStyle w:val="Heading1"/>
        <w:keepNext/>
      </w:pPr>
      <w:r>
        <w:rPr>
          <w:rFonts w:ascii="Roboto" w:hAnsi="Roboto" w:eastAsia="Roboto"/>
        </w:rPr>
        <w:t>7. Alcance MVP, fuera de alcance y v2</w:t>
      </w:r>
    </w:p>
    <w:p>
      <w:r>
        <w:rPr>
          <w:rFonts w:ascii="Roboto" w:hAnsi="Roboto" w:eastAsia="Roboto"/>
          <w:b/>
        </w:rPr>
        <w:t>MVP incluido:</w:t>
      </w:r>
      <w:r>
        <w:rPr>
          <w:rFonts w:ascii="Roboto" w:hAnsi="Roboto" w:eastAsia="Roboto"/>
        </w:rPr>
        <w:t xml:space="preserve"> landing SEO; assessment de 8 pasos; consentimiento de alcance; reacción integrada; conversiones de unidad; cálculo v2.1; preview segura; email gate; lead; informe web y PDF; Resend; notificación operacional al dueño; admin mínimo; analítica del funnel; Drive runtime; i18n ES/EN/PT; privacidad y borrado; Turnstile/rate limit; Sentry/PostHog; CI; Stripe detrás de feature flag.</w:t>
      </w:r>
    </w:p>
    <w:p>
      <w:r>
        <w:rPr>
          <w:rFonts w:ascii="Roboto" w:hAnsi="Roboto" w:eastAsia="Roboto"/>
          <w:b/>
        </w:rPr>
        <w:t>Fuera de alcance:</w:t>
      </w:r>
      <w:r>
        <w:rPr>
          <w:rFonts w:ascii="Roboto" w:hAnsi="Roboto" w:eastAsia="Roboto"/>
        </w:rPr>
        <w:t xml:space="preserve"> diagnóstico, tratamiento, suplementos, triage, chat médico, riesgo absoluto a 10 años, percentiles nacionales, edades fuera de 40–69, menores, embarazo, enfermedad terminal como población objetivo, underwriting/empleo/crédito, integración obligatoria con wearables, laboratorio, ADN/epigenética y recomendaciones causales derivadas del signo de coeficientes.</w:t>
      </w:r>
    </w:p>
    <w:p>
      <w:r>
        <w:rPr>
          <w:rFonts w:ascii="Roboto" w:hAnsi="Roboto" w:eastAsia="Roboto"/>
          <w:b/>
        </w:rPr>
        <w:t>V2:</w:t>
      </w:r>
      <w:r>
        <w:rPr>
          <w:rFonts w:ascii="Roboto" w:hAnsi="Roboto" w:eastAsia="Roboto"/>
        </w:rPr>
        <w:t xml:space="preserve"> tracking longitudinal; re-tests; suscripción si hay retorno voluntario; wearables opcionales si aportan lift; calibración por país; benchmarks locales validados; B2B2C de wellness con restricciones; Stripe activo si la tracción lo justifica.</w:t>
      </w:r>
    </w:p>
    <w:p>
      <w:pPr>
        <w:pStyle w:val="Heading1"/>
        <w:keepNext/>
      </w:pPr>
      <w:r>
        <w:rPr>
          <w:rFonts w:ascii="Roboto" w:hAnsi="Roboto" w:eastAsia="Roboto"/>
        </w:rPr>
        <w:t>8. Flujo end-to-end</w:t>
      </w:r>
    </w:p>
    <w:p>
      <w:pPr>
        <w:spacing w:after="120"/>
        <w:ind w:left="288"/>
      </w:pPr>
      <w:r>
        <w:rPr>
          <w:rStyle w:val="CodeChar"/>
        </w:rPr>
        <w:t>flowchart TD</w:t>
        <w:br/>
        <w:t xml:space="preserve">  A[Landing /] --&gt; B[Scope /calculate]</w:t>
        <w:br/>
        <w:t xml:space="preserve">  B --&gt; C1[Edad]</w:t>
        <w:br/>
        <w:t xml:space="preserve">  C1 --&gt; C2[Sueño]</w:t>
        <w:br/>
        <w:t xml:space="preserve">  C2 --&gt; C3[Salud autopercibida]</w:t>
        <w:br/>
        <w:t xml:space="preserve">  C3 --&gt; C4[Cigarrillos]</w:t>
        <w:br/>
        <w:t xml:space="preserve">  C4 --&gt; C5[Tiempo de reacción]</w:t>
        <w:br/>
        <w:t xml:space="preserve">  C5 --&gt; C6[Cintura + altura]</w:t>
        <w:br/>
        <w:t xml:space="preserve">  C6 --&gt; C7[Alcohol]</w:t>
        <w:br/>
        <w:t xml:space="preserve">  C7 --&gt; C8[RHR]</w:t>
        <w:br/>
        <w:t xml:space="preserve">  C8 --&gt; P[Processing]</w:t>
        <w:br/>
        <w:t xml:space="preserve">  P --&gt; E[POST /api/calculate]</w:t>
        <w:br/>
        <w:t xml:space="preserve">  E --&gt; V[Preview]</w:t>
        <w:br/>
        <w:t xml:space="preserve">  V --&gt; G{MONETIZATION_MODE}</w:t>
        <w:br/>
        <w:t xml:space="preserve">  G --&gt;|validation| L[Email gate]</w:t>
        <w:br/>
        <w:t xml:space="preserve">  L --&gt; LR[Guardar lead]</w:t>
        <w:br/>
        <w:t xml:space="preserve">  LR --&gt; R[Generar report web + PDF]</w:t>
        <w:br/>
        <w:t xml:space="preserve">  R --&gt; U[Email confirmación usuario]</w:t>
        <w:br/>
        <w:t xml:space="preserve">  R --&gt; O[Email OWNER_EMAIL con inputs + resultados + PDF]</w:t>
        <w:br/>
        <w:t xml:space="preserve">  U --&gt; S[Success]</w:t>
        <w:br/>
        <w:t xml:space="preserve">  O --&gt; S</w:t>
        <w:br/>
        <w:t xml:space="preserve">  G --&gt;|stripe + flag| CH[Stripe Checkout]</w:t>
        <w:br/>
        <w:t xml:space="preserve">  CH --&gt; WH[Webhook firmado + idempotente]</w:t>
        <w:br/>
        <w:t xml:space="preserve">  WH --&gt; R2[Entrega automática PDF + copia dueño]</w:t>
        <w:br/>
        <w:t xml:space="preserve">  S --&gt; RW[Report /report/:token]</w:t>
        <w:br/>
        <w:t xml:space="preserve">  D[Google Drive /Apps/morrowage] --&gt;|checksum + cache 24h| E</w:t>
        <w:br/>
        <w:t xml:space="preserve">  D --&gt;|fallback| LV[última versión válida]</w:t>
        <w:br/>
        <w:t xml:space="preserve">  LV --&gt; E</w:t>
      </w:r>
    </w:p>
    <w:p>
      <w:pPr>
        <w:pStyle w:val="Heading1"/>
        <w:keepNext/>
      </w:pPr>
      <w:r>
        <w:rPr>
          <w:rFonts w:ascii="Roboto" w:hAnsi="Roboto" w:eastAsia="Roboto"/>
        </w:rPr>
        <w:t>9. Historias de usuario US-xx con Gherkin</w:t>
      </w:r>
    </w:p>
    <w:p>
      <w:pPr>
        <w:pStyle w:val="Heading2"/>
        <w:keepNext/>
      </w:pPr>
      <w:r>
        <w:rPr>
          <w:rFonts w:ascii="Roboto" w:hAnsi="Roboto" w:eastAsia="Roboto"/>
        </w:rPr>
        <w:t>US-01 · Entender la propuesta y comenzar</w:t>
      </w:r>
    </w:p>
    <w:p>
      <w:r>
        <w:rPr>
          <w:rFonts w:ascii="Roboto" w:hAnsi="Roboto" w:eastAsia="Roboto"/>
          <w:b/>
        </w:rPr>
        <w:t>Como</w:t>
      </w:r>
      <w:r>
        <w:rPr>
          <w:rFonts w:ascii="Roboto" w:hAnsi="Roboto" w:eastAsia="Roboto"/>
        </w:rPr>
        <w:t xml:space="preserve"> visitante, </w:t>
      </w:r>
      <w:r>
        <w:rPr>
          <w:rFonts w:ascii="Roboto" w:hAnsi="Roboto" w:eastAsia="Roboto"/>
          <w:b/>
        </w:rPr>
        <w:t>quiero</w:t>
      </w:r>
      <w:r>
        <w:rPr>
          <w:rFonts w:ascii="Roboto" w:hAnsi="Roboto" w:eastAsia="Roboto"/>
        </w:rPr>
        <w:t xml:space="preserve"> entender qué calcula MorrowAge y qué no, </w:t>
      </w:r>
      <w:r>
        <w:rPr>
          <w:rFonts w:ascii="Roboto" w:hAnsi="Roboto" w:eastAsia="Roboto"/>
          <w:b/>
        </w:rPr>
        <w:t>para</w:t>
      </w:r>
      <w:r>
        <w:rPr>
          <w:rFonts w:ascii="Roboto" w:hAnsi="Roboto" w:eastAsia="Roboto"/>
        </w:rPr>
        <w:t xml:space="preserve"> decidir si empiezo sin confundirlo con una prueba clínica.</w:t>
      </w:r>
    </w:p>
    <w:p>
      <w:pPr>
        <w:spacing w:after="120"/>
        <w:ind w:left="288"/>
      </w:pPr>
      <w:r>
        <w:rPr>
          <w:rStyle w:val="CodeChar"/>
        </w:rPr>
        <w:t>Dado que visito la landing en ES, EN o PT</w:t>
        <w:br/>
        <w:t>Cuando leo el hero y el bloque de confianza</w:t>
        <w:br/>
        <w:t>Entonces veo que el resultado es una edad equivalente de riesgo poblacional</w:t>
        <w:br/>
        <w:t>Y veo que no es edad biológica, diagnóstico ni predicción de longevidad</w:t>
        <w:br/>
        <w:t>Y el CTA primario inicia el assessment</w:t>
      </w:r>
    </w:p>
    <w:p>
      <w:pPr>
        <w:pStyle w:val="Heading2"/>
        <w:keepNext/>
      </w:pPr>
      <w:r>
        <w:rPr>
          <w:rFonts w:ascii="Roboto" w:hAnsi="Roboto" w:eastAsia="Roboto"/>
        </w:rPr>
        <w:t>US-02 · Aceptar alcance antes de aportar datos</w:t>
      </w:r>
    </w:p>
    <w:p>
      <w:pPr>
        <w:spacing w:after="120"/>
        <w:ind w:left="288"/>
      </w:pPr>
      <w:r>
        <w:rPr>
          <w:rStyle w:val="CodeChar"/>
        </w:rPr>
        <w:t>Dado que inicié el assessment</w:t>
        <w:br/>
        <w:t>Cuando se muestra la pantalla de alcance</w:t>
        <w:br/>
        <w:t>Entonces veo el rango 40–69 y el uso educativo</w:t>
        <w:br/>
        <w:t>Y debo aceptar el alcance antes de continuar</w:t>
      </w:r>
    </w:p>
    <w:p>
      <w:pPr>
        <w:pStyle w:val="Heading2"/>
        <w:keepNext/>
      </w:pPr>
      <w:r>
        <w:rPr>
          <w:rFonts w:ascii="Roboto" w:hAnsi="Roboto" w:eastAsia="Roboto"/>
        </w:rPr>
        <w:t>US-03 · Completar ocho inputs válidos</w:t>
      </w:r>
    </w:p>
    <w:p>
      <w:pPr>
        <w:spacing w:after="120"/>
        <w:ind w:left="288"/>
      </w:pPr>
      <w:r>
        <w:rPr>
          <w:rStyle w:val="CodeChar"/>
        </w:rPr>
        <w:t>Dado que acepté el alcance</w:t>
        <w:br/>
        <w:t>Cuando avanzo por los ocho pasos</w:t>
        <w:br/>
        <w:t>Entonces cada dato se valida contra spec/inputs.schema.json</w:t>
        <w:br/>
        <w:t>Y los errores son inline y accesibles</w:t>
        <w:br/>
        <w:t>Y no se precompletan respuestas de salud</w:t>
      </w:r>
    </w:p>
    <w:p>
      <w:pPr>
        <w:pStyle w:val="Heading2"/>
        <w:keepNext/>
      </w:pPr>
      <w:r>
        <w:rPr>
          <w:rFonts w:ascii="Roboto" w:hAnsi="Roboto" w:eastAsia="Roboto"/>
        </w:rPr>
        <w:t>US-04 · Medir reacción de forma integrada</w:t>
      </w:r>
    </w:p>
    <w:p>
      <w:pPr>
        <w:spacing w:after="120"/>
        <w:ind w:left="288"/>
      </w:pPr>
      <w:r>
        <w:rPr>
          <w:rStyle w:val="CodeChar"/>
        </w:rPr>
        <w:t>Dado que llego al paso de reacción</w:t>
        <w:br/>
        <w:t>Cuando ejecuto la prueba</w:t>
        <w:br/>
        <w:t>Entonces se registra un valor válido en milisegundos</w:t>
        <w:br/>
        <w:t>Y analytics solo recibe versión de protocolo y buckets, nunca el valor crudo</w:t>
      </w:r>
    </w:p>
    <w:p>
      <w:pPr>
        <w:pStyle w:val="Heading2"/>
        <w:keepNext/>
      </w:pPr>
      <w:r>
        <w:rPr>
          <w:rFonts w:ascii="Roboto" w:hAnsi="Roboto" w:eastAsia="Roboto"/>
        </w:rPr>
        <w:t>US-05 · Obtener una vista previa reproducible</w:t>
      </w:r>
    </w:p>
    <w:p>
      <w:pPr>
        <w:spacing w:after="120"/>
        <w:ind w:left="288"/>
      </w:pPr>
      <w:r>
        <w:rPr>
          <w:rStyle w:val="CodeChar"/>
        </w:rPr>
        <w:t>Dado que los ocho inputs son válidos</w:t>
        <w:br/>
        <w:t>Cuando se ejecuta el motor</w:t>
        <w:br/>
        <w:t>Entonces el resultado coincide con el wrapper v2.1</w:t>
        <w:br/>
        <w:t>Y se muestran edad equivalente segura, edad cronológica, un driver y contexto</w:t>
        <w:br/>
        <w:t>Y el hazard relativo no es el headline</w:t>
      </w:r>
    </w:p>
    <w:p>
      <w:pPr>
        <w:pStyle w:val="Heading2"/>
        <w:keepNext/>
      </w:pPr>
      <w:r>
        <w:rPr>
          <w:rFonts w:ascii="Roboto" w:hAnsi="Roboto" w:eastAsia="Roboto"/>
        </w:rPr>
        <w:t>US-06 · Ver un resultado fuera del rango sin falsa precisión</w:t>
      </w:r>
    </w:p>
    <w:p>
      <w:pPr>
        <w:spacing w:after="120"/>
        <w:ind w:left="288"/>
      </w:pPr>
      <w:r>
        <w:rPr>
          <w:rStyle w:val="CodeChar"/>
        </w:rPr>
        <w:t>Dado que el MorrowAge raw cae fuera de 40–69</w:t>
        <w:br/>
        <w:t>Cuando veo preview o informe</w:t>
        <w:br/>
        <w:t>Entonces veo &lt;40 o &gt;69</w:t>
        <w:br/>
        <w:t>Y nunca veo el valor raw exacto fuera del rango</w:t>
      </w:r>
    </w:p>
    <w:p>
      <w:pPr>
        <w:pStyle w:val="Heading2"/>
        <w:keepNext/>
      </w:pPr>
      <w:r>
        <w:rPr>
          <w:rFonts w:ascii="Roboto" w:hAnsi="Roboto" w:eastAsia="Roboto"/>
        </w:rPr>
        <w:t>US-07 · Solicitar el informe gratis en validation</w:t>
      </w:r>
    </w:p>
    <w:p>
      <w:pPr>
        <w:spacing w:after="120"/>
        <w:ind w:left="288"/>
      </w:pPr>
      <w:r>
        <w:rPr>
          <w:rStyle w:val="CodeChar"/>
        </w:rPr>
        <w:t>Dado que MONETIZATION_MODE es validation</w:t>
        <w:br/>
        <w:t>Cuando envío un email válido y consentimiento de servicio</w:t>
        <w:br/>
        <w:t>Entonces se crea un lead</w:t>
        <w:br/>
        <w:t>Y marketing permanece opcional y separado</w:t>
        <w:br/>
        <w:t>Y no se cobra</w:t>
      </w:r>
    </w:p>
    <w:p>
      <w:pPr>
        <w:pStyle w:val="Heading2"/>
        <w:keepNext/>
      </w:pPr>
      <w:r>
        <w:rPr>
          <w:rFonts w:ascii="Roboto" w:hAnsi="Roboto" w:eastAsia="Roboto"/>
        </w:rPr>
        <w:t>US-08 · Recibir informe web y PDF</w:t>
      </w:r>
    </w:p>
    <w:p>
      <w:pPr>
        <w:spacing w:after="120"/>
        <w:ind w:left="288"/>
      </w:pPr>
      <w:r>
        <w:rPr>
          <w:rStyle w:val="CodeChar"/>
        </w:rPr>
        <w:t>Dado que mi solicitud fue aceptada</w:t>
        <w:br/>
        <w:t>Cuando se genera el informe</w:t>
        <w:br/>
        <w:t>Entonces recibo un email de confirmación</w:t>
        <w:br/>
        <w:t>Y puedo abrir un enlace opaco y expirable</w:t>
        <w:br/>
        <w:t>Y puedo descargar el PDF completo</w:t>
      </w:r>
    </w:p>
    <w:p>
      <w:pPr>
        <w:pStyle w:val="Heading2"/>
        <w:keepNext/>
      </w:pPr>
      <w:r>
        <w:rPr>
          <w:rFonts w:ascii="Roboto" w:hAnsi="Roboto" w:eastAsia="Roboto"/>
        </w:rPr>
        <w:t>US-09 · Notificar al dueño en validation</w:t>
      </w:r>
    </w:p>
    <w:p>
      <w:pPr>
        <w:spacing w:after="120"/>
        <w:ind w:left="288"/>
      </w:pPr>
      <w:r>
        <w:rPr>
          <w:rStyle w:val="CodeChar"/>
        </w:rPr>
        <w:t>Dado que se crea una solicitud de informe</w:t>
        <w:br/>
        <w:t>Cuando termina la generación</w:t>
        <w:br/>
        <w:t>Entonces OWNER_EMAIL recibe asunto "[MorrowAge] Solicitud de informe &lt;id&gt;"</w:t>
        <w:br/>
        <w:t>Y el mensaje contiene inputs, resultados y el PDF completo</w:t>
        <w:br/>
        <w:t>Y esos datos no se copian a PostHog ni al dashboard admin</w:t>
      </w:r>
    </w:p>
    <w:p>
      <w:pPr>
        <w:pStyle w:val="Heading2"/>
        <w:keepNext/>
      </w:pPr>
      <w:r>
        <w:rPr>
          <w:rFonts w:ascii="Roboto" w:hAnsi="Roboto" w:eastAsia="Roboto"/>
        </w:rPr>
        <w:t>US-10 · Consultar metodología y límites</w:t>
      </w:r>
    </w:p>
    <w:p>
      <w:pPr>
        <w:spacing w:after="120"/>
        <w:ind w:left="288"/>
      </w:pPr>
      <w:r>
        <w:rPr>
          <w:rStyle w:val="CodeChar"/>
        </w:rPr>
        <w:t>Dado que veo un resultado</w:t>
        <w:br/>
        <w:t>Cuando abro metodología</w:t>
        <w:br/>
        <w:t>Entonces veo fuente del modelo, benchmark, versión, limitaciones y outputs bloqueados</w:t>
        <w:br/>
        <w:t>Y c-statistic 0.74 no se presenta como 74% accuracy</w:t>
      </w:r>
    </w:p>
    <w:p>
      <w:pPr>
        <w:pStyle w:val="Heading2"/>
        <w:keepNext/>
      </w:pPr>
      <w:r>
        <w:rPr>
          <w:rFonts w:ascii="Roboto" w:hAnsi="Roboto" w:eastAsia="Roboto"/>
        </w:rPr>
        <w:t>US-11 · Ejercer borrado</w:t>
      </w:r>
    </w:p>
    <w:p>
      <w:pPr>
        <w:spacing w:after="120"/>
        <w:ind w:left="288"/>
      </w:pPr>
      <w:r>
        <w:rPr>
          <w:rStyle w:val="CodeChar"/>
        </w:rPr>
        <w:t>Dado que tengo un informe o lead</w:t>
        <w:br/>
        <w:t>Cuando inicio una solicitud de borrado</w:t>
        <w:br/>
        <w:t>Entonces el sistema registra la petición</w:t>
        <w:br/>
        <w:t>Y permite resolver la supresión según obligaciones legales y de retención aplicables</w:t>
      </w:r>
    </w:p>
    <w:p>
      <w:pPr>
        <w:pStyle w:val="Heading2"/>
        <w:keepNext/>
      </w:pPr>
      <w:r>
        <w:rPr>
          <w:rFonts w:ascii="Roboto" w:hAnsi="Roboto" w:eastAsia="Roboto"/>
        </w:rPr>
        <w:t>US-12 · Operar leads desde admin mínimo</w:t>
      </w:r>
    </w:p>
    <w:p>
      <w:pPr>
        <w:spacing w:after="120"/>
        <w:ind w:left="288"/>
      </w:pPr>
      <w:r>
        <w:rPr>
          <w:rStyle w:val="CodeChar"/>
        </w:rPr>
        <w:t>Dado que soy administrador autenticado</w:t>
        <w:br/>
        <w:t>Cuando abro /admin</w:t>
        <w:br/>
        <w:t>Entonces veo leads, estados de embudo y reenvío</w:t>
        <w:br/>
        <w:t>Y no veo inputs de salud, resultados crudos ni report URLs</w:t>
      </w:r>
    </w:p>
    <w:p>
      <w:pPr>
        <w:pStyle w:val="Heading2"/>
        <w:keepNext/>
      </w:pPr>
      <w:r>
        <w:rPr>
          <w:rFonts w:ascii="Roboto" w:hAnsi="Roboto" w:eastAsia="Roboto"/>
        </w:rPr>
        <w:t>US-13 · Cobrar solo cuando Stripe está activado</w:t>
      </w:r>
    </w:p>
    <w:p>
      <w:pPr>
        <w:spacing w:after="120"/>
        <w:ind w:left="288"/>
      </w:pPr>
      <w:r>
        <w:rPr>
          <w:rStyle w:val="CodeChar"/>
        </w:rPr>
        <w:t>Dado que MONETIZATION_MODE=stripe y la feature flag está activa</w:t>
        <w:br/>
        <w:t>Cuando compro el informe</w:t>
        <w:br/>
        <w:t>Entonces Stripe crea un checkout</w:t>
        <w:br/>
        <w:t>Y el webhook se verifica por firma y es idempotente</w:t>
        <w:br/>
        <w:t>Y el PDF se entrega automáticamente tras pago confirmado</w:t>
      </w:r>
    </w:p>
    <w:p>
      <w:pPr>
        <w:pStyle w:val="Heading2"/>
        <w:keepNext/>
      </w:pPr>
      <w:r>
        <w:rPr>
          <w:rFonts w:ascii="Roboto" w:hAnsi="Roboto" w:eastAsia="Roboto"/>
        </w:rPr>
        <w:t>US-14 · Usar la app en ES, EN o PT</w:t>
      </w:r>
    </w:p>
    <w:p>
      <w:pPr>
        <w:spacing w:after="120"/>
        <w:ind w:left="288"/>
      </w:pPr>
      <w:r>
        <w:rPr>
          <w:rStyle w:val="CodeChar"/>
        </w:rPr>
        <w:t>Dado que cambio de locale</w:t>
        <w:br/>
        <w:t>Cuando navego por rutas públicas, assessment e informe</w:t>
        <w:br/>
        <w:t>Entonces copy, formatos y metadata se adaptan</w:t>
        <w:br/>
        <w:t>Y no cambia el resultado numérico del motor</w:t>
      </w:r>
    </w:p>
    <w:p>
      <w:pPr>
        <w:pStyle w:val="Heading2"/>
        <w:keepNext/>
      </w:pPr>
      <w:r>
        <w:rPr>
          <w:rFonts w:ascii="Roboto" w:hAnsi="Roboto" w:eastAsia="Roboto"/>
        </w:rPr>
        <w:t>US-15 · Usar la app con accesibilidad AA</w:t>
      </w:r>
    </w:p>
    <w:p>
      <w:pPr>
        <w:spacing w:after="120"/>
        <w:ind w:left="288"/>
      </w:pPr>
      <w:r>
        <w:rPr>
          <w:rStyle w:val="CodeChar"/>
        </w:rPr>
        <w:t>Dado que navego con teclado o lector de pantalla</w:t>
        <w:br/>
        <w:t>Cuando completo el flujo</w:t>
        <w:br/>
        <w:t>Entonces puedo operar todas las acciones</w:t>
        <w:br/>
        <w:t>Y los gráficos tienen equivalente textual/tabular</w:t>
        <w:br/>
        <w:t>Y los errores se anuncian sin depender solo de color</w:t>
      </w:r>
    </w:p>
    <w:p>
      <w:pPr>
        <w:pStyle w:val="Heading2"/>
        <w:keepNext/>
      </w:pPr>
      <w:r>
        <w:rPr>
          <w:rFonts w:ascii="Roboto" w:hAnsi="Roboto" w:eastAsia="Roboto"/>
        </w:rPr>
        <w:t>US-16 · Sobrevivir a un fallo de Google Drive</w:t>
      </w:r>
    </w:p>
    <w:p>
      <w:pPr>
        <w:spacing w:after="120"/>
        <w:ind w:left="288"/>
      </w:pPr>
      <w:r>
        <w:rPr>
          <w:rStyle w:val="CodeChar"/>
        </w:rPr>
        <w:t>Dado que existe una versión Drive previamente validada</w:t>
        <w:br/>
        <w:t>Cuando Drive no responde o el checksum falla</w:t>
        <w:br/>
        <w:t>Entonces la app usa la última versión válida cacheada</w:t>
        <w:br/>
        <w:t>Y Sentry registra el fallo sin exponer datos sensibles</w:t>
      </w:r>
    </w:p>
    <w:p>
      <w:pPr>
        <w:pStyle w:val="Heading2"/>
        <w:keepNext/>
      </w:pPr>
      <w:r>
        <w:rPr>
          <w:rFonts w:ascii="Roboto" w:hAnsi="Roboto" w:eastAsia="Roboto"/>
        </w:rPr>
        <w:t>US-17 · Explorar escenarios sin causalidad</w:t>
      </w:r>
    </w:p>
    <w:p>
      <w:pPr>
        <w:spacing w:after="120"/>
        <w:ind w:left="288"/>
      </w:pPr>
      <w:r>
        <w:rPr>
          <w:rStyle w:val="CodeChar"/>
        </w:rPr>
        <w:t>Dado que accedo al informe completo</w:t>
        <w:br/>
        <w:t>Cuando modifico hasta tres inputs dentro de guardrails</w:t>
        <w:br/>
        <w:t>Entonces veo el recálculo como escenario educativo</w:t>
        <w:br/>
        <w:t>Y no se generan recomendaciones automáticas que sugieran fumar, beber más o dormir menos</w:t>
      </w:r>
    </w:p>
    <w:p>
      <w:pPr>
        <w:pStyle w:val="Heading1"/>
        <w:keepNext/>
      </w:pPr>
      <w:r>
        <w:rPr>
          <w:rFonts w:ascii="Roboto" w:hAnsi="Roboto" w:eastAsia="Roboto"/>
        </w:rPr>
        <w:t>10. Requisitos FR-xx y NFR-xx</w:t>
      </w:r>
    </w:p>
    <w:p>
      <w:pPr>
        <w:pStyle w:val="Heading2"/>
        <w:keepNext/>
      </w:pPr>
      <w:r>
        <w:rPr>
          <w:rFonts w:ascii="Roboto" w:hAnsi="Roboto" w:eastAsia="Roboto"/>
        </w:rPr>
        <w:t>Requisitos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2E8F0"/>
          </w:tcPr>
          <w:p>
            <w:pPr>
              <w:jc w:val="left"/>
            </w:pPr>
            <w:r>
              <w:rPr>
                <w:rFonts w:ascii="Roboto" w:hAnsi="Roboto"/>
                <w:b/>
                <w:sz w:val="17"/>
              </w:rPr>
              <w:t>ID</w:t>
            </w:r>
          </w:p>
        </w:tc>
        <w:tc>
          <w:tcPr>
            <w:tcW w:type="dxa" w:w="5040"/>
            <w:shd w:fill="E2E8F0"/>
          </w:tcPr>
          <w:p>
            <w:pPr>
              <w:jc w:val="left"/>
            </w:pPr>
            <w:r>
              <w:rPr>
                <w:rFonts w:ascii="Roboto" w:hAnsi="Roboto"/>
                <w:b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FR-01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 xml:space="preserve">Renderizar landing, assessment, preview, gate, report, metodología, FAQ y legal en ES/EN/PT con </w:t>
            </w:r>
            <w:r>
              <w:rPr>
                <w:rStyle w:val="CodeChar"/>
                <w:sz w:val="16"/>
              </w:rPr>
              <w:t>next-intl</w:t>
            </w:r>
            <w:r>
              <w:rPr>
                <w:rFonts w:ascii="Roboto" w:hAnsi="Roboto" w:eastAsia="Roboto"/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FR-02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 xml:space="preserve">Validar los 8 inputs exactamente contra </w:t>
            </w:r>
            <w:r>
              <w:rPr>
                <w:rStyle w:val="CodeChar"/>
                <w:sz w:val="16"/>
              </w:rPr>
              <w:t>spec/inputs.schema.json</w:t>
            </w:r>
            <w:r>
              <w:rPr>
                <w:rFonts w:ascii="Roboto" w:hAnsi="Roboto" w:eastAsia="Roboto"/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FR-03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Normalizar unidades físicas y alcohol antes del motor sin alterar guardrails canónicos.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FR-04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Implementar test de reaction time versionado; valor final 250–1500 ms.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FR-05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 xml:space="preserve">Portar </w:t>
            </w:r>
            <w:r>
              <w:rPr>
                <w:rStyle w:val="CodeChar"/>
                <w:sz w:val="16"/>
              </w:rPr>
              <w:t>model/engine_reference.py</w:t>
            </w:r>
            <w:r>
              <w:rPr>
                <w:rFonts w:ascii="Roboto" w:hAnsi="Roboto" w:eastAsia="Roboto"/>
                <w:sz w:val="16"/>
              </w:rPr>
              <w:t xml:space="preserve"> a TypeScript sin cambiar matemática; </w:t>
            </w:r>
            <w:r>
              <w:rPr>
                <w:rStyle w:val="CodeChar"/>
                <w:sz w:val="16"/>
              </w:rPr>
              <w:t>spec/test_vectors.json</w:t>
            </w:r>
            <w:r>
              <w:rPr>
                <w:rFonts w:ascii="Roboto" w:hAnsi="Roboto" w:eastAsia="Roboto"/>
                <w:sz w:val="16"/>
              </w:rPr>
              <w:t xml:space="preserve"> debe pasar 18/18.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FR-06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 xml:space="preserve">Aplicar </w:t>
            </w:r>
            <w:r>
              <w:rPr>
                <w:rStyle w:val="CodeChar"/>
                <w:sz w:val="16"/>
              </w:rPr>
              <w:t>morrow_age_display</w:t>
            </w:r>
            <w:r>
              <w:rPr>
                <w:rFonts w:ascii="Roboto" w:hAnsi="Roboto" w:eastAsia="Roboto"/>
                <w:sz w:val="16"/>
              </w:rPr>
              <w:t xml:space="preserve"> seguro: exacto solo 40–69; </w:t>
            </w:r>
            <w:r>
              <w:rPr>
                <w:rStyle w:val="CodeChar"/>
                <w:sz w:val="16"/>
              </w:rPr>
              <w:t>&lt;40</w:t>
            </w:r>
            <w:r>
              <w:rPr>
                <w:rFonts w:ascii="Roboto" w:hAnsi="Roboto" w:eastAsia="Roboto"/>
                <w:sz w:val="16"/>
              </w:rPr>
              <w:t>/</w:t>
            </w:r>
            <w:r>
              <w:rPr>
                <w:rStyle w:val="CodeChar"/>
                <w:sz w:val="16"/>
              </w:rPr>
              <w:t>&gt;69</w:t>
            </w:r>
            <w:r>
              <w:rPr>
                <w:rFonts w:ascii="Roboto" w:hAnsi="Roboto" w:eastAsia="Roboto"/>
                <w:sz w:val="16"/>
              </w:rPr>
              <w:t xml:space="preserve"> fuera.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FR-07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 xml:space="preserve">Preview gratis incluye los outputs definidos como </w:t>
            </w:r>
            <w:r>
              <w:rPr>
                <w:rStyle w:val="CodeChar"/>
                <w:sz w:val="16"/>
              </w:rPr>
              <w:t>free_preview</w:t>
            </w:r>
            <w:r>
              <w:rPr>
                <w:rFonts w:ascii="Roboto" w:hAnsi="Roboto" w:eastAsia="Roboto"/>
                <w:sz w:val="16"/>
              </w:rPr>
              <w:t xml:space="preserve"> en </w:t>
            </w:r>
            <w:r>
              <w:rPr>
                <w:rStyle w:val="CodeChar"/>
                <w:sz w:val="16"/>
              </w:rPr>
              <w:t>spec/outputs_spec.json</w:t>
            </w:r>
            <w:r>
              <w:rPr>
                <w:rFonts w:ascii="Roboto" w:hAnsi="Roboto" w:eastAsia="Roboto"/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FR-08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Gate validation captura email, consentimiento de servicio y marketing opcional separado.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FR-09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Persistir leads, cálculos y pedidos en Supabase con separación de datos sensibles y RLS.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FR-10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En validation, Resend envía confirmación al usuario.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FR-11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 xml:space="preserve">En validation, Resend envía a </w:t>
            </w:r>
            <w:r>
              <w:rPr>
                <w:rStyle w:val="CodeChar"/>
                <w:sz w:val="16"/>
              </w:rPr>
              <w:t>OWNER_EMAIL</w:t>
            </w:r>
            <w:r>
              <w:rPr>
                <w:rFonts w:ascii="Roboto" w:hAnsi="Roboto" w:eastAsia="Roboto"/>
                <w:sz w:val="16"/>
              </w:rPr>
              <w:t xml:space="preserve"> asunto </w:t>
            </w:r>
            <w:r>
              <w:rPr>
                <w:rStyle w:val="CodeChar"/>
                <w:sz w:val="16"/>
              </w:rPr>
              <w:t>[MorrowAge] Solicitud de informe &lt;id&gt;</w:t>
            </w:r>
            <w:r>
              <w:rPr>
                <w:rFonts w:ascii="Roboto" w:hAnsi="Roboto" w:eastAsia="Roboto"/>
                <w:sz w:val="16"/>
              </w:rPr>
              <w:t>, inputs, resultados y PDF completo; prohibido replicar ese payload a analytics/admin.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FR-12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 xml:space="preserve">Generar informe web y PDF con </w:t>
            </w:r>
            <w:r>
              <w:rPr>
                <w:rStyle w:val="CodeChar"/>
                <w:sz w:val="16"/>
              </w:rPr>
              <w:t>@react-pdf/renderer</w:t>
            </w:r>
            <w:r>
              <w:rPr>
                <w:rFonts w:ascii="Roboto" w:hAnsi="Roboto" w:eastAsia="Roboto"/>
                <w:sz w:val="16"/>
              </w:rPr>
              <w:t xml:space="preserve"> conforme a </w:t>
            </w:r>
            <w:r>
              <w:rPr>
                <w:rStyle w:val="CodeChar"/>
                <w:sz w:val="16"/>
              </w:rPr>
              <w:t>ux/report_layout.md</w:t>
            </w:r>
            <w:r>
              <w:rPr>
                <w:rFonts w:ascii="Roboto" w:hAnsi="Roboto" w:eastAsia="Roboto"/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FR-13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 xml:space="preserve">Los tokens de informe son aleatorios, se almacenan hasheados y expiran según </w:t>
            </w:r>
            <w:r>
              <w:rPr>
                <w:rStyle w:val="CodeChar"/>
                <w:sz w:val="16"/>
              </w:rPr>
              <w:t>REPORT_TOKEN_TTL_HOURS</w:t>
            </w:r>
            <w:r>
              <w:rPr>
                <w:rFonts w:ascii="Roboto" w:hAnsi="Roboto" w:eastAsia="Roboto"/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FR-14</w:t>
            </w:r>
          </w:p>
        </w:tc>
        <w:tc>
          <w:tcPr>
            <w:tcW w:type="dxa" w:w="5040"/>
            <w:vAlign w:val="top"/>
          </w:tcPr>
          <w:p>
            <w:r>
              <w:rPr>
                <w:rStyle w:val="CodeChar"/>
                <w:sz w:val="16"/>
              </w:rPr>
              <w:t>/admin</w:t>
            </w:r>
            <w:r>
              <w:rPr>
                <w:rFonts w:ascii="Roboto" w:hAnsi="Roboto" w:eastAsia="Roboto"/>
                <w:sz w:val="16"/>
              </w:rPr>
              <w:t xml:space="preserve"> muestra leads, funnel y acción de reenvío; no expone inputs/resultados/tokens.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FR-15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 xml:space="preserve">Emitir solo eventos y propiedades permitidos por </w:t>
            </w:r>
            <w:r>
              <w:rPr>
                <w:rStyle w:val="CodeChar"/>
                <w:sz w:val="16"/>
              </w:rPr>
              <w:t>spec/analytics_events.json</w:t>
            </w:r>
            <w:r>
              <w:rPr>
                <w:rFonts w:ascii="Roboto" w:hAnsi="Roboto" w:eastAsia="Roboto"/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FR-16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 xml:space="preserve">Leer </w:t>
            </w:r>
            <w:r>
              <w:rPr>
                <w:rStyle w:val="CodeChar"/>
                <w:sz w:val="16"/>
              </w:rPr>
              <w:t>/Apps/morrowage/</w:t>
            </w:r>
            <w:r>
              <w:rPr>
                <w:rFonts w:ascii="Roboto" w:hAnsi="Roboto" w:eastAsia="Roboto"/>
                <w:sz w:val="16"/>
              </w:rPr>
              <w:t xml:space="preserve"> por nombre de archivo, comprobar checksum de </w:t>
            </w:r>
            <w:r>
              <w:rPr>
                <w:rStyle w:val="CodeChar"/>
                <w:sz w:val="16"/>
              </w:rPr>
              <w:t>spec/drive_manifest.json</w:t>
            </w:r>
            <w:r>
              <w:rPr>
                <w:rFonts w:ascii="Roboto" w:hAnsi="Roboto" w:eastAsia="Roboto"/>
                <w:sz w:val="16"/>
              </w:rPr>
              <w:t>, cachear 24 h y usar última versión válida ante fallo.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FR-17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 xml:space="preserve">Implementar </w:t>
            </w:r>
            <w:r>
              <w:rPr>
                <w:rStyle w:val="CodeChar"/>
                <w:sz w:val="16"/>
              </w:rPr>
              <w:t>npm run drive:sync</w:t>
            </w:r>
            <w:r>
              <w:rPr>
                <w:rFonts w:ascii="Roboto" w:hAnsi="Roboto" w:eastAsia="Roboto"/>
                <w:sz w:val="16"/>
              </w:rPr>
              <w:t xml:space="preserve"> para subir </w:t>
            </w:r>
            <w:r>
              <w:rPr>
                <w:rStyle w:val="CodeChar"/>
                <w:sz w:val="16"/>
              </w:rPr>
              <w:t>drive/</w:t>
            </w:r>
            <w:r>
              <w:rPr>
                <w:rFonts w:ascii="Roboto" w:hAnsi="Roboto" w:eastAsia="Roboto"/>
                <w:sz w:val="16"/>
              </w:rPr>
              <w:t xml:space="preserve"> a </w:t>
            </w:r>
            <w:r>
              <w:rPr>
                <w:rStyle w:val="CodeChar"/>
                <w:sz w:val="16"/>
              </w:rPr>
              <w:t>GOOGLE_DRIVE_FOLDER_ID</w:t>
            </w:r>
            <w:r>
              <w:rPr>
                <w:rFonts w:ascii="Roboto" w:hAnsi="Roboto" w:eastAsia="Roboto"/>
                <w:sz w:val="16"/>
              </w:rPr>
              <w:t xml:space="preserve"> conservando estructura.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FR-18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Publicar metodología y model card desde archivos canónicos sin inventar claims.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FR-19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Implementar flujo de solicitud de borrado y trazabilidad operacional.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FR-20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 xml:space="preserve">Stripe permanece detrás de </w:t>
            </w:r>
            <w:r>
              <w:rPr>
                <w:rStyle w:val="CodeChar"/>
                <w:sz w:val="16"/>
              </w:rPr>
              <w:t>MONETIZATION_MODE=stripe</w:t>
            </w:r>
            <w:r>
              <w:rPr>
                <w:rFonts w:ascii="Roboto" w:hAnsi="Roboto" w:eastAsia="Roboto"/>
                <w:sz w:val="16"/>
              </w:rPr>
              <w:t xml:space="preserve"> y </w:t>
            </w:r>
            <w:r>
              <w:rPr>
                <w:rStyle w:val="CodeChar"/>
                <w:sz w:val="16"/>
              </w:rPr>
              <w:t>STRIPE_ENABLED=true</w:t>
            </w:r>
            <w:r>
              <w:rPr>
                <w:rFonts w:ascii="Roboto" w:hAnsi="Roboto" w:eastAsia="Roboto"/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FR-21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Webhook Stripe firmado e idempotente; no entregar por evento duplicado.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FR-22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Soportar lista de espera de suscripción sin activar cobro recurrente en MVP.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FR-23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Proteger endpoints de gate/report/admin con Turnstile cuando aplique y rate limit.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FR-24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Publicar SEO indexable solo en landing, how-it-works, methodology, FAQ, legal y contenidos localizados permitidos.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FR-25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 xml:space="preserve">Mantener </w:t>
            </w:r>
            <w:r>
              <w:rPr>
                <w:rStyle w:val="CodeChar"/>
                <w:sz w:val="16"/>
              </w:rPr>
              <w:t>mortality_risk_10y</w:t>
            </w:r>
            <w:r>
              <w:rPr>
                <w:rFonts w:ascii="Roboto" w:hAnsi="Roboto" w:eastAsia="Roboto"/>
                <w:sz w:val="16"/>
              </w:rPr>
              <w:t xml:space="preserve"> y </w:t>
            </w:r>
            <w:r>
              <w:rPr>
                <w:rStyle w:val="CodeChar"/>
                <w:sz w:val="16"/>
              </w:rPr>
              <w:t>country_percentile</w:t>
            </w:r>
            <w:r>
              <w:rPr>
                <w:rFonts w:ascii="Roboto" w:hAnsi="Roboto" w:eastAsia="Roboto"/>
                <w:sz w:val="16"/>
              </w:rPr>
              <w:t xml:space="preserve"> bloqueados hasta que un cambio versionado de spec los habilite.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FR-26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Asignar Verification ID y model/app version a cada informe.</w:t>
            </w:r>
          </w:p>
        </w:tc>
      </w:tr>
    </w:tbl>
    <w:p/>
    <w:p>
      <w:pPr>
        <w:pStyle w:val="Heading2"/>
        <w:keepNext/>
      </w:pPr>
      <w:r>
        <w:rPr>
          <w:rFonts w:ascii="Roboto" w:hAnsi="Roboto" w:eastAsia="Roboto"/>
        </w:rPr>
        <w:t>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E2E8F0"/>
          </w:tcPr>
          <w:p>
            <w:pPr>
              <w:jc w:val="left"/>
            </w:pPr>
            <w:r>
              <w:rPr>
                <w:rFonts w:ascii="Roboto" w:hAnsi="Roboto"/>
                <w:b/>
                <w:sz w:val="17"/>
              </w:rPr>
              <w:t>ID</w:t>
            </w:r>
          </w:p>
        </w:tc>
        <w:tc>
          <w:tcPr>
            <w:tcW w:type="dxa" w:w="5040"/>
            <w:shd w:fill="E2E8F0"/>
          </w:tcPr>
          <w:p>
            <w:pPr>
              <w:jc w:val="left"/>
            </w:pPr>
            <w:r>
              <w:rPr>
                <w:rFonts w:ascii="Roboto" w:hAnsi="Roboto"/>
                <w:b/>
                <w:sz w:val="17"/>
              </w:rPr>
              <w:t>Requisito / criterio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NFR-01 Rendimiento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p95 de route handlers interactivos &lt;2 s en producción, excluyendo latencia de checkout externo; cálculo puro objetivo &lt;50 ms.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NFR-02 Lighthouse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Lighthouse móvil &gt;=90 en Performance, Accessibility, Best Practices y SEO en rutas públicas críticas.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NFR-03 Seguridad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TypeScript strict, validación server-side, CSP, HSTS, cookies seguras, CSRF donde aplique, secretos solo server, firma Stripe, Turnstile, rate limit, dependencias auditadas.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NFR-04 Privacidad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Minimización, purpose limitation, separación analytics/operación, tokens opacos, retención configurable, DSR, no PII/health payload en logs.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NFR-05 Accesibilidad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 xml:space="preserve">WCAG 2.2 AA, teclado completo, focus visible, touch target &gt;=44×44 px, </w:t>
            </w:r>
            <w:r>
              <w:rPr>
                <w:rStyle w:val="CodeChar"/>
                <w:sz w:val="16"/>
              </w:rPr>
              <w:t>aria-live</w:t>
            </w:r>
            <w:r>
              <w:rPr>
                <w:rFonts w:ascii="Roboto" w:hAnsi="Roboto" w:eastAsia="Roboto"/>
                <w:sz w:val="16"/>
              </w:rPr>
              <w:t>, tablas alternativas para gráficos.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NFR-06 i18n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Paridad funcional ES/EN/PT; locale estable en URL/cookie; números/unidades localizados sin cambiar inputs canónicos del motor.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NFR-07 Costo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En validation, costo incremental objetivo de generación+email &lt;=US$0.05 por informe fuera de planes fijos. En stripe, mantener costo variable modelado &lt;=US$1 por informe de US$19 antes de impuestos, soporte, chargebacks y costos fijos.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NFR-08 Resiliencia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Drive: última versión válida; email: retry controlado; webhook idempotente; errores del motor no muestran parciales.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NFR-09 Observabilidad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Sentry para excepciones/performance y PostHog para funnel; scrub de PII y datos de salud.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NFR-10 Testabilidad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 xml:space="preserve">Vitest unit/integration + Playwright e2e; </w:t>
            </w:r>
            <w:r>
              <w:rPr>
                <w:rStyle w:val="CodeChar"/>
                <w:sz w:val="16"/>
              </w:rPr>
              <w:t>test_vectors.json</w:t>
            </w:r>
            <w:r>
              <w:rPr>
                <w:rFonts w:ascii="Roboto" w:hAnsi="Roboto" w:eastAsia="Roboto"/>
                <w:sz w:val="16"/>
              </w:rPr>
              <w:t xml:space="preserve"> obligatorio en CI.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>NFR-11 Mantenibilidad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Roboto" w:hAnsi="Roboto" w:eastAsia="Roboto"/>
                <w:sz w:val="16"/>
              </w:rPr>
              <w:t xml:space="preserve">decisiones nuevas en </w:t>
            </w:r>
            <w:r>
              <w:rPr>
                <w:rStyle w:val="CodeChar"/>
                <w:sz w:val="16"/>
              </w:rPr>
              <w:t>DECISIONS.md</w:t>
            </w:r>
            <w:r>
              <w:rPr>
                <w:rFonts w:ascii="Roboto" w:hAnsi="Roboto" w:eastAsia="Roboto"/>
                <w:sz w:val="16"/>
              </w:rPr>
              <w:t>, no duplicar constantes de modelo, schemas versionados y API OpenAPI 3.1.</w:t>
            </w:r>
          </w:p>
        </w:tc>
      </w:tr>
    </w:tbl>
    <w:p/>
    <w:p>
      <w:pPr>
        <w:pStyle w:val="Heading1"/>
        <w:keepNext/>
      </w:pPr>
      <w:r>
        <w:rPr>
          <w:rFonts w:ascii="Roboto" w:hAnsi="Roboto" w:eastAsia="Roboto"/>
        </w:rPr>
        <w:t>11. Inputs</w:t>
      </w:r>
    </w:p>
    <w:p>
      <w:r>
        <w:rPr>
          <w:rFonts w:ascii="Roboto" w:hAnsi="Roboto" w:eastAsia="Roboto"/>
        </w:rPr>
        <w:t xml:space="preserve">La definición exhaustiva vive en </w:t>
      </w:r>
      <w:r>
        <w:rPr>
          <w:rStyle w:val="CodeChar"/>
        </w:rPr>
        <w:t>spec/inputs.schema.json</w:t>
      </w:r>
      <w:r>
        <w:rPr>
          <w:rFonts w:ascii="Roboto" w:hAnsi="Roboto" w:eastAsia="Roboto"/>
        </w:rPr>
        <w:t xml:space="preserve"> y la UX asociada en </w:t>
      </w:r>
      <w:r>
        <w:rPr>
          <w:rStyle w:val="CodeChar"/>
        </w:rPr>
        <w:t>ux/ux_spec.md</w:t>
      </w:r>
      <w:r>
        <w:rPr>
          <w:rFonts w:ascii="Roboto" w:hAnsi="Roboto" w:eastAsia="Roboto"/>
        </w:rPr>
        <w:t xml:space="preserve">. La implementación </w:t>
      </w:r>
      <w:r>
        <w:rPr>
          <w:rFonts w:ascii="Roboto" w:hAnsi="Roboto" w:eastAsia="Roboto"/>
          <w:b/>
        </w:rPr>
        <w:t>no debe duplicar ni reinterpretar rangos</w:t>
      </w:r>
      <w:r>
        <w:rPr>
          <w:rFonts w:ascii="Roboto" w:hAnsi="Roboto" w:eastAsia="Roboto"/>
        </w:rPr>
        <w:t xml:space="preserve"> en componentes; los formularios consumen un adaptador tipado generado desde el schema.</w:t>
      </w:r>
    </w:p>
    <w:p>
      <w:r>
        <w:rPr>
          <w:rFonts w:ascii="Roboto" w:hAnsi="Roboto" w:eastAsia="Roboto"/>
        </w:rPr>
        <w:t xml:space="preserve">Inputs canónicos: </w:t>
      </w:r>
      <w:r>
        <w:rPr>
          <w:rStyle w:val="CodeChar"/>
        </w:rPr>
        <w:t>age_years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sleep_hours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self_rated_health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cigarettes_per_day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reaction_time_ms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waist_to_height_ratio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alcohol_units_week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resting_hr_bpm</w:t>
      </w:r>
      <w:r>
        <w:rPr>
          <w:rFonts w:ascii="Roboto" w:hAnsi="Roboto" w:eastAsia="Roboto"/>
        </w:rPr>
        <w:t>.</w:t>
      </w:r>
    </w:p>
    <w:p>
      <w:r>
        <w:rPr>
          <w:rFonts w:ascii="Roboto" w:hAnsi="Roboto" w:eastAsia="Roboto"/>
        </w:rPr>
        <w:t>La UI puede capturar cintura/altura en cm o pulgadas y alcohol en formatos locales, pero antes del cálculo debe normalizar a WHtR y UK units/week. Ningún default puede inferir una respuesta de salud.</w:t>
      </w:r>
    </w:p>
    <w:p>
      <w:pPr>
        <w:pStyle w:val="Heading1"/>
        <w:keepNext/>
      </w:pPr>
      <w:r>
        <w:rPr>
          <w:rFonts w:ascii="Roboto" w:hAnsi="Roboto" w:eastAsia="Roboto"/>
        </w:rPr>
        <w:t>12. Modelo</w:t>
      </w:r>
    </w:p>
    <w:p>
      <w:r>
        <w:rPr>
          <w:rFonts w:ascii="Roboto" w:hAnsi="Roboto" w:eastAsia="Roboto"/>
        </w:rPr>
        <w:t xml:space="preserve">Fuente de verdad: </w:t>
      </w:r>
      <w:r>
        <w:rPr>
          <w:rStyle w:val="CodeChar"/>
        </w:rPr>
        <w:t>spec/model_spec.json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model/engine_reference.py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model/qa_engine.py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model/model_card.md</w:t>
      </w:r>
      <w:r>
        <w:rPr>
          <w:rFonts w:ascii="Roboto" w:hAnsi="Roboto" w:eastAsia="Roboto"/>
        </w:rPr>
        <w:t xml:space="preserve"> y </w:t>
      </w:r>
      <w:r>
        <w:rPr>
          <w:rStyle w:val="CodeChar"/>
        </w:rPr>
        <w:t>spec/test_vectors.json</w:t>
      </w:r>
      <w:r>
        <w:rPr>
          <w:rFonts w:ascii="Roboto" w:hAnsi="Roboto" w:eastAsia="Roboto"/>
        </w:rPr>
        <w:t>.</w:t>
      </w:r>
    </w:p>
    <w:p>
      <w:r>
        <w:rPr>
          <w:rFonts w:ascii="Roboto" w:hAnsi="Roboto" w:eastAsia="Roboto"/>
        </w:rPr>
        <w:t>La implementación TypeScript debe ser una traducción directa del wrapper v2.1. El cálculo principal produce hazard relativo frente al benchmark y MorrowAge mediante inversión del término de edad del Cox publicado. No se usa LLM. No se implementa el C-Score propietario. La supervivencia basal a 10 años no está disponible en la fuente seleccionada y no se inventa.</w:t>
      </w:r>
    </w:p>
    <w:p>
      <w:pPr>
        <w:pStyle w:val="Heading1"/>
        <w:keepNext/>
      </w:pPr>
      <w:r>
        <w:rPr>
          <w:rFonts w:ascii="Roboto" w:hAnsi="Roboto" w:eastAsia="Roboto"/>
        </w:rPr>
        <w:t>13. Base de datos y Drive</w:t>
      </w:r>
    </w:p>
    <w:p>
      <w:r>
        <w:rPr>
          <w:rFonts w:ascii="Roboto" w:hAnsi="Roboto" w:eastAsia="Roboto"/>
        </w:rPr>
        <w:t xml:space="preserve">El esquema SQL completo y RLS están en </w:t>
      </w:r>
      <w:r>
        <w:rPr>
          <w:rStyle w:val="CodeChar"/>
        </w:rPr>
        <w:t>spec/db_schema.sql</w:t>
      </w:r>
      <w:r>
        <w:rPr>
          <w:rFonts w:ascii="Roboto" w:hAnsi="Roboto" w:eastAsia="Roboto"/>
        </w:rPr>
        <w:t xml:space="preserve">. La interfaz HTTP está en </w:t>
      </w:r>
      <w:r>
        <w:rPr>
          <w:rStyle w:val="CodeChar"/>
        </w:rPr>
        <w:t>spec/openapi.yaml</w:t>
      </w:r>
      <w:r>
        <w:rPr>
          <w:rFonts w:ascii="Roboto" w:hAnsi="Roboto" w:eastAsia="Roboto"/>
        </w:rPr>
        <w:t>.</w:t>
      </w:r>
    </w:p>
    <w:p>
      <w:r>
        <w:rPr>
          <w:rFonts w:ascii="Roboto" w:hAnsi="Roboto" w:eastAsia="Roboto"/>
        </w:rPr>
        <w:t xml:space="preserve">Drive se gobierna por </w:t>
      </w:r>
      <w:r>
        <w:rPr>
          <w:rStyle w:val="CodeChar"/>
        </w:rPr>
        <w:t>spec/drive_manifest.json</w:t>
      </w:r>
      <w:r>
        <w:rPr>
          <w:rFonts w:ascii="Roboto" w:hAnsi="Roboto" w:eastAsia="Roboto"/>
        </w:rPr>
        <w:t xml:space="preserve"> y el contenido exacto de </w:t>
      </w:r>
      <w:r>
        <w:rPr>
          <w:rStyle w:val="CodeChar"/>
        </w:rPr>
        <w:t>drive/</w:t>
      </w:r>
      <w:r>
        <w:rPr>
          <w:rFonts w:ascii="Roboto" w:hAnsi="Roboto" w:eastAsia="Roboto"/>
        </w:rPr>
        <w:t xml:space="preserve">. La app usa una service account, resuelve los archivos bajo </w:t>
      </w:r>
      <w:r>
        <w:rPr>
          <w:rStyle w:val="CodeChar"/>
        </w:rPr>
        <w:t>/Apps/morrowage/</w:t>
      </w:r>
      <w:r>
        <w:rPr>
          <w:rFonts w:ascii="Roboto" w:hAnsi="Roboto" w:eastAsia="Roboto"/>
        </w:rPr>
        <w:t xml:space="preserve">, verifica SHA-256, cachea 86,400 s y mantiene un snapshot de última versión válida. El procedimiento de configuración está en </w:t>
      </w:r>
      <w:r>
        <w:rPr>
          <w:rStyle w:val="CodeChar"/>
        </w:rPr>
        <w:t>docs/DRIVE_SETUP.md</w:t>
      </w:r>
      <w:r>
        <w:rPr>
          <w:rFonts w:ascii="Roboto" w:hAnsi="Roboto" w:eastAsia="Roboto"/>
        </w:rPr>
        <w:t>.</w:t>
      </w:r>
    </w:p>
    <w:p>
      <w:r>
        <w:rPr>
          <w:rFonts w:ascii="Roboto" w:hAnsi="Roboto" w:eastAsia="Roboto"/>
        </w:rPr>
        <w:t>Supabase almacena: cálculos sensibles de retención corta, leads, informes/tokens, pedidos, eventos de webhook y solicitudes de borrado. El dashboard admin no consulta directamente la tabla de cálculos sensibles.</w:t>
      </w:r>
    </w:p>
    <w:p>
      <w:pPr>
        <w:pStyle w:val="Heading1"/>
        <w:keepNext/>
      </w:pPr>
      <w:r>
        <w:rPr>
          <w:rFonts w:ascii="Roboto" w:hAnsi="Roboto" w:eastAsia="Roboto"/>
        </w:rPr>
        <w:t>14. Outputs y niveles de acceso</w:t>
      </w:r>
    </w:p>
    <w:p>
      <w:r>
        <w:rPr>
          <w:rFonts w:ascii="Roboto" w:hAnsi="Roboto" w:eastAsia="Roboto"/>
        </w:rPr>
        <w:t xml:space="preserve">La lista autoritativa vive en </w:t>
      </w:r>
      <w:r>
        <w:rPr>
          <w:rStyle w:val="CodeChar"/>
        </w:rPr>
        <w:t>spec/outputs_spec.json</w:t>
      </w:r>
      <w:r>
        <w:rPr>
          <w:rFonts w:ascii="Roboto" w:hAnsi="Roboto" w:eastAsia="Roboto"/>
        </w:rPr>
        <w:t>. Reglas:</w:t>
      </w:r>
    </w:p>
    <w:p>
      <w:pPr>
        <w:pStyle w:val="ListBullet"/>
      </w:pPr>
      <w:r>
        <w:rPr>
          <w:rFonts w:ascii="Roboto" w:hAnsi="Roboto" w:eastAsia="Roboto"/>
        </w:rPr>
        <w:t xml:space="preserve">Gratis: </w:t>
      </w:r>
      <w:r>
        <w:rPr>
          <w:rStyle w:val="CodeChar"/>
        </w:rPr>
        <w:t>morrow_age_display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morrow_age_status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relative_hazard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preview_chart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preview_driver</w:t>
      </w:r>
      <w:r>
        <w:rPr>
          <w:rFonts w:ascii="Roboto" w:hAnsi="Roboto" w:eastAsia="Roboto"/>
        </w:rPr>
        <w:t>.</w:t>
      </w:r>
    </w:p>
    <w:p>
      <w:pPr>
        <w:pStyle w:val="ListBullet"/>
      </w:pPr>
      <w:r>
        <w:rPr>
          <w:rFonts w:ascii="Roboto" w:hAnsi="Roboto" w:eastAsia="Roboto"/>
        </w:rPr>
        <w:t xml:space="preserve">Informe completo: </w:t>
      </w:r>
      <w:r>
        <w:rPr>
          <w:rStyle w:val="CodeChar"/>
        </w:rPr>
        <w:t>measurement_sensitivity_range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all_drivers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what_if_scenarios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action_plan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methodology</w:t>
      </w:r>
      <w:r>
        <w:rPr>
          <w:rFonts w:ascii="Roboto" w:hAnsi="Roboto" w:eastAsia="Roboto"/>
        </w:rPr>
        <w:t>.</w:t>
      </w:r>
    </w:p>
    <w:p>
      <w:pPr>
        <w:pStyle w:val="ListBullet"/>
      </w:pPr>
      <w:r>
        <w:rPr>
          <w:rFonts w:ascii="Roboto" w:hAnsi="Roboto" w:eastAsia="Roboto"/>
        </w:rPr>
        <w:t xml:space="preserve">Condicional/bloqueado: </w:t>
      </w:r>
      <w:r>
        <w:rPr>
          <w:rStyle w:val="CodeChar"/>
        </w:rPr>
        <w:t>country_percentile</w:t>
      </w:r>
      <w:r>
        <w:rPr>
          <w:rFonts w:ascii="Roboto" w:hAnsi="Roboto" w:eastAsia="Roboto"/>
        </w:rPr>
        <w:t xml:space="preserve"> solo tras validación local; </w:t>
      </w:r>
      <w:r>
        <w:rPr>
          <w:rStyle w:val="CodeChar"/>
        </w:rPr>
        <w:t>mortality_risk_10y</w:t>
      </w:r>
      <w:r>
        <w:rPr>
          <w:rFonts w:ascii="Roboto" w:hAnsi="Roboto" w:eastAsia="Roboto"/>
        </w:rPr>
        <w:t xml:space="preserve"> bloqueado hasta recalibración.</w:t>
      </w:r>
    </w:p>
    <w:p>
      <w:pPr>
        <w:pStyle w:val="ListBullet"/>
      </w:pPr>
      <w:r>
        <w:rPr>
          <w:rFonts w:ascii="Roboto" w:hAnsi="Roboto" w:eastAsia="Roboto"/>
        </w:rPr>
        <w:t>La UI nunca muestra raw MorrowAge exacto fuera de 40–69.</w:t>
      </w:r>
    </w:p>
    <w:p>
      <w:pPr>
        <w:pStyle w:val="Heading1"/>
        <w:keepNext/>
      </w:pPr>
      <w:r>
        <w:rPr>
          <w:rFonts w:ascii="Roboto" w:hAnsi="Roboto" w:eastAsia="Roboto"/>
        </w:rPr>
        <w:t>15. UX/UI</w:t>
      </w:r>
    </w:p>
    <w:p>
      <w:r>
        <w:rPr>
          <w:rFonts w:ascii="Roboto" w:hAnsi="Roboto" w:eastAsia="Roboto"/>
        </w:rPr>
        <w:t xml:space="preserve">Especificación canónica: </w:t>
      </w:r>
      <w:r>
        <w:rPr>
          <w:rStyle w:val="CodeChar"/>
        </w:rPr>
        <w:t>ux/ux_spec.md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ux/components.md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ux/sitemap_flows.md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spec/design_tokens.json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spec/copy_i18n.json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ux/prototype.html</w:t>
      </w:r>
      <w:r>
        <w:rPr>
          <w:rFonts w:ascii="Roboto" w:hAnsi="Roboto" w:eastAsia="Roboto"/>
        </w:rPr>
        <w:t>.</w:t>
      </w:r>
    </w:p>
    <w:p>
      <w:r>
        <w:rPr>
          <w:rFonts w:ascii="Roboto" w:hAnsi="Roboto" w:eastAsia="Roboto"/>
        </w:rPr>
        <w:t>Principios que no se negocian: un CTA primario por pantalla; calma científica; sin semáforo clínico; labels persistentes; errores inline; diseño móvil-first; 8 pasos visibles; resultados con whitespace; hazard relativo secundario; fuentes y limitaciones cerca del resultado; reduced motion.</w:t>
      </w:r>
    </w:p>
    <w:p>
      <w:r>
        <w:rPr>
          <w:rFonts w:ascii="Roboto" w:hAnsi="Roboto" w:eastAsia="Roboto"/>
        </w:rPr>
        <w:t>El prototipo es referencia funcional y visual, no código production-ready.</w:t>
      </w:r>
    </w:p>
    <w:p>
      <w:pPr>
        <w:pStyle w:val="Heading1"/>
        <w:keepNext/>
      </w:pPr>
      <w:r>
        <w:rPr>
          <w:rFonts w:ascii="Roboto" w:hAnsi="Roboto" w:eastAsia="Roboto"/>
        </w:rPr>
        <w:t>16. Informe PDF</w:t>
      </w:r>
    </w:p>
    <w:p>
      <w:r>
        <w:rPr>
          <w:rFonts w:ascii="Roboto" w:hAnsi="Roboto" w:eastAsia="Roboto"/>
        </w:rPr>
        <w:t xml:space="preserve">Layout autoritativo: </w:t>
      </w:r>
      <w:r>
        <w:rPr>
          <w:rStyle w:val="CodeChar"/>
        </w:rPr>
        <w:t>ux/report_layout.md</w:t>
      </w:r>
      <w:r>
        <w:rPr>
          <w:rFonts w:ascii="Roboto" w:hAnsi="Roboto" w:eastAsia="Roboto"/>
        </w:rPr>
        <w:t xml:space="preserve">. Máximo recomendado v1: 8 páginas. El PDF refleja el informe web y no introduce claims adicionales. Se genera con </w:t>
      </w:r>
      <w:r>
        <w:rPr>
          <w:rStyle w:val="CodeChar"/>
        </w:rPr>
        <w:t>@react-pdf/renderer</w:t>
      </w:r>
      <w:r>
        <w:rPr>
          <w:rFonts w:ascii="Roboto" w:hAnsi="Roboto" w:eastAsia="Roboto"/>
        </w:rPr>
        <w:t>, incluye Verification ID, model version, fecha, locale, resumen, significado/no-significado, sensibilidad, drivers, escenarios, metodología, fuentes, privacidad y disclaimer.</w:t>
      </w:r>
    </w:p>
    <w:p>
      <w:r>
        <w:rPr>
          <w:rFonts w:ascii="Roboto" w:hAnsi="Roboto" w:eastAsia="Roboto"/>
        </w:rPr>
        <w:t xml:space="preserve">Todos los gráficos tienen alternativa textual/tabular. Fuera de 40–69 se usa boundary marker y </w:t>
      </w:r>
      <w:r>
        <w:rPr>
          <w:rStyle w:val="CodeChar"/>
        </w:rPr>
        <w:t>&lt;40</w:t>
      </w:r>
      <w:r>
        <w:rPr>
          <w:rFonts w:ascii="Roboto" w:hAnsi="Roboto" w:eastAsia="Roboto"/>
        </w:rPr>
        <w:t>/</w:t>
      </w:r>
      <w:r>
        <w:rPr>
          <w:rStyle w:val="CodeChar"/>
        </w:rPr>
        <w:t>&gt;69</w:t>
      </w:r>
      <w:r>
        <w:rPr>
          <w:rFonts w:ascii="Roboto" w:hAnsi="Roboto" w:eastAsia="Roboto"/>
        </w:rPr>
        <w:t>. “Sensibilidad de medición” lleva nota explícita “No es un intervalo de confianza”.</w:t>
      </w:r>
    </w:p>
    <w:p>
      <w:pPr>
        <w:pStyle w:val="Heading1"/>
        <w:keepNext/>
      </w:pPr>
      <w:r>
        <w:rPr>
          <w:rFonts w:ascii="Roboto" w:hAnsi="Roboto" w:eastAsia="Roboto"/>
        </w:rPr>
        <w:t>17. Monetización y tracción</w:t>
      </w:r>
    </w:p>
    <w:p>
      <w:r>
        <w:rPr>
          <w:rStyle w:val="CodeChar"/>
        </w:rPr>
        <w:t>MONETIZATION_MODE=validation</w:t>
      </w:r>
      <w:r>
        <w:rPr>
          <w:rFonts w:ascii="Roboto" w:hAnsi="Roboto" w:eastAsia="Roboto"/>
        </w:rPr>
        <w:t xml:space="preserve"> por defecto.</w:t>
      </w:r>
    </w:p>
    <w:p>
      <w:r>
        <w:rPr>
          <w:rFonts w:ascii="Roboto" w:hAnsi="Roboto" w:eastAsia="Roboto"/>
          <w:b/>
        </w:rPr>
        <w:t>Validation:</w:t>
      </w:r>
      <w:r>
        <w:rPr>
          <w:rFonts w:ascii="Roboto" w:hAnsi="Roboto" w:eastAsia="Roboto"/>
        </w:rPr>
        <w:t xml:space="preserve"> preview gratis → formulario “Recibe tu informe completo” → lead → confirmación usuario → email dueño con asunto </w:t>
      </w:r>
      <w:r>
        <w:rPr>
          <w:rStyle w:val="CodeChar"/>
        </w:rPr>
        <w:t>[MorrowAge] Solicitud de informe &lt;id&gt;</w:t>
      </w:r>
      <w:r>
        <w:rPr>
          <w:rFonts w:ascii="Roboto" w:hAnsi="Roboto" w:eastAsia="Roboto"/>
        </w:rPr>
        <w:t>, inputs, resultados y PDF → informe accesible por token expirable. Puede existir un checkbox separado para lista de espera de suscripción.</w:t>
      </w:r>
    </w:p>
    <w:p>
      <w:r>
        <w:rPr>
          <w:rFonts w:ascii="Roboto" w:hAnsi="Roboto" w:eastAsia="Roboto"/>
          <w:b/>
        </w:rPr>
        <w:t>Stripe:</w:t>
      </w:r>
      <w:r>
        <w:rPr>
          <w:rFonts w:ascii="Roboto" w:hAnsi="Roboto" w:eastAsia="Roboto"/>
        </w:rPr>
        <w:t xml:space="preserve"> activar solo con </w:t>
      </w:r>
      <w:r>
        <w:rPr>
          <w:rStyle w:val="CodeChar"/>
        </w:rPr>
        <w:t>MONETIZATION_MODE=stripe</w:t>
      </w:r>
      <w:r>
        <w:rPr>
          <w:rFonts w:ascii="Roboto" w:hAnsi="Roboto" w:eastAsia="Roboto"/>
        </w:rPr>
        <w:t xml:space="preserve"> y </w:t>
      </w:r>
      <w:r>
        <w:rPr>
          <w:rStyle w:val="CodeChar"/>
        </w:rPr>
        <w:t>STRIPE_ENABLED=true</w:t>
      </w:r>
      <w:r>
        <w:rPr>
          <w:rFonts w:ascii="Roboto" w:hAnsi="Roboto" w:eastAsia="Roboto"/>
        </w:rPr>
        <w:t>. Checkout one-time, webhook firmado e idempotente, entrega automática del PDF y copia al dueño. Precio US$19 es hipótesis inicial; precios locales del spec no son PPP verificado.</w:t>
      </w:r>
    </w:p>
    <w:p>
      <w:r>
        <w:rPr>
          <w:rFonts w:ascii="Roboto" w:hAnsi="Roboto" w:eastAsia="Roboto"/>
          <w:b/>
        </w:rPr>
        <w:t>Umbral operativo mínimo para considerar cobro:</w:t>
      </w:r>
      <w:r>
        <w:rPr>
          <w:rFonts w:ascii="Roboto" w:hAnsi="Roboto" w:eastAsia="Roboto"/>
        </w:rPr>
        <w:t xml:space="preserve"> preview→email &gt;=25% y &gt;=50 solicitudes calificadas en 14 días, sin blocker material. Además se revisan los thresholds del </w:t>
      </w:r>
      <w:r>
        <w:rPr>
          <w:rStyle w:val="CodeChar"/>
        </w:rPr>
        <w:t>spec/monetizacion.json</w:t>
      </w:r>
      <w:r>
        <w:rPr>
          <w:rFonts w:ascii="Roboto" w:hAnsi="Roboto" w:eastAsia="Roboto"/>
        </w:rPr>
        <w:t>: completion, gate conversion, open rate y WTP; la decisión de activar cobro requiere evidencia consistente en dos cohortes semanales.</w:t>
      </w:r>
    </w:p>
    <w:p>
      <w:pPr>
        <w:pStyle w:val="Heading1"/>
        <w:keepNext/>
      </w:pPr>
      <w:r>
        <w:rPr>
          <w:rFonts w:ascii="Roboto" w:hAnsi="Roboto" w:eastAsia="Roboto"/>
        </w:rPr>
        <w:t>18. Emails</w:t>
      </w:r>
    </w:p>
    <w:p>
      <w:r>
        <w:rPr>
          <w:rFonts w:ascii="Roboto" w:hAnsi="Roboto" w:eastAsia="Roboto"/>
        </w:rPr>
        <w:t>Plantillas transaccionales en ES/EN/PT:</w:t>
      </w:r>
    </w:p>
    <w:p>
      <w:pPr>
        <w:pStyle w:val="ListBullet"/>
      </w:pPr>
      <w:r>
        <w:rPr>
          <w:rFonts w:ascii="Roboto" w:hAnsi="Roboto" w:eastAsia="Roboto"/>
        </w:rPr>
        <w:t>Usuario validation: confirmación de solicitud + enlace expirable al informe.</w:t>
      </w:r>
    </w:p>
    <w:p>
      <w:pPr>
        <w:pStyle w:val="ListBullet"/>
      </w:pPr>
      <w:r>
        <w:rPr>
          <w:rFonts w:ascii="Roboto" w:hAnsi="Roboto" w:eastAsia="Roboto"/>
        </w:rPr>
        <w:t xml:space="preserve">Owner validation: </w:t>
      </w:r>
      <w:r>
        <w:rPr>
          <w:rStyle w:val="CodeChar"/>
        </w:rPr>
        <w:t>[MorrowAge] Solicitud de informe &lt;id&gt;</w:t>
      </w:r>
      <w:r>
        <w:rPr>
          <w:rFonts w:ascii="Roboto" w:hAnsi="Roboto" w:eastAsia="Roboto"/>
        </w:rPr>
        <w:t>; incluye locale, consent timestamps, inputs canónicos, outputs seguros/raw para auditoría operacional y PDF completo. No incluir estos datos en asunto, analytics ni logs.</w:t>
      </w:r>
    </w:p>
    <w:p>
      <w:pPr>
        <w:pStyle w:val="ListBullet"/>
      </w:pPr>
      <w:r>
        <w:rPr>
          <w:rFonts w:ascii="Roboto" w:hAnsi="Roboto" w:eastAsia="Roboto"/>
        </w:rPr>
        <w:t>Stripe: confirmación de pago + enlace y PDF; copia al dueño.</w:t>
      </w:r>
    </w:p>
    <w:p>
      <w:pPr>
        <w:pStyle w:val="ListBullet"/>
      </w:pPr>
      <w:r>
        <w:rPr>
          <w:rFonts w:ascii="Roboto" w:hAnsi="Roboto" w:eastAsia="Roboto"/>
        </w:rPr>
        <w:t xml:space="preserve">Reenvío admin: reproduce el correo de entrega y registra </w:t>
      </w:r>
      <w:r>
        <w:rPr>
          <w:rStyle w:val="CodeChar"/>
        </w:rPr>
        <w:t>last_sent_at</w:t>
      </w:r>
      <w:r>
        <w:rPr>
          <w:rFonts w:ascii="Roboto" w:hAnsi="Roboto" w:eastAsia="Roboto"/>
        </w:rPr>
        <w:t>.</w:t>
      </w:r>
    </w:p>
    <w:p>
      <w:r>
        <w:rPr>
          <w:rFonts w:ascii="Roboto" w:hAnsi="Roboto" w:eastAsia="Roboto"/>
        </w:rPr>
        <w:t xml:space="preserve">SPF/DKIM/DMARC deben estar configurados antes de tráfico real. </w:t>
      </w:r>
      <w:r>
        <w:rPr>
          <w:rStyle w:val="CodeChar"/>
        </w:rPr>
        <w:t>EMAIL_FROM</w:t>
      </w:r>
      <w:r>
        <w:rPr>
          <w:rFonts w:ascii="Roboto" w:hAnsi="Roboto" w:eastAsia="Roboto"/>
        </w:rPr>
        <w:t xml:space="preserve"> usa dominio propio verificado.</w:t>
      </w:r>
    </w:p>
    <w:p>
      <w:pPr>
        <w:pStyle w:val="Heading1"/>
        <w:keepNext/>
      </w:pPr>
      <w:r>
        <w:rPr>
          <w:rFonts w:ascii="Roboto" w:hAnsi="Roboto" w:eastAsia="Roboto"/>
        </w:rPr>
        <w:t>19. Arquitectura y stack</w:t>
      </w:r>
    </w:p>
    <w:p>
      <w:pPr>
        <w:pStyle w:val="ListBullet"/>
      </w:pPr>
      <w:r>
        <w:rPr>
          <w:rFonts w:ascii="Roboto" w:hAnsi="Roboto" w:eastAsia="Roboto"/>
        </w:rPr>
        <w:t xml:space="preserve">Next.js App Router, React, TypeScript </w:t>
      </w:r>
      <w:r>
        <w:rPr>
          <w:rStyle w:val="CodeChar"/>
        </w:rPr>
        <w:t>strict</w:t>
      </w:r>
      <w:r>
        <w:rPr>
          <w:rFonts w:ascii="Roboto" w:hAnsi="Roboto" w:eastAsia="Roboto"/>
        </w:rPr>
        <w:t>.</w:t>
      </w:r>
    </w:p>
    <w:p>
      <w:pPr>
        <w:pStyle w:val="ListBullet"/>
      </w:pPr>
      <w:r>
        <w:rPr>
          <w:rFonts w:ascii="Roboto" w:hAnsi="Roboto" w:eastAsia="Roboto"/>
        </w:rPr>
        <w:t>Tailwind CSS + shadcn/ui.</w:t>
      </w:r>
    </w:p>
    <w:p>
      <w:pPr>
        <w:pStyle w:val="ListBullet"/>
      </w:pPr>
      <w:r>
        <w:rPr>
          <w:rFonts w:ascii="Roboto" w:hAnsi="Roboto" w:eastAsia="Roboto"/>
        </w:rPr>
        <w:t>Route Handlers como API; no FastAPI salvo que una dependencia Python/ONNX sea imprescindible, lo cual no aplica a v2.1.</w:t>
      </w:r>
    </w:p>
    <w:p>
      <w:pPr>
        <w:pStyle w:val="ListBullet"/>
      </w:pPr>
      <w:r>
        <w:rPr>
          <w:rFonts w:ascii="Roboto" w:hAnsi="Roboto" w:eastAsia="Roboto"/>
        </w:rPr>
        <w:t xml:space="preserve">Motor TypeScript portado desde </w:t>
      </w:r>
      <w:r>
        <w:rPr>
          <w:rStyle w:val="CodeChar"/>
        </w:rPr>
        <w:t>engine_reference.py</w:t>
      </w:r>
      <w:r>
        <w:rPr>
          <w:rFonts w:ascii="Roboto" w:hAnsi="Roboto" w:eastAsia="Roboto"/>
        </w:rPr>
        <w:t>.</w:t>
      </w:r>
    </w:p>
    <w:p>
      <w:pPr>
        <w:pStyle w:val="ListBullet"/>
      </w:pPr>
      <w:r>
        <w:rPr>
          <w:rFonts w:ascii="Roboto" w:hAnsi="Roboto" w:eastAsia="Roboto"/>
        </w:rPr>
        <w:t>Supabase Postgres + RLS; Supabase Auth solo para admin.</w:t>
      </w:r>
    </w:p>
    <w:p>
      <w:pPr>
        <w:pStyle w:val="ListBullet"/>
      </w:pPr>
      <w:r>
        <w:rPr>
          <w:rFonts w:ascii="Roboto" w:hAnsi="Roboto" w:eastAsia="Roboto"/>
        </w:rPr>
        <w:t>Google Drive API con service account; checksum, cache 24 h y last-known-good.</w:t>
      </w:r>
    </w:p>
    <w:p>
      <w:pPr>
        <w:pStyle w:val="ListBullet"/>
      </w:pPr>
      <w:r>
        <w:rPr>
          <w:rFonts w:ascii="Roboto" w:hAnsi="Roboto" w:eastAsia="Roboto"/>
        </w:rPr>
        <w:t>Resend para email.</w:t>
      </w:r>
    </w:p>
    <w:p>
      <w:pPr>
        <w:pStyle w:val="ListBullet"/>
      </w:pPr>
      <w:r>
        <w:rPr>
          <w:rStyle w:val="CodeChar"/>
        </w:rPr>
        <w:t>@react-pdf/renderer</w:t>
      </w:r>
      <w:r>
        <w:rPr>
          <w:rFonts w:ascii="Roboto" w:hAnsi="Roboto" w:eastAsia="Roboto"/>
        </w:rPr>
        <w:t xml:space="preserve"> para PDF.</w:t>
      </w:r>
    </w:p>
    <w:p>
      <w:pPr>
        <w:pStyle w:val="ListBullet"/>
      </w:pPr>
      <w:r>
        <w:rPr>
          <w:rStyle w:val="CodeChar"/>
        </w:rPr>
        <w:t>next-intl</w:t>
      </w:r>
      <w:r>
        <w:rPr>
          <w:rFonts w:ascii="Roboto" w:hAnsi="Roboto" w:eastAsia="Roboto"/>
        </w:rPr>
        <w:t xml:space="preserve"> ES/EN/PT.</w:t>
      </w:r>
    </w:p>
    <w:p>
      <w:pPr>
        <w:pStyle w:val="ListBullet"/>
      </w:pPr>
      <w:r>
        <w:rPr>
          <w:rFonts w:ascii="Roboto" w:hAnsi="Roboto" w:eastAsia="Roboto"/>
        </w:rPr>
        <w:t>PostHog + Sentry con scrubbing.</w:t>
      </w:r>
    </w:p>
    <w:p>
      <w:pPr>
        <w:pStyle w:val="ListBullet"/>
      </w:pPr>
      <w:r>
        <w:rPr>
          <w:rFonts w:ascii="Roboto" w:hAnsi="Roboto" w:eastAsia="Roboto"/>
        </w:rPr>
        <w:t>Cloudflare Turnstile.</w:t>
      </w:r>
    </w:p>
    <w:p>
      <w:pPr>
        <w:pStyle w:val="ListBullet"/>
      </w:pPr>
      <w:r>
        <w:rPr>
          <w:rFonts w:ascii="Roboto" w:hAnsi="Roboto" w:eastAsia="Roboto"/>
        </w:rPr>
        <w:t xml:space="preserve">Rate limiting server-side con proveedor Redis compatible o implementación persistente equivalente; la referencia usa variables </w:t>
      </w:r>
      <w:r>
        <w:rPr>
          <w:rStyle w:val="CodeChar"/>
        </w:rPr>
        <w:t>UPSTASH_REDIS_REST_URL y UPSTASH_REDIS_REST_TOKEN</w:t>
      </w:r>
      <w:r>
        <w:rPr>
          <w:rFonts w:ascii="Roboto" w:hAnsi="Roboto" w:eastAsia="Roboto"/>
        </w:rPr>
        <w:t>.</w:t>
      </w:r>
    </w:p>
    <w:p>
      <w:pPr>
        <w:pStyle w:val="ListBullet"/>
      </w:pPr>
      <w:r>
        <w:rPr>
          <w:rFonts w:ascii="Roboto" w:hAnsi="Roboto" w:eastAsia="Roboto"/>
        </w:rPr>
        <w:t>Vitest + Playwright.</w:t>
      </w:r>
    </w:p>
    <w:p>
      <w:pPr>
        <w:pStyle w:val="ListBullet"/>
      </w:pPr>
      <w:r>
        <w:rPr>
          <w:rFonts w:ascii="Roboto" w:hAnsi="Roboto" w:eastAsia="Roboto"/>
        </w:rPr>
        <w:t>GitHub Actions.</w:t>
      </w:r>
    </w:p>
    <w:p>
      <w:pPr>
        <w:pStyle w:val="ListBullet"/>
      </w:pPr>
      <w:r>
        <w:rPr>
          <w:rFonts w:ascii="Roboto" w:hAnsi="Roboto" w:eastAsia="Roboto"/>
        </w:rPr>
        <w:t>Stripe detrás de feature flag.</w:t>
      </w:r>
    </w:p>
    <w:p>
      <w:pPr>
        <w:pStyle w:val="ListBullet"/>
      </w:pPr>
      <w:r>
        <w:rPr>
          <w:rFonts w:ascii="Roboto" w:hAnsi="Roboto" w:eastAsia="Roboto"/>
        </w:rPr>
        <w:t>Despliegue principal Vercel; Netlify como alternativa si soporta los route handlers y runtime de PDF requerido.</w:t>
      </w:r>
    </w:p>
    <w:p>
      <w:pPr>
        <w:pStyle w:val="Heading1"/>
        <w:keepNext/>
      </w:pPr>
      <w:r>
        <w:rPr>
          <w:rFonts w:ascii="Roboto" w:hAnsi="Roboto" w:eastAsia="Roboto"/>
        </w:rPr>
        <w:t>20. API (OpenAPI 3.1)</w:t>
      </w:r>
    </w:p>
    <w:p>
      <w:r>
        <w:rPr>
          <w:rFonts w:ascii="Roboto" w:hAnsi="Roboto" w:eastAsia="Roboto"/>
        </w:rPr>
        <w:t xml:space="preserve">Contrato completo en </w:t>
      </w:r>
      <w:r>
        <w:rPr>
          <w:rStyle w:val="CodeChar"/>
        </w:rPr>
        <w:t>spec/openapi.yaml</w:t>
      </w:r>
      <w:r>
        <w:rPr>
          <w:rFonts w:ascii="Roboto" w:hAnsi="Roboto" w:eastAsia="Roboto"/>
        </w:rPr>
        <w:t>. Endpoints mínimos:</w:t>
      </w:r>
    </w:p>
    <w:p>
      <w:pPr>
        <w:pStyle w:val="ListBullet"/>
      </w:pPr>
      <w:r>
        <w:rPr>
          <w:rStyle w:val="CodeChar"/>
        </w:rPr>
        <w:t>POST /api/calculate</w:t>
      </w:r>
    </w:p>
    <w:p>
      <w:pPr>
        <w:pStyle w:val="ListBullet"/>
      </w:pPr>
      <w:r>
        <w:rPr>
          <w:rStyle w:val="CodeChar"/>
        </w:rPr>
        <w:t>POST /api/leads</w:t>
      </w:r>
    </w:p>
    <w:p>
      <w:pPr>
        <w:pStyle w:val="ListBullet"/>
      </w:pPr>
      <w:r>
        <w:rPr>
          <w:rStyle w:val="CodeChar"/>
        </w:rPr>
        <w:t>GET /api/report/{token}</w:t>
      </w:r>
    </w:p>
    <w:p>
      <w:pPr>
        <w:pStyle w:val="ListBullet"/>
      </w:pPr>
      <w:r>
        <w:rPr>
          <w:rStyle w:val="CodeChar"/>
        </w:rPr>
        <w:t>GET /api/report/{token}/pdf</w:t>
      </w:r>
    </w:p>
    <w:p>
      <w:pPr>
        <w:pStyle w:val="ListBullet"/>
      </w:pPr>
      <w:r>
        <w:rPr>
          <w:rStyle w:val="CodeChar"/>
        </w:rPr>
        <w:t>POST /api/privacy/delete-request</w:t>
      </w:r>
    </w:p>
    <w:p>
      <w:pPr>
        <w:pStyle w:val="ListBullet"/>
      </w:pPr>
      <w:r>
        <w:rPr>
          <w:rStyle w:val="CodeChar"/>
        </w:rPr>
        <w:t>GET /api/admin/leads</w:t>
      </w:r>
    </w:p>
    <w:p>
      <w:pPr>
        <w:pStyle w:val="ListBullet"/>
      </w:pPr>
      <w:r>
        <w:rPr>
          <w:rStyle w:val="CodeChar"/>
        </w:rPr>
        <w:t>GET /api/admin/funnel</w:t>
      </w:r>
    </w:p>
    <w:p>
      <w:pPr>
        <w:pStyle w:val="ListBullet"/>
      </w:pPr>
      <w:r>
        <w:rPr>
          <w:rStyle w:val="CodeChar"/>
        </w:rPr>
        <w:t>POST /api/admin/reports/{id}/resend</w:t>
      </w:r>
    </w:p>
    <w:p>
      <w:pPr>
        <w:pStyle w:val="ListBullet"/>
      </w:pPr>
      <w:r>
        <w:rPr>
          <w:rStyle w:val="CodeChar"/>
        </w:rPr>
        <w:t>POST /api/stripe/checkout</w:t>
      </w:r>
    </w:p>
    <w:p>
      <w:pPr>
        <w:pStyle w:val="ListBullet"/>
      </w:pPr>
      <w:r>
        <w:rPr>
          <w:rStyle w:val="CodeChar"/>
        </w:rPr>
        <w:t>POST /api/stripe/webhook</w:t>
      </w:r>
    </w:p>
    <w:p>
      <w:pPr>
        <w:pStyle w:val="ListBullet"/>
      </w:pPr>
      <w:r>
        <w:rPr>
          <w:rStyle w:val="CodeChar"/>
        </w:rPr>
        <w:t>GET /api/health</w:t>
      </w:r>
    </w:p>
    <w:p>
      <w:r>
        <w:rPr>
          <w:rFonts w:ascii="Roboto" w:hAnsi="Roboto" w:eastAsia="Roboto"/>
        </w:rPr>
        <w:t>Los endpoints públicos aplican validación Zod/JSON Schema, límites de tamaño, rate limit y Turnstile en operaciones abusables. Las respuestas no devuelven secretos ni trazas.</w:t>
      </w:r>
    </w:p>
    <w:p>
      <w:pPr>
        <w:pStyle w:val="Heading1"/>
        <w:keepNext/>
      </w:pPr>
      <w:r>
        <w:rPr>
          <w:rFonts w:ascii="Roboto" w:hAnsi="Roboto" w:eastAsia="Roboto"/>
        </w:rPr>
        <w:t>21. Modelo de datos con RLS</w:t>
      </w:r>
    </w:p>
    <w:p>
      <w:r>
        <w:rPr>
          <w:rFonts w:ascii="Roboto" w:hAnsi="Roboto" w:eastAsia="Roboto"/>
        </w:rPr>
        <w:t xml:space="preserve">Definido en </w:t>
      </w:r>
      <w:r>
        <w:rPr>
          <w:rStyle w:val="CodeChar"/>
        </w:rPr>
        <w:t>spec/db_schema.sql</w:t>
      </w:r>
      <w:r>
        <w:rPr>
          <w:rFonts w:ascii="Roboto" w:hAnsi="Roboto" w:eastAsia="Roboto"/>
        </w:rPr>
        <w:t>. Principios:</w:t>
      </w:r>
    </w:p>
    <w:p>
      <w:pPr>
        <w:pStyle w:val="ListBullet"/>
      </w:pPr>
      <w:r>
        <w:rPr>
          <w:rStyle w:val="CodeChar"/>
        </w:rPr>
        <w:t>calculations</w:t>
      </w:r>
      <w:r>
        <w:rPr>
          <w:rFonts w:ascii="Roboto" w:hAnsi="Roboto" w:eastAsia="Roboto"/>
        </w:rPr>
        <w:t xml:space="preserve"> contiene payload de salud y resultado solo durante retención operativa; no es seleccionable por anon ni por el rol admin de frontend.</w:t>
      </w:r>
    </w:p>
    <w:p>
      <w:pPr>
        <w:pStyle w:val="ListBullet"/>
      </w:pPr>
      <w:r>
        <w:rPr>
          <w:rStyle w:val="CodeChar"/>
        </w:rPr>
        <w:t>leads</w:t>
      </w:r>
      <w:r>
        <w:rPr>
          <w:rFonts w:ascii="Roboto" w:hAnsi="Roboto" w:eastAsia="Roboto"/>
        </w:rPr>
        <w:t xml:space="preserve"> contiene email y consentimientos separados.</w:t>
      </w:r>
    </w:p>
    <w:p>
      <w:pPr>
        <w:pStyle w:val="ListBullet"/>
      </w:pPr>
      <w:r>
        <w:rPr>
          <w:rStyle w:val="CodeChar"/>
        </w:rPr>
        <w:t>reports</w:t>
      </w:r>
      <w:r>
        <w:rPr>
          <w:rFonts w:ascii="Roboto" w:hAnsi="Roboto" w:eastAsia="Roboto"/>
        </w:rPr>
        <w:t xml:space="preserve"> guarda token hash, expiración y Verification ID, nunca token plano.</w:t>
      </w:r>
    </w:p>
    <w:p>
      <w:pPr>
        <w:pStyle w:val="ListBullet"/>
      </w:pPr>
      <w:r>
        <w:rPr>
          <w:rStyle w:val="CodeChar"/>
        </w:rPr>
        <w:t>orders</w:t>
      </w:r>
      <w:r>
        <w:rPr>
          <w:rFonts w:ascii="Roboto" w:hAnsi="Roboto" w:eastAsia="Roboto"/>
        </w:rPr>
        <w:t xml:space="preserve"> y </w:t>
      </w:r>
      <w:r>
        <w:rPr>
          <w:rStyle w:val="CodeChar"/>
        </w:rPr>
        <w:t>stripe_webhook_events</w:t>
      </w:r>
      <w:r>
        <w:rPr>
          <w:rFonts w:ascii="Roboto" w:hAnsi="Roboto" w:eastAsia="Roboto"/>
        </w:rPr>
        <w:t xml:space="preserve"> garantizan idempotencia.</w:t>
      </w:r>
    </w:p>
    <w:p>
      <w:pPr>
        <w:pStyle w:val="ListBullet"/>
      </w:pPr>
      <w:r>
        <w:rPr>
          <w:rStyle w:val="CodeChar"/>
        </w:rPr>
        <w:t>deletion_requests</w:t>
      </w:r>
      <w:r>
        <w:rPr>
          <w:rFonts w:ascii="Roboto" w:hAnsi="Roboto" w:eastAsia="Roboto"/>
        </w:rPr>
        <w:t xml:space="preserve"> registra derechos del titular.</w:t>
      </w:r>
    </w:p>
    <w:p>
      <w:pPr>
        <w:pStyle w:val="ListBullet"/>
      </w:pPr>
      <w:r>
        <w:rPr>
          <w:rStyle w:val="CodeChar"/>
        </w:rPr>
        <w:t>admin_users</w:t>
      </w:r>
      <w:r>
        <w:rPr>
          <w:rFonts w:ascii="Roboto" w:hAnsi="Roboto" w:eastAsia="Roboto"/>
        </w:rPr>
        <w:t xml:space="preserve"> limita el dashboard.</w:t>
      </w:r>
    </w:p>
    <w:p>
      <w:pPr>
        <w:pStyle w:val="ListBullet"/>
      </w:pPr>
      <w:r>
        <w:rPr>
          <w:rFonts w:ascii="Roboto" w:hAnsi="Roboto" w:eastAsia="Roboto"/>
        </w:rPr>
        <w:t>Todas las tablas tienen RLS. El service role se usa exclusivamente en route handlers server-side.</w:t>
      </w:r>
    </w:p>
    <w:p>
      <w:pPr>
        <w:pStyle w:val="Heading1"/>
        <w:keepNext/>
      </w:pPr>
      <w:r>
        <w:rPr>
          <w:rFonts w:ascii="Roboto" w:hAnsi="Roboto" w:eastAsia="Roboto"/>
        </w:rPr>
        <w:t>22. Seguridad, privacidad y legal</w:t>
      </w:r>
    </w:p>
    <w:p>
      <w:r>
        <w:rPr>
          <w:rFonts w:ascii="Roboto" w:hAnsi="Roboto" w:eastAsia="Roboto"/>
          <w:b/>
        </w:rPr>
        <w:t>Security by default.</w:t>
      </w:r>
      <w:r>
        <w:rPr>
          <w:rFonts w:ascii="Roboto" w:hAnsi="Roboto" w:eastAsia="Roboto"/>
        </w:rPr>
        <w:t xml:space="preserve"> HTTPS obligatorio; HSTS; CSP; </w:t>
      </w:r>
      <w:r>
        <w:rPr>
          <w:rStyle w:val="CodeChar"/>
        </w:rPr>
        <w:t>HttpOnly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Secure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SameSite</w:t>
      </w:r>
      <w:r>
        <w:rPr>
          <w:rFonts w:ascii="Roboto" w:hAnsi="Roboto" w:eastAsia="Roboto"/>
        </w:rPr>
        <w:t>; validación server-side; no datos sensibles en querystring; token de informe con &gt;=128 bits de entropía; hash SHA-256 del token en DB; logs redactados; rotación de secretos; backups gestionados por proveedor; dependencia y secret scanning en CI.</w:t>
      </w:r>
    </w:p>
    <w:p>
      <w:r>
        <w:rPr>
          <w:rFonts w:ascii="Roboto" w:hAnsi="Roboto" w:eastAsia="Roboto"/>
          <w:b/>
        </w:rPr>
        <w:t>GDPR.</w:t>
      </w:r>
      <w:r>
        <w:rPr>
          <w:rFonts w:ascii="Roboto" w:hAnsi="Roboto" w:eastAsia="Roboto"/>
        </w:rPr>
        <w:t xml:space="preserve"> Tratar inputs de salud como datos potencialmente sensibles; documentar base jurídica, transparencia, minimización, retención, derechos, encargados y transferencias. Antes de lanzar en EEA, realizar revisión de DPIA/legitimate basis/consent según el flujo real. Referencia oficial: Comisión Europea, Regulation (EU) 2016/679.</w:t>
      </w:r>
    </w:p>
    <w:p>
      <w:r>
        <w:rPr>
          <w:rFonts w:ascii="Roboto" w:hAnsi="Roboto" w:eastAsia="Roboto"/>
          <w:b/>
        </w:rPr>
        <w:t>CCPA/CPRA.</w:t>
      </w:r>
      <w:r>
        <w:rPr>
          <w:rFonts w:ascii="Roboto" w:hAnsi="Roboto" w:eastAsia="Roboto"/>
        </w:rPr>
        <w:t xml:space="preserve"> Implementar notice at collection, derechos de conocer/eliminar/corregir/opt-out cuando apliquen, no discriminación y señal GPC donde corresponda. Verificar aplicabilidad por umbrales legales antes de afirmar cobertura. Referencia: California DOJ CCPA, actualizado en 2026.</w:t>
      </w:r>
    </w:p>
    <w:p>
      <w:r>
        <w:rPr>
          <w:rFonts w:ascii="Roboto" w:hAnsi="Roboto" w:eastAsia="Roboto"/>
          <w:b/>
        </w:rPr>
        <w:t>LGPD.</w:t>
      </w:r>
      <w:r>
        <w:rPr>
          <w:rFonts w:ascii="Roboto" w:hAnsi="Roboto" w:eastAsia="Roboto"/>
        </w:rPr>
        <w:t xml:space="preserve"> Para Brasil, datos de salud reciben protección reforzada; definir controlador/operadores, base legal, canal para derechos, encargado cuando corresponda y contratos con proveedores. Referencia: ANPD, Lei 13.709/2018 y guías vigentes.</w:t>
      </w:r>
    </w:p>
    <w:p>
      <w:r>
        <w:rPr>
          <w:rFonts w:ascii="Roboto" w:hAnsi="Roboto" w:eastAsia="Roboto"/>
          <w:b/>
        </w:rPr>
        <w:t>Perú.</w:t>
      </w:r>
      <w:r>
        <w:rPr>
          <w:rFonts w:ascii="Roboto" w:hAnsi="Roboto" w:eastAsia="Roboto"/>
        </w:rPr>
        <w:t xml:space="preserve"> Cumplir Ley 29733 y su Reglamento aprobado por D.S. 016-2024-JUS, vigente desde el 31 de marzo de 2025. Revisar obligación de inscripción del banco de datos personales en el Registro Nacional; la ANPD peruana indica que los titulares de bancos personales deben inscribirlos. Marketing requiere consentimiento separado.</w:t>
      </w:r>
    </w:p>
    <w:p>
      <w:r>
        <w:rPr>
          <w:rFonts w:ascii="Roboto" w:hAnsi="Roboto" w:eastAsia="Roboto"/>
          <w:b/>
        </w:rPr>
        <w:t>Claims de salud.</w:t>
      </w:r>
      <w:r>
        <w:rPr>
          <w:rFonts w:ascii="Roboto" w:hAnsi="Roboto" w:eastAsia="Roboto"/>
        </w:rPr>
        <w:t xml:space="preserve"> Mantener producto educativo/general wellness; no diagnosticar, tratar, prevenir ni mitigar enfermedad. Disclaimers no sustituyen revisión legal. La activación de cobro y campañas pagadas de salud exige revisión formal por mercado.</w:t>
      </w:r>
    </w:p>
    <w:p>
      <w:r>
        <w:rPr>
          <w:rFonts w:ascii="Roboto" w:hAnsi="Roboto" w:eastAsia="Roboto"/>
          <w:b/>
        </w:rPr>
        <w:t>Retención recomendada inicial.</w:t>
      </w:r>
      <w:r>
        <w:rPr>
          <w:rFonts w:ascii="Roboto" w:hAnsi="Roboto" w:eastAsia="Roboto"/>
        </w:rPr>
        <w:t xml:space="preserve"> </w:t>
      </w:r>
      <w:r>
        <w:rPr>
          <w:rStyle w:val="CodeChar"/>
        </w:rPr>
        <w:t>REPORT_RETENTION_DAYS=30</w:t>
      </w:r>
      <w:r>
        <w:rPr>
          <w:rFonts w:ascii="Roboto" w:hAnsi="Roboto" w:eastAsia="Roboto"/>
        </w:rPr>
        <w:t xml:space="preserve"> para cálculo/reportes, salvo obligación distinta; leads de servicio se conservan solo lo necesario para fulfilment y métricas comerciales; marketing únicamente si opt-in. La política final debe ser aprobada legalmente antes de lanzamiento público.</w:t>
      </w:r>
    </w:p>
    <w:p>
      <w:pPr>
        <w:pStyle w:val="Heading1"/>
        <w:keepNext/>
      </w:pPr>
      <w:r>
        <w:rPr>
          <w:rFonts w:ascii="Roboto" w:hAnsi="Roboto" w:eastAsia="Roboto"/>
        </w:rPr>
        <w:t>23. Accesibilidad e i18n</w:t>
      </w:r>
    </w:p>
    <w:p>
      <w:r>
        <w:rPr>
          <w:rFonts w:ascii="Roboto" w:hAnsi="Roboto" w:eastAsia="Roboto"/>
        </w:rPr>
        <w:t xml:space="preserve">WCAG 2.2 AA. </w:t>
      </w:r>
      <w:r>
        <w:rPr>
          <w:rStyle w:val="CodeChar"/>
        </w:rPr>
        <w:t>lang</w:t>
      </w:r>
      <w:r>
        <w:rPr>
          <w:rFonts w:ascii="Roboto" w:hAnsi="Roboto" w:eastAsia="Roboto"/>
        </w:rPr>
        <w:t xml:space="preserve"> correcto por locale, navegación por teclado, skip link, landmarks, headings semánticos, focus visible, </w:t>
      </w:r>
      <w:r>
        <w:rPr>
          <w:rStyle w:val="CodeChar"/>
        </w:rPr>
        <w:t>aria-describedby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aria-live</w:t>
      </w:r>
      <w:r>
        <w:rPr>
          <w:rFonts w:ascii="Roboto" w:hAnsi="Roboto" w:eastAsia="Roboto"/>
        </w:rPr>
        <w:t>, errores textuales, no depender de color, targets &gt;=44 px, tablas equivalentes para gráficos, reduced motion.</w:t>
      </w:r>
    </w:p>
    <w:p>
      <w:r>
        <w:rPr>
          <w:rStyle w:val="CodeChar"/>
        </w:rPr>
        <w:t>next-intl</w:t>
      </w:r>
      <w:r>
        <w:rPr>
          <w:rFonts w:ascii="Roboto" w:hAnsi="Roboto" w:eastAsia="Roboto"/>
        </w:rPr>
        <w:t xml:space="preserve"> debe mantener ES/EN/PT en paridad. El copy fuente está en </w:t>
      </w:r>
      <w:r>
        <w:rPr>
          <w:rStyle w:val="CodeChar"/>
        </w:rPr>
        <w:t>spec/copy_i18n.json</w:t>
      </w:r>
      <w:r>
        <w:rPr>
          <w:rFonts w:ascii="Roboto" w:hAnsi="Roboto" w:eastAsia="Roboto"/>
        </w:rPr>
        <w:t>. Formatos locales se convierten a valores canónicos antes del motor. SEO también se publica en los tres idiomas.</w:t>
      </w:r>
    </w:p>
    <w:p>
      <w:pPr>
        <w:pStyle w:val="Heading1"/>
        <w:keepNext/>
      </w:pPr>
      <w:r>
        <w:rPr>
          <w:rFonts w:ascii="Roboto" w:hAnsi="Roboto" w:eastAsia="Roboto"/>
        </w:rPr>
        <w:t>24. Analítica y KPIs</w:t>
      </w:r>
    </w:p>
    <w:p>
      <w:r>
        <w:rPr>
          <w:rFonts w:ascii="Roboto" w:hAnsi="Roboto" w:eastAsia="Roboto"/>
        </w:rPr>
        <w:t xml:space="preserve">Eventos y propiedades autorizados: </w:t>
      </w:r>
      <w:r>
        <w:rPr>
          <w:rStyle w:val="CodeChar"/>
        </w:rPr>
        <w:t>spec/analytics_events.json</w:t>
      </w:r>
      <w:r>
        <w:rPr>
          <w:rFonts w:ascii="Roboto" w:hAnsi="Roboto" w:eastAsia="Roboto"/>
        </w:rPr>
        <w:t>. Prohibido enviar email, inputs crudos, raw MorrowAge, contribuciones de drivers, report token/URL o free text.</w:t>
      </w:r>
    </w:p>
    <w:p>
      <w:r>
        <w:rPr>
          <w:rFonts w:ascii="Roboto" w:hAnsi="Roboto" w:eastAsia="Roboto"/>
        </w:rPr>
        <w:t>KPIs:</w:t>
      </w:r>
    </w:p>
    <w:p>
      <w:pPr>
        <w:pStyle w:val="ListBullet"/>
      </w:pPr>
      <w:r>
        <w:rPr>
          <w:rFonts w:ascii="Roboto" w:hAnsi="Roboto" w:eastAsia="Roboto"/>
        </w:rPr>
        <w:t>visita→inicio &gt;=45%;</w:t>
      </w:r>
    </w:p>
    <w:p>
      <w:pPr>
        <w:pStyle w:val="ListBullet"/>
      </w:pPr>
      <w:r>
        <w:rPr>
          <w:rFonts w:ascii="Roboto" w:hAnsi="Roboto" w:eastAsia="Roboto"/>
        </w:rPr>
        <w:t>inicio→preview &gt;=70%;</w:t>
      </w:r>
    </w:p>
    <w:p>
      <w:pPr>
        <w:pStyle w:val="ListBullet"/>
      </w:pPr>
      <w:r>
        <w:rPr>
          <w:rFonts w:ascii="Roboto" w:hAnsi="Roboto" w:eastAsia="Roboto"/>
        </w:rPr>
        <w:t>preview→email &gt;=25% mínimo operativo, objetivo &gt;=28%;</w:t>
      </w:r>
    </w:p>
    <w:p>
      <w:pPr>
        <w:pStyle w:val="ListBullet"/>
      </w:pPr>
      <w:r>
        <w:rPr>
          <w:rFonts w:ascii="Roboto" w:hAnsi="Roboto" w:eastAsia="Roboto"/>
        </w:rPr>
        <w:t>&gt;=50 solicitudes de informe en 14 días para señal de cobro;</w:t>
      </w:r>
    </w:p>
    <w:p>
      <w:pPr>
        <w:pStyle w:val="ListBullet"/>
      </w:pPr>
      <w:r>
        <w:rPr>
          <w:rFonts w:ascii="Roboto" w:hAnsi="Roboto" w:eastAsia="Roboto"/>
        </w:rPr>
        <w:t>report open &gt;=45% con &gt;=100 entregas;</w:t>
      </w:r>
    </w:p>
    <w:p>
      <w:pPr>
        <w:pStyle w:val="ListBullet"/>
      </w:pPr>
      <w:r>
        <w:rPr>
          <w:rFonts w:ascii="Roboto" w:hAnsi="Roboto" w:eastAsia="Roboto"/>
        </w:rPr>
        <w:t>tiempo mediano a preview &lt;=75 s;</w:t>
      </w:r>
    </w:p>
    <w:p>
      <w:pPr>
        <w:pStyle w:val="ListBullet"/>
      </w:pPr>
      <w:r>
        <w:rPr>
          <w:rFonts w:ascii="Roboto" w:hAnsi="Roboto" w:eastAsia="Roboto"/>
        </w:rPr>
        <w:t>calculation error &lt;0.5%;</w:t>
      </w:r>
    </w:p>
    <w:p>
      <w:pPr>
        <w:pStyle w:val="ListBullet"/>
      </w:pPr>
      <w:r>
        <w:rPr>
          <w:rFonts w:ascii="Roboto" w:hAnsi="Roboto" w:eastAsia="Roboto"/>
        </w:rPr>
        <w:t>delivery fail &lt;2%;</w:t>
      </w:r>
    </w:p>
    <w:p>
      <w:pPr>
        <w:pStyle w:val="ListBullet"/>
      </w:pPr>
      <w:r>
        <w:rPr>
          <w:rFonts w:ascii="Roboto" w:hAnsi="Roboto" w:eastAsia="Roboto"/>
        </w:rPr>
        <w:t>Fase Stripe: compra &gt;=8% en audiencia expuesta como hipótesis de validación;</w:t>
      </w:r>
    </w:p>
    <w:p>
      <w:pPr>
        <w:pStyle w:val="ListBullet"/>
      </w:pPr>
      <w:r>
        <w:rPr>
          <w:rFonts w:ascii="Roboto" w:hAnsi="Roboto" w:eastAsia="Roboto"/>
        </w:rPr>
        <w:t>Lighthouse móvil &gt;=90;</w:t>
      </w:r>
    </w:p>
    <w:p>
      <w:pPr>
        <w:pStyle w:val="ListBullet"/>
      </w:pPr>
      <w:r>
        <w:rPr>
          <w:rFonts w:ascii="Roboto" w:hAnsi="Roboto" w:eastAsia="Roboto"/>
        </w:rPr>
        <w:t>0 issues críticos de accesibilidad.</w:t>
      </w:r>
    </w:p>
    <w:p>
      <w:r>
        <w:rPr>
          <w:rFonts w:ascii="Roboto" w:hAnsi="Roboto" w:eastAsia="Roboto"/>
        </w:rPr>
        <w:t xml:space="preserve">PostHog recibe eventos de funnel; Sentry recibe errores/performance con scrubbing. </w:t>
      </w:r>
      <w:r>
        <w:rPr>
          <w:rStyle w:val="CodeChar"/>
        </w:rPr>
        <w:t>/admin</w:t>
      </w:r>
      <w:r>
        <w:rPr>
          <w:rFonts w:ascii="Roboto" w:hAnsi="Roboto" w:eastAsia="Roboto"/>
        </w:rPr>
        <w:t xml:space="preserve"> muestra agregados operativos y leads, no payload de salud.</w:t>
      </w:r>
    </w:p>
    <w:p>
      <w:pPr>
        <w:pStyle w:val="Heading1"/>
        <w:keepNext/>
      </w:pPr>
      <w:r>
        <w:rPr>
          <w:rFonts w:ascii="Roboto" w:hAnsi="Roboto" w:eastAsia="Roboto"/>
        </w:rPr>
        <w:t>25. SEO y adquisición</w:t>
      </w:r>
    </w:p>
    <w:p>
      <w:r>
        <w:rPr>
          <w:rFonts w:ascii="Roboto" w:hAnsi="Roboto" w:eastAsia="Roboto"/>
        </w:rPr>
        <w:t xml:space="preserve">Indexables: </w:t>
      </w:r>
      <w:r>
        <w:rPr>
          <w:rStyle w:val="CodeChar"/>
        </w:rPr>
        <w:t>/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/how-it-works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/methodology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/faq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/privacy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/terms</w:t>
      </w:r>
      <w:r>
        <w:rPr>
          <w:rFonts w:ascii="Roboto" w:hAnsi="Roboto" w:eastAsia="Roboto"/>
        </w:rPr>
        <w:t xml:space="preserve"> y páginas localizadas de contenido. Noindex: assessment, processing, preview, report-request, checkout, success, report y admin.</w:t>
      </w:r>
    </w:p>
    <w:p>
      <w:r>
        <w:rPr>
          <w:rFonts w:ascii="Roboto" w:hAnsi="Roboto" w:eastAsia="Roboto"/>
        </w:rPr>
        <w:t>Arquitectura localizada:</w:t>
      </w:r>
    </w:p>
    <w:p>
      <w:pPr>
        <w:pStyle w:val="ListBullet"/>
      </w:pPr>
      <w:r>
        <w:rPr>
          <w:rStyle w:val="CodeChar"/>
        </w:rPr>
        <w:t>/{locale}/risk-equivalent-age-calculator</w:t>
      </w:r>
    </w:p>
    <w:p>
      <w:pPr>
        <w:pStyle w:val="ListBullet"/>
      </w:pPr>
      <w:r>
        <w:rPr>
          <w:rStyle w:val="CodeChar"/>
        </w:rPr>
        <w:t>/{locale}/country/{country}/risk-equivalent-age</w:t>
      </w:r>
    </w:p>
    <w:p>
      <w:pPr>
        <w:pStyle w:val="ListBullet"/>
      </w:pPr>
      <w:r>
        <w:rPr>
          <w:rStyle w:val="CodeChar"/>
        </w:rPr>
        <w:t>/{locale}/guides/{use-case}</w:t>
      </w:r>
    </w:p>
    <w:p>
      <w:r>
        <w:rPr>
          <w:rFonts w:ascii="Roboto" w:hAnsi="Roboto" w:eastAsia="Roboto"/>
        </w:rPr>
        <w:t>Las páginas por país deben declarar que el modelo no está calibrado específicamente para ese país hasta superar validación. No publicar percentiles, “accuracy” o claims de superioridad nacional. Canales iniciales: SEO educativo, comunidades de longevity/quantified self con disclosure, creadores con metodología visible, calculators/backlinks y partnerships de wellness no clínico.</w:t>
      </w:r>
    </w:p>
    <w:p>
      <w:pPr>
        <w:pStyle w:val="Heading1"/>
        <w:keepNext/>
      </w:pPr>
      <w:r>
        <w:rPr>
          <w:rFonts w:ascii="Roboto" w:hAnsi="Roboto" w:eastAsia="Roboto"/>
        </w:rPr>
        <w:t>26. Plan de pruebas</w:t>
      </w:r>
    </w:p>
    <w:p>
      <w:r>
        <w:rPr>
          <w:rFonts w:ascii="Roboto" w:hAnsi="Roboto" w:eastAsia="Roboto"/>
        </w:rPr>
        <w:t xml:space="preserve">Detalle en </w:t>
      </w:r>
      <w:r>
        <w:rPr>
          <w:rStyle w:val="CodeChar"/>
        </w:rPr>
        <w:t>docs/ACCEPTANCE_TESTS.md</w:t>
      </w:r>
      <w:r>
        <w:rPr>
          <w:rFonts w:ascii="Roboto" w:hAnsi="Roboto" w:eastAsia="Roboto"/>
        </w:rPr>
        <w:t>.</w:t>
      </w:r>
    </w:p>
    <w:p>
      <w:r>
        <w:rPr>
          <w:rFonts w:ascii="Roboto" w:hAnsi="Roboto" w:eastAsia="Roboto"/>
        </w:rPr>
        <w:t>Capas:</w:t>
      </w:r>
    </w:p>
    <w:p>
      <w:pPr>
        <w:pStyle w:val="ListNumber"/>
      </w:pPr>
      <w:r>
        <w:rPr>
          <w:rFonts w:ascii="Roboto" w:hAnsi="Roboto" w:eastAsia="Roboto"/>
        </w:rPr>
        <w:t>Unit: validación, conversiones, motor TypeScript, display guardrails, token hashing.</w:t>
      </w:r>
    </w:p>
    <w:p>
      <w:pPr>
        <w:pStyle w:val="ListNumber"/>
      </w:pPr>
      <w:r>
        <w:rPr>
          <w:rFonts w:ascii="Roboto" w:hAnsi="Roboto" w:eastAsia="Roboto"/>
        </w:rPr>
        <w:t xml:space="preserve">Golden vectors: 18/18 contra </w:t>
      </w:r>
      <w:r>
        <w:rPr>
          <w:rStyle w:val="CodeChar"/>
        </w:rPr>
        <w:t>spec/test_vectors.json</w:t>
      </w:r>
      <w:r>
        <w:rPr>
          <w:rFonts w:ascii="Roboto" w:hAnsi="Roboto" w:eastAsia="Roboto"/>
        </w:rPr>
        <w:t xml:space="preserve"> con tolerancia relativa </w:t>
      </w:r>
      <w:r>
        <w:rPr>
          <w:rStyle w:val="CodeChar"/>
        </w:rPr>
        <w:t>1e-6</w:t>
      </w:r>
      <w:r>
        <w:rPr>
          <w:rFonts w:ascii="Roboto" w:hAnsi="Roboto" w:eastAsia="Roboto"/>
        </w:rPr>
        <w:t>.</w:t>
      </w:r>
    </w:p>
    <w:p>
      <w:pPr>
        <w:pStyle w:val="ListNumber"/>
      </w:pPr>
      <w:r>
        <w:rPr>
          <w:rFonts w:ascii="Roboto" w:hAnsi="Roboto" w:eastAsia="Roboto"/>
        </w:rPr>
        <w:t>Integration: Supabase RLS, Drive checksum/fallback, Resend mocks, PDF, Stripe webhook.</w:t>
      </w:r>
    </w:p>
    <w:p>
      <w:pPr>
        <w:pStyle w:val="ListNumber"/>
      </w:pPr>
      <w:r>
        <w:rPr>
          <w:rFonts w:ascii="Roboto" w:hAnsi="Roboto" w:eastAsia="Roboto"/>
        </w:rPr>
        <w:t>E2E Playwright: happy path validation, out-of-range, i18n, accessibility keyboard, admin, stripe flag off/on.</w:t>
      </w:r>
    </w:p>
    <w:p>
      <w:pPr>
        <w:pStyle w:val="ListNumber"/>
      </w:pPr>
      <w:r>
        <w:rPr>
          <w:rFonts w:ascii="Roboto" w:hAnsi="Roboto" w:eastAsia="Roboto"/>
        </w:rPr>
        <w:t>Security: authz, rate limit, Turnstile, replay webhook, token expiry, logging scrub.</w:t>
      </w:r>
    </w:p>
    <w:p>
      <w:pPr>
        <w:pStyle w:val="ListNumber"/>
      </w:pPr>
      <w:r>
        <w:rPr>
          <w:rFonts w:ascii="Roboto" w:hAnsi="Roboto" w:eastAsia="Roboto"/>
        </w:rPr>
        <w:t>Performance: p95 route handlers y Lighthouse.</w:t>
      </w:r>
    </w:p>
    <w:p>
      <w:pPr>
        <w:pStyle w:val="ListNumber"/>
      </w:pPr>
      <w:r>
        <w:rPr>
          <w:rFonts w:ascii="Roboto" w:hAnsi="Roboto" w:eastAsia="Roboto"/>
        </w:rPr>
        <w:t>Visual/accessibility: 360/768/1280, axe + revisión manual.</w:t>
      </w:r>
    </w:p>
    <w:p>
      <w:pPr>
        <w:pStyle w:val="Heading1"/>
        <w:keepNext/>
      </w:pPr>
      <w:r>
        <w:rPr>
          <w:rFonts w:ascii="Roboto" w:hAnsi="Roboto" w:eastAsia="Roboto"/>
        </w:rPr>
        <w:t>27. Despliegue y operación</w:t>
      </w:r>
    </w:p>
    <w:p>
      <w:r>
        <w:rPr>
          <w:rFonts w:ascii="Roboto" w:hAnsi="Roboto" w:eastAsia="Roboto"/>
        </w:rPr>
        <w:t>GitHub Actions en PR: lint, typecheck, unit, golden vectors, integration, build y Playwright smoke. Main despliega preview/production según política de Vercel.</w:t>
      </w:r>
    </w:p>
    <w:p>
      <w:r>
        <w:rPr>
          <w:rFonts w:ascii="Roboto" w:hAnsi="Roboto" w:eastAsia="Roboto"/>
        </w:rPr>
        <w:t xml:space="preserve">Variables se documentan en </w:t>
      </w:r>
      <w:r>
        <w:rPr>
          <w:rStyle w:val="CodeChar"/>
        </w:rPr>
        <w:t>.env.example</w:t>
      </w:r>
      <w:r>
        <w:rPr>
          <w:rFonts w:ascii="Roboto" w:hAnsi="Roboto" w:eastAsia="Roboto"/>
        </w:rPr>
        <w:t xml:space="preserve">. Secrets solo en Vercel/Netlify/GitHub protected secrets. </w:t>
      </w:r>
      <w:r>
        <w:rPr>
          <w:rStyle w:val="CodeChar"/>
        </w:rPr>
        <w:t>npm run drive:sync</w:t>
      </w:r>
      <w:r>
        <w:rPr>
          <w:rFonts w:ascii="Roboto" w:hAnsi="Roboto" w:eastAsia="Roboto"/>
        </w:rPr>
        <w:t xml:space="preserve"> se ejecuta manualmente o en release controlado para actualizar Drive. La app en runtime valida checksum y no adopta archivos corruptos.</w:t>
      </w:r>
    </w:p>
    <w:p>
      <w:r>
        <w:rPr>
          <w:rFonts w:ascii="Roboto" w:hAnsi="Roboto" w:eastAsia="Roboto"/>
        </w:rPr>
        <w:t>Runbooks mínimos: email failure, Drive unavailable, Stripe webhook retry, Supabase incident, rollback app, rollback Drive to last-known-good, revocación de report token, eliminación de datos y Sentry incident.</w:t>
      </w:r>
    </w:p>
    <w:p>
      <w:pPr>
        <w:pStyle w:val="Heading1"/>
        <w:keepNext/>
      </w:pPr>
      <w:r>
        <w:rPr>
          <w:rFonts w:ascii="Roboto" w:hAnsi="Roboto" w:eastAsia="Roboto"/>
        </w:rPr>
        <w:t>28. Definition of Done</w:t>
      </w:r>
    </w:p>
    <w:p>
      <w:r>
        <w:rPr>
          <w:rFonts w:ascii="Roboto" w:hAnsi="Roboto" w:eastAsia="Roboto"/>
        </w:rPr>
        <w:t>El MVP se considera terminado cuando:</w:t>
      </w:r>
    </w:p>
    <w:p>
      <w:pPr>
        <w:pStyle w:val="ListBullet"/>
      </w:pPr>
      <w:r>
        <w:rPr>
          <w:rFonts w:ascii="Roboto" w:hAnsi="Roboto" w:eastAsia="Roboto"/>
        </w:rPr>
        <w:t>build y typecheck pasan en CI;</w:t>
      </w:r>
    </w:p>
    <w:p>
      <w:pPr>
        <w:pStyle w:val="ListBullet"/>
      </w:pPr>
      <w:r>
        <w:rPr>
          <w:rFonts w:ascii="Roboto" w:hAnsi="Roboto" w:eastAsia="Roboto"/>
        </w:rPr>
        <w:t>18/18 test vectors pasan en TS;</w:t>
      </w:r>
    </w:p>
    <w:p>
      <w:pPr>
        <w:pStyle w:val="ListBullet"/>
      </w:pPr>
      <w:r>
        <w:rPr>
          <w:rFonts w:ascii="Roboto" w:hAnsi="Roboto" w:eastAsia="Roboto"/>
        </w:rPr>
        <w:t>todos los AT críticos pasan;</w:t>
      </w:r>
    </w:p>
    <w:p>
      <w:pPr>
        <w:pStyle w:val="ListBullet"/>
      </w:pPr>
      <w:r>
        <w:rPr>
          <w:rFonts w:ascii="Roboto" w:hAnsi="Roboto" w:eastAsia="Roboto"/>
        </w:rPr>
        <w:t>p95 &lt;2 s y Lighthouse móvil &gt;=90;</w:t>
      </w:r>
    </w:p>
    <w:p>
      <w:pPr>
        <w:pStyle w:val="ListBullet"/>
      </w:pPr>
      <w:r>
        <w:rPr>
          <w:rFonts w:ascii="Roboto" w:hAnsi="Roboto" w:eastAsia="Roboto"/>
        </w:rPr>
        <w:t>rutas ES/EN/PT completas;</w:t>
      </w:r>
    </w:p>
    <w:p>
      <w:pPr>
        <w:pStyle w:val="ListBullet"/>
      </w:pPr>
      <w:r>
        <w:rPr>
          <w:rFonts w:ascii="Roboto" w:hAnsi="Roboto" w:eastAsia="Roboto"/>
        </w:rPr>
        <w:t>RLS verificado;</w:t>
      </w:r>
    </w:p>
    <w:p>
      <w:pPr>
        <w:pStyle w:val="ListBullet"/>
      </w:pPr>
      <w:r>
        <w:rPr>
          <w:rFonts w:ascii="Roboto" w:hAnsi="Roboto" w:eastAsia="Roboto"/>
        </w:rPr>
        <w:t>Drive sync/read/checksum/cache/fallback probado;</w:t>
      </w:r>
    </w:p>
    <w:p>
      <w:pPr>
        <w:pStyle w:val="ListBullet"/>
      </w:pPr>
      <w:r>
        <w:rPr>
          <w:rFonts w:ascii="Roboto" w:hAnsi="Roboto" w:eastAsia="Roboto"/>
        </w:rPr>
        <w:t>validation end-to-end envía correo usuario y owner con PDF;</w:t>
      </w:r>
    </w:p>
    <w:p>
      <w:pPr>
        <w:pStyle w:val="ListBullet"/>
      </w:pPr>
      <w:r>
        <w:rPr>
          <w:rFonts w:ascii="Roboto" w:hAnsi="Roboto" w:eastAsia="Roboto"/>
        </w:rPr>
        <w:t>admin puede ver lead/funnel y reenviar sin ver health payload;</w:t>
      </w:r>
    </w:p>
    <w:p>
      <w:pPr>
        <w:pStyle w:val="ListBullet"/>
      </w:pPr>
      <w:r>
        <w:rPr>
          <w:rFonts w:ascii="Roboto" w:hAnsi="Roboto" w:eastAsia="Roboto"/>
        </w:rPr>
        <w:t>Stripe permanece apagado por defecto y su path probado en sandbox;</w:t>
      </w:r>
    </w:p>
    <w:p>
      <w:pPr>
        <w:pStyle w:val="ListBullet"/>
      </w:pPr>
      <w:r>
        <w:rPr>
          <w:rFonts w:ascii="Roboto" w:hAnsi="Roboto" w:eastAsia="Roboto"/>
        </w:rPr>
        <w:t>privacy/terms publicados;</w:t>
      </w:r>
    </w:p>
    <w:p>
      <w:pPr>
        <w:pStyle w:val="ListBullet"/>
      </w:pPr>
      <w:r>
        <w:rPr>
          <w:rFonts w:ascii="Roboto" w:hAnsi="Roboto" w:eastAsia="Roboto"/>
        </w:rPr>
        <w:t>SPF/DKIM/DMARC listos;</w:t>
      </w:r>
    </w:p>
    <w:p>
      <w:pPr>
        <w:pStyle w:val="ListBullet"/>
      </w:pPr>
      <w:r>
        <w:rPr>
          <w:rFonts w:ascii="Roboto" w:hAnsi="Roboto" w:eastAsia="Roboto"/>
        </w:rPr>
        <w:t>analytics sin datos prohibidos;</w:t>
      </w:r>
    </w:p>
    <w:p>
      <w:pPr>
        <w:pStyle w:val="ListBullet"/>
      </w:pPr>
      <w:r>
        <w:rPr>
          <w:rFonts w:ascii="Roboto" w:hAnsi="Roboto" w:eastAsia="Roboto"/>
        </w:rPr>
        <w:t>no hay marcadores pendientes, secretos, outputs bloqueados visibles ni claims clínicos;</w:t>
      </w:r>
    </w:p>
    <w:p>
      <w:pPr>
        <w:pStyle w:val="ListBullet"/>
      </w:pPr>
      <w:r>
        <w:rPr>
          <w:rStyle w:val="CodeChar"/>
        </w:rPr>
        <w:t>docs/final_audit.md</w:t>
      </w:r>
      <w:r>
        <w:rPr>
          <w:rFonts w:ascii="Roboto" w:hAnsi="Roboto" w:eastAsia="Roboto"/>
        </w:rPr>
        <w:t xml:space="preserve"> = PASS.</w:t>
      </w:r>
    </w:p>
    <w:p>
      <w:pPr>
        <w:pStyle w:val="Heading1"/>
        <w:keepNext/>
      </w:pPr>
      <w:r>
        <w:rPr>
          <w:rFonts w:ascii="Roboto" w:hAnsi="Roboto" w:eastAsia="Roboto"/>
        </w:rPr>
        <w:t>29.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E2E8F0"/>
          </w:tcPr>
          <w:p>
            <w:pPr>
              <w:jc w:val="left"/>
            </w:pPr>
            <w:r>
              <w:rPr>
                <w:rFonts w:ascii="Roboto" w:hAnsi="Roboto"/>
                <w:b/>
                <w:sz w:val="17"/>
              </w:rPr>
              <w:t>Riesgo</w:t>
            </w:r>
          </w:p>
        </w:tc>
        <w:tc>
          <w:tcPr>
            <w:tcW w:type="dxa" w:w="3360"/>
            <w:shd w:fill="E2E8F0"/>
          </w:tcPr>
          <w:p>
            <w:pPr>
              <w:jc w:val="left"/>
            </w:pPr>
            <w:r>
              <w:rPr>
                <w:rFonts w:ascii="Roboto" w:hAnsi="Roboto"/>
                <w:b/>
                <w:sz w:val="17"/>
              </w:rPr>
              <w:t>Severidad</w:t>
            </w:r>
          </w:p>
        </w:tc>
        <w:tc>
          <w:tcPr>
            <w:tcW w:type="dxa" w:w="3360"/>
            <w:shd w:fill="E2E8F0"/>
          </w:tcPr>
          <w:p>
            <w:pPr>
              <w:jc w:val="left"/>
            </w:pPr>
            <w:r>
              <w:rPr>
                <w:rFonts w:ascii="Roboto" w:hAnsi="Roboto"/>
                <w:b/>
                <w:sz w:val="17"/>
              </w:rPr>
              <w:t>Mitigación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Interpretación clínica o ansiedad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Alta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lenguaje poblacional, no semáforo, límites y metodología cerca del resultado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Privacidad de datos de salud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Alta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minimización, RLS, logs limpios, retención corta, separación analytics/operación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Owner email sensible en validation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Alta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acceso mínimo, cifrado en tránsito, buzón dedicado, retención operativa corta, no analytics/admin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Transporte internacional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Alta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no claims locales, validación por país antes de percentiles/calibración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Sesgo/subgrupos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Alta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bloquear claims de calibración hasta validación externa por subgrupos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Reaction-time poco estandarizado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Media-Alta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protocol_version, instrucciones consistentes, issue abierto antes de claim fuerte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Drive corrupto/no disponible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Media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checksum, cache 24 h, last-known-good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Stripe/webhook duplicado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Media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firma, tabla idempotencia, unique constraints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Entrega email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Media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DKIM/SPF/DMARC, retries, admin re-send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Marca/dominio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Media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estado preliminar hasta búsqueda profesional</w:t>
            </w:r>
          </w:p>
        </w:tc>
      </w:tr>
    </w:tbl>
    <w:p/>
    <w:p>
      <w:pPr>
        <w:pStyle w:val="Heading1"/>
        <w:keepNext/>
      </w:pPr>
      <w:r>
        <w:rPr>
          <w:rFonts w:ascii="Roboto" w:hAnsi="Roboto" w:eastAsia="Roboto"/>
        </w:rPr>
        <w:t>30. Supuestos</w:t>
      </w:r>
    </w:p>
    <w:p>
      <w:pPr>
        <w:pStyle w:val="ListBullet"/>
      </w:pPr>
      <w:r>
        <w:rPr>
          <w:rFonts w:ascii="Roboto" w:hAnsi="Roboto" w:eastAsia="Roboto"/>
        </w:rPr>
        <w:t xml:space="preserve">MorrowAge es nombre de trabajo; disponibilidad legal/dominio sigue </w:t>
      </w:r>
      <w:r>
        <w:rPr>
          <w:rFonts w:ascii="Roboto" w:hAnsi="Roboto" w:eastAsia="Roboto"/>
          <w:b/>
        </w:rPr>
        <w:t>preliminar</w:t>
      </w:r>
      <w:r>
        <w:rPr>
          <w:rFonts w:ascii="Roboto" w:hAnsi="Roboto" w:eastAsia="Roboto"/>
        </w:rPr>
        <w:t>.</w:t>
      </w:r>
    </w:p>
    <w:p>
      <w:pPr>
        <w:pStyle w:val="ListBullet"/>
      </w:pPr>
      <w:r>
        <w:rPr>
          <w:rFonts w:ascii="Roboto" w:hAnsi="Roboto" w:eastAsia="Roboto"/>
        </w:rPr>
        <w:t>El paper y coeficientes de Clift 2021 siguen siendo la fuente de cálculo v2.1.</w:t>
      </w:r>
    </w:p>
    <w:p>
      <w:pPr>
        <w:pStyle w:val="ListBullet"/>
      </w:pPr>
      <w:r>
        <w:rPr>
          <w:rFonts w:ascii="Roboto" w:hAnsi="Roboto" w:eastAsia="Roboto"/>
        </w:rPr>
        <w:t>El rango 40–69 es guardrail de producto alineado con población fuente; otros límites numéricos son guardrails preliminares donde así lo indica el spec.</w:t>
      </w:r>
    </w:p>
    <w:p>
      <w:pPr>
        <w:pStyle w:val="ListBullet"/>
      </w:pPr>
      <w:r>
        <w:rPr>
          <w:rFonts w:ascii="Roboto" w:hAnsi="Roboto" w:eastAsia="Roboto"/>
        </w:rPr>
        <w:t>Precios, CAC y conversiones son hipótesis.</w:t>
      </w:r>
    </w:p>
    <w:p>
      <w:pPr>
        <w:pStyle w:val="ListBullet"/>
      </w:pPr>
      <w:r>
        <w:rPr>
          <w:rFonts w:ascii="Roboto" w:hAnsi="Roboto" w:eastAsia="Roboto"/>
        </w:rPr>
        <w:t>Los precios locales no se presentan como PPP verificado.</w:t>
      </w:r>
    </w:p>
    <w:p>
      <w:pPr>
        <w:pStyle w:val="ListBullet"/>
      </w:pPr>
      <w:r>
        <w:rPr>
          <w:rFonts w:ascii="Roboto" w:hAnsi="Roboto" w:eastAsia="Roboto"/>
        </w:rPr>
        <w:t>El costo incremental de validation depende de planes de Vercel/Resend/Supabase y debe medirse en producción.</w:t>
      </w:r>
    </w:p>
    <w:p>
      <w:pPr>
        <w:pStyle w:val="ListBullet"/>
      </w:pPr>
      <w:r>
        <w:rPr>
          <w:rFonts w:ascii="Roboto" w:hAnsi="Roboto" w:eastAsia="Roboto"/>
        </w:rPr>
        <w:t>No se ha completado validación externa por sexo/edad/demografía ni calibración nacional.</w:t>
      </w:r>
    </w:p>
    <w:p>
      <w:pPr>
        <w:pStyle w:val="ListBullet"/>
      </w:pPr>
      <w:r>
        <w:rPr>
          <w:rFonts w:ascii="Roboto" w:hAnsi="Roboto" w:eastAsia="Roboto"/>
        </w:rPr>
        <w:t>El owner mailbox en validation se trata como sistema operacional sensible, no como analytics.</w:t>
      </w:r>
    </w:p>
    <w:p>
      <w:pPr>
        <w:pStyle w:val="Heading1"/>
        <w:keepNext/>
      </w:pPr>
      <w:r>
        <w:rPr>
          <w:rFonts w:ascii="Roboto" w:hAnsi="Roboto" w:eastAsia="Roboto"/>
        </w:rPr>
        <w:t>31. Trazabilidad US ↔ FR ↔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E2E8F0"/>
          </w:tcPr>
          <w:p>
            <w:pPr>
              <w:jc w:val="left"/>
            </w:pPr>
            <w:r>
              <w:rPr>
                <w:rFonts w:ascii="Roboto" w:hAnsi="Roboto"/>
                <w:b/>
                <w:sz w:val="17"/>
              </w:rPr>
              <w:t>US</w:t>
            </w:r>
          </w:p>
        </w:tc>
        <w:tc>
          <w:tcPr>
            <w:tcW w:type="dxa" w:w="3360"/>
            <w:shd w:fill="E2E8F0"/>
          </w:tcPr>
          <w:p>
            <w:pPr>
              <w:jc w:val="left"/>
            </w:pPr>
            <w:r>
              <w:rPr>
                <w:rFonts w:ascii="Roboto" w:hAnsi="Roboto"/>
                <w:b/>
                <w:sz w:val="17"/>
              </w:rPr>
              <w:t>FR</w:t>
            </w:r>
          </w:p>
        </w:tc>
        <w:tc>
          <w:tcPr>
            <w:tcW w:type="dxa" w:w="3360"/>
            <w:shd w:fill="E2E8F0"/>
          </w:tcPr>
          <w:p>
            <w:pPr>
              <w:jc w:val="left"/>
            </w:pPr>
            <w:r>
              <w:rPr>
                <w:rFonts w:ascii="Roboto" w:hAnsi="Roboto"/>
                <w:b/>
                <w:sz w:val="17"/>
              </w:rPr>
              <w:t>Tests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US-01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FR-01, FR-18, FR-24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AT-01, AT-20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US-02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FR-02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AT-02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US-03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FR-02, FR-03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AT-03, AT-04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US-04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FR-04, FR-15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AT-05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US-05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FR-05, FR-07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AT-06, AT-07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US-06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FR-06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AT-08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US-07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FR-08, FR-09, FR-10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AT-09, AT-10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US-08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FR-12, FR-13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AT-11, AT-12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US-09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FR-11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AT-13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US-10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FR-18, FR-25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AT-14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US-11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FR-19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AT-15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US-12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FR-14, FR-24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AT-16, AT-17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US-13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FR-20, FR-21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AT-18, AT-19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US-14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FR-01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AT-20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US-15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FR-01, FR-12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AT-21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US-16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FR-16, FR-17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AT-22, AT-23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US-17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FR-12, FR-25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AT-24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transversal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FR-15, FR-23, FR-26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Roboto" w:hAnsi="Roboto" w:eastAsia="Roboto"/>
                <w:sz w:val="16"/>
              </w:rPr>
              <w:t>AT-25, AT-26, AT-27, AT-28</w:t>
            </w:r>
          </w:p>
        </w:tc>
      </w:tr>
    </w:tbl>
    <w:p/>
    <w:p>
      <w:r>
        <w:rPr>
          <w:rFonts w:ascii="Roboto" w:hAnsi="Roboto" w:eastAsia="Roboto"/>
        </w:rPr>
        <w:t xml:space="preserve">Cada FR aparece en al menos una historia y una prueba por la matriz expandida de </w:t>
      </w:r>
      <w:r>
        <w:rPr>
          <w:rStyle w:val="CodeChar"/>
        </w:rPr>
        <w:t>docs/ACCEPTANCE_TESTS.md</w:t>
      </w:r>
      <w:r>
        <w:rPr>
          <w:rFonts w:ascii="Roboto" w:hAnsi="Roboto" w:eastAsia="Roboto"/>
        </w:rPr>
        <w:t>; los NFR se validan en AT-29 a AT-36.</w:t>
      </w:r>
    </w:p>
    <w:p>
      <w:pPr>
        <w:pStyle w:val="Heading1"/>
        <w:keepNext/>
      </w:pPr>
      <w:r>
        <w:rPr>
          <w:rFonts w:ascii="Roboto" w:hAnsi="Roboto" w:eastAsia="Roboto"/>
        </w:rPr>
        <w:t>32. Anexos</w:t>
      </w:r>
    </w:p>
    <w:p>
      <w:r>
        <w:rPr>
          <w:rFonts w:ascii="Roboto" w:hAnsi="Roboto" w:eastAsia="Roboto"/>
          <w:b/>
        </w:rPr>
        <w:t>Archivos canónicos:</w:t>
      </w:r>
      <w:r>
        <w:rPr>
          <w:rFonts w:ascii="Roboto" w:hAnsi="Roboto" w:eastAsia="Roboto"/>
        </w:rPr>
        <w:t xml:space="preserve"> </w:t>
      </w:r>
      <w:r>
        <w:rPr>
          <w:rStyle w:val="CodeChar"/>
        </w:rPr>
        <w:t>spec/inputs.schema.json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spec/outputs_spec.json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spec/model_spec.json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spec/test_vectors.json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spec/monetizacion.json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spec/analytics_events.json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spec/openapi.yaml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spec/db_schema.sql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spec/design_tokens.json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spec/copy_i18n.json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spec/drive_manifest.json</w:t>
      </w:r>
      <w:r>
        <w:rPr>
          <w:rFonts w:ascii="Roboto" w:hAnsi="Roboto" w:eastAsia="Roboto"/>
        </w:rPr>
        <w:t>.</w:t>
      </w:r>
    </w:p>
    <w:p>
      <w:r>
        <w:rPr>
          <w:rFonts w:ascii="Roboto" w:hAnsi="Roboto" w:eastAsia="Roboto"/>
          <w:b/>
        </w:rPr>
        <w:t>Modelo:</w:t>
      </w:r>
      <w:r>
        <w:rPr>
          <w:rFonts w:ascii="Roboto" w:hAnsi="Roboto" w:eastAsia="Roboto"/>
        </w:rPr>
        <w:t xml:space="preserve"> </w:t>
      </w:r>
      <w:r>
        <w:rPr>
          <w:rStyle w:val="CodeChar"/>
        </w:rPr>
        <w:t>model/engine_reference.py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model/qa_engine.py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model/model_card.md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model/ingest/</w:t>
      </w:r>
      <w:r>
        <w:rPr>
          <w:rFonts w:ascii="Roboto" w:hAnsi="Roboto" w:eastAsia="Roboto"/>
        </w:rPr>
        <w:t>.</w:t>
      </w:r>
    </w:p>
    <w:p>
      <w:r>
        <w:rPr>
          <w:rFonts w:ascii="Roboto" w:hAnsi="Roboto" w:eastAsia="Roboto"/>
          <w:b/>
        </w:rPr>
        <w:t>UX:</w:t>
      </w:r>
      <w:r>
        <w:rPr>
          <w:rFonts w:ascii="Roboto" w:hAnsi="Roboto" w:eastAsia="Roboto"/>
        </w:rPr>
        <w:t xml:space="preserve"> </w:t>
      </w:r>
      <w:r>
        <w:rPr>
          <w:rStyle w:val="CodeChar"/>
        </w:rPr>
        <w:t>ux/ux_spec.md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ux/sitemap_flows.md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ux/components.md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ux/report_layout.md</w:t>
      </w:r>
      <w:r>
        <w:rPr>
          <w:rFonts w:ascii="Roboto" w:hAnsi="Roboto" w:eastAsia="Roboto"/>
        </w:rPr>
        <w:t xml:space="preserve">, </w:t>
      </w:r>
      <w:r>
        <w:rPr>
          <w:rStyle w:val="CodeChar"/>
        </w:rPr>
        <w:t>ux/prototype.html</w:t>
      </w:r>
      <w:r>
        <w:rPr>
          <w:rFonts w:ascii="Roboto" w:hAnsi="Roboto" w:eastAsia="Roboto"/>
        </w:rPr>
        <w:t>.</w:t>
      </w:r>
    </w:p>
    <w:p>
      <w:r>
        <w:rPr>
          <w:rFonts w:ascii="Roboto" w:hAnsi="Roboto" w:eastAsia="Roboto"/>
          <w:b/>
        </w:rPr>
        <w:t>Regulación de referencia revisada para Etapa 4:</w:t>
      </w:r>
      <w:r>
        <w:rPr>
          <w:rFonts w:ascii="Roboto" w:hAnsi="Roboto" w:eastAsia="Roboto"/>
        </w:rPr>
        <w:t xml:space="preserve"> GDPR Regulation (EU) 2016/679; California CCPA/CPRA guidance del California DOJ; LGPD Lei 13.709/2018 y ANPD; Perú Ley 29733 y D.S. 016-2024-JUS vigente desde 31-03-2025. Estas referencias no sustituyen asesoría legal.</w:t>
      </w:r>
    </w:p>
    <w:p>
      <w:r>
        <w:rPr>
          <w:rFonts w:ascii="Roboto" w:hAnsi="Roboto" w:eastAsia="Roboto"/>
          <w:b/>
        </w:rPr>
        <w:t>Open issues de lanzamiento:</w:t>
      </w:r>
      <w:r>
        <w:rPr>
          <w:rFonts w:ascii="Roboto" w:hAnsi="Roboto" w:eastAsia="Roboto"/>
        </w:rPr>
        <w:t xml:space="preserve"> validación externa/subgrupos, baseline survival/recalibración para riesgo absoluto, calibración país, protocolo reaction-time, revisión legal formal por mercado, WTP/PPP, marca/dominio y revalidación SEO.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Roboto" w:hAnsi="Roboto"/>
        <w:sz w:val="16"/>
      </w:rPr>
      <w:t>MorrowAge · PRD v4.0 · READY_TO_BUILD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Roboto" w:hAnsi="Roboto" w:eastAsia="Robot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Roboto" w:hAnsi="Roboto" w:eastAsia="Roboto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Roboto" w:hAnsi="Roboto" w:eastAsia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Roboto" w:hAnsi="Roboto" w:eastAsia="Roboto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Roboto" w:hAnsi="Roboto" w:eastAsia="Roboto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Char">
    <w:name w:val="CodeChar"/>
    <w:rPr>
      <w:rFonts w:ascii="Roboto Mono" w:hAnsi="Roboto Mono" w:eastAsia="Roboto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MorrowAge v4.0</dc:title>
  <dc:subject>Product Requirements Document</dc:subject>
  <dc:creator>MorrowAge Product Factory</dc:creator>
  <cp:keywords/>
  <dc:description>READY_TO_BUILD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