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0B1020"/>
            <w:tcMar>
              <w:top w:w="400" w:type="dxa"/>
              <w:start w:w="350" w:type="dxa"/>
              <w:bottom w:w="420" w:type="dxa"/>
              <w:end w:w="3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38BDF8"/>
                <w:sz w:val="36"/>
              </w:rPr>
              <w:t>PDR ULTRA PREMIUM</w:t>
              <w:br/>
            </w:r>
            <w:r>
              <w:rPr>
                <w:rFonts w:ascii="Arial" w:hAnsi="Arial"/>
                <w:b/>
                <w:color w:val="FFFFFF"/>
                <w:sz w:val="64"/>
              </w:rPr>
              <w:t>Zone Digital</w:t>
              <w:br/>
            </w:r>
            <w:r>
              <w:rPr>
                <w:rFonts w:ascii="Arial" w:hAnsi="Arial"/>
                <w:b/>
                <w:color w:val="A78BFA"/>
                <w:sz w:val="32"/>
              </w:rPr>
              <w:t>www.zone-digital.com</w:t>
              <w:br/>
            </w:r>
            <w:r>
              <w:rPr>
                <w:rFonts w:ascii="Arial" w:hAnsi="Arial"/>
                <w:color w:val="CBD5E1"/>
                <w:sz w:val="22"/>
              </w:rPr>
              <w:br/>
              <w:t>Web profesional para libros, apps, cursos, generación de leads, campañas de email marketing y autoridad digital global</w:t>
            </w:r>
          </w:p>
        </w:tc>
      </w:tr>
    </w:tbl>
    <w:p>
      <w:pPr>
        <w:jc w:val="center"/>
      </w:pPr>
      <w:r>
        <w:rPr>
          <w:sz w:val="20"/>
        </w:rPr>
        <w:br/>
        <w:t>Documento listo para construir con Claude, Antigravity, Codex, Vercel/Netlify, Google Workspace y Brevo/MailerLite.</w:t>
        <w:br/>
      </w:r>
      <w:r>
        <w:rPr>
          <w:sz w:val="18"/>
        </w:rPr>
        <w:t>Versión: 2.0 | Fecha: 01/06/2026 | Autor: Brian Pajares / Zone Digital</w:t>
      </w:r>
    </w:p>
    <w:p>
      <w:r>
        <w:br w:type="page"/>
      </w:r>
    </w:p>
    <w:p>
      <w:pPr>
        <w:pStyle w:val="Heading1"/>
      </w:pPr>
      <w:r>
        <w:t>1. Resumen ejecutivo</w:t>
      </w:r>
    </w:p>
    <w:p>
      <w:pPr>
        <w:pStyle w:val="PremiumQuote"/>
      </w:pPr>
      <w:r>
        <w:rPr>
          <w:b/>
        </w:rPr>
        <w:t xml:space="preserve">Decisión estratégica: </w:t>
      </w:r>
      <w:r>
        <w:t>Zone Digital debe construirse como un activo digital propio: una plataforma premium para atraer tráfico desde redes sociales y publicidad, convertir visitantes en leads, medir intención comercial y cerrar ventas de libros, cursos y futuras apps.</w:t>
      </w:r>
    </w:p>
    <w:p>
      <w:r>
        <w:t>El dominio canónico del proyecto será www.zone-digital.com. El dominio fue creado/gestionado en WordPress, pero la nueva web debe construirse como una experiencia ultra premium, escalable y optimizada para conversión. La migración debe hacerse sin perder el control del dominio, sin dañar la reputación del correo y sin interrumpir la futura captación de leads.</w:t>
      </w:r>
    </w:p>
    <w:p>
      <w:pPr>
        <w:pStyle w:val="Heading1"/>
      </w:pPr>
      <w:r>
        <w:t>2. Decisiones críticas del proyecto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3389"/>
        <w:gridCol w:w="3389"/>
        <w:gridCol w:w="3389"/>
      </w:tblGrid>
      <w:tr>
        <w:tc>
          <w:tcPr>
            <w:tcW w:type="dxa" w:w="3389"/>
            <w:shd w:fill="1D4ED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Área</w:t>
            </w:r>
          </w:p>
        </w:tc>
        <w:tc>
          <w:tcPr>
            <w:tcW w:type="dxa" w:w="3389"/>
            <w:shd w:fill="1D4ED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Decisión recomendada</w:t>
            </w:r>
          </w:p>
        </w:tc>
        <w:tc>
          <w:tcPr>
            <w:tcW w:type="dxa" w:w="3389"/>
            <w:shd w:fill="1D4ED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Motivo experto</w:t>
            </w:r>
          </w:p>
        </w:tc>
      </w:tr>
      <w:tr>
        <w:tc>
          <w:tcPr>
            <w:tcW w:type="dxa" w:w="3389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Dominio</w:t>
            </w:r>
          </w:p>
        </w:tc>
        <w:tc>
          <w:tcPr>
            <w:tcW w:type="dxa" w:w="3389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Usar www.zone-digital.com como dominio canónico.</w:t>
            </w:r>
          </w:p>
        </w:tc>
        <w:tc>
          <w:tcPr>
            <w:tcW w:type="dxa" w:w="3389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Evita confusión con variantes como www-zone-digital.com y mantiene una marca profesional.</w:t>
            </w:r>
          </w:p>
        </w:tc>
      </w:tr>
      <w:tr>
        <w:tc>
          <w:tcPr>
            <w:tcW w:type="dxa" w:w="3389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Migración</w:t>
            </w:r>
          </w:p>
        </w:tc>
        <w:tc>
          <w:tcPr>
            <w:tcW w:type="dxa" w:w="3389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Primero apuntar DNS desde WordPress al nuevo hosting; transferir registrador solo después de validar estabilidad.</w:t>
            </w:r>
          </w:p>
        </w:tc>
        <w:tc>
          <w:tcPr>
            <w:tcW w:type="dxa" w:w="3389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Reduce riesgo de caída. WordPress advierte que transferir dominio puede tomar 5 a 7 días.</w:t>
            </w:r>
          </w:p>
        </w:tc>
      </w:tr>
      <w:tr>
        <w:tc>
          <w:tcPr>
            <w:tcW w:type="dxa" w:w="3389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Hosting</w:t>
            </w:r>
          </w:p>
        </w:tc>
        <w:tc>
          <w:tcPr>
            <w:tcW w:type="dxa" w:w="3389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Vercel como primera opción; Netlify como alternativa.</w:t>
            </w:r>
          </w:p>
        </w:tc>
        <w:tc>
          <w:tcPr>
            <w:tcW w:type="dxa" w:w="3389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Rápido, moderno, excelente para Next.js, deployment continuo y SSL automático.</w:t>
            </w:r>
          </w:p>
        </w:tc>
      </w:tr>
      <w:tr>
        <w:tc>
          <w:tcPr>
            <w:tcW w:type="dxa" w:w="3389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Frontend</w:t>
            </w:r>
          </w:p>
        </w:tc>
        <w:tc>
          <w:tcPr>
            <w:tcW w:type="dxa" w:w="3389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Next.js + TypeScript + Tailwind CSS + shadcn/ui + Framer Motion.</w:t>
            </w:r>
          </w:p>
        </w:tc>
        <w:tc>
          <w:tcPr>
            <w:tcW w:type="dxa" w:w="3389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Stack ideal para Claude, Codex y Antigravity, con calidad visual premium y velocidad.</w:t>
            </w:r>
          </w:p>
        </w:tc>
      </w:tr>
      <w:tr>
        <w:tc>
          <w:tcPr>
            <w:tcW w:type="dxa" w:w="3389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Correo corporativo</w:t>
            </w:r>
          </w:p>
        </w:tc>
        <w:tc>
          <w:tcPr>
            <w:tcW w:type="dxa" w:w="3389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Google Workspace para brian@zone-digital.com y cuentas oficiales.</w:t>
            </w:r>
          </w:p>
        </w:tc>
        <w:tc>
          <w:tcPr>
            <w:tcW w:type="dxa" w:w="3389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Confianza ejecutiva, Gmail profesional, calendario, Drive y administración de dominio.</w:t>
            </w:r>
          </w:p>
        </w:tc>
      </w:tr>
      <w:tr>
        <w:tc>
          <w:tcPr>
            <w:tcW w:type="dxa" w:w="3389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Email marketing</w:t>
            </w:r>
          </w:p>
        </w:tc>
        <w:tc>
          <w:tcPr>
            <w:tcW w:type="dxa" w:w="3389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Brevo como opción inicial recomendada; MailerLite como alternativa simple; HubSpot cuando crezca el CRM.</w:t>
            </w:r>
          </w:p>
        </w:tc>
        <w:tc>
          <w:tcPr>
            <w:tcW w:type="dxa" w:w="3389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Brevo permite formularios, automatizaciones, tracking web/eventos y campañas multicanal.</w:t>
            </w:r>
          </w:p>
        </w:tc>
      </w:tr>
      <w:tr>
        <w:tc>
          <w:tcPr>
            <w:tcW w:type="dxa" w:w="3389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Leads</w:t>
            </w:r>
          </w:p>
        </w:tc>
        <w:tc>
          <w:tcPr>
            <w:tcW w:type="dxa" w:w="3389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Capítulo gratis por libro + formularios + segmentación + lead scoring.</w:t>
            </w:r>
          </w:p>
        </w:tc>
        <w:tc>
          <w:tcPr>
            <w:tcW w:type="dxa" w:w="3389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Convierte tráfico de redes y publicidad en base de datos propia.</w:t>
            </w:r>
          </w:p>
        </w:tc>
      </w:tr>
      <w:tr>
        <w:tc>
          <w:tcPr>
            <w:tcW w:type="dxa" w:w="3389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Tracking</w:t>
            </w:r>
          </w:p>
        </w:tc>
        <w:tc>
          <w:tcPr>
            <w:tcW w:type="dxa" w:w="3389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GA4 + GTM + LinkedIn Insight Tag + Meta Pixel + UTMs.</w:t>
            </w:r>
          </w:p>
        </w:tc>
        <w:tc>
          <w:tcPr>
            <w:tcW w:type="dxa" w:w="3389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Permite medir campañas, audiencias, remarketing y conversión.</w:t>
            </w:r>
          </w:p>
        </w:tc>
      </w:tr>
    </w:tbl>
    <w:p>
      <w:pPr>
        <w:pStyle w:val="Heading1"/>
      </w:pPr>
      <w:r>
        <w:t>3. Objetivo del producto</w:t>
      </w:r>
    </w:p>
    <w:p>
      <w:r>
        <w:t>Crear una página web ultra premium para Zone Digital que consolide libros en español e inglés, capture leads con capítulos gratis, prepare ventas de cursos y apps, conecte campañas de email marketing y permita medir el comportamiento de visitantes provenientes de LinkedIn, Instagram, TikTok, YouTube, Google Ads, Meta Ads y campañas orgánicas.</w:t>
      </w:r>
    </w:p>
    <w:p>
      <w:pPr>
        <w:pStyle w:val="Heading1"/>
      </w:pPr>
      <w:r>
        <w:t>4. Posicionamiento de marca</w:t>
      </w:r>
    </w:p>
    <w:p>
      <w:pPr>
        <w:pStyle w:val="ListBullet"/>
      </w:pPr>
      <w:r>
        <w:t>Zone Digital: Books, Apps &amp; Courses for the AI-Powered Professional.</w:t>
      </w:r>
    </w:p>
    <w:p>
      <w:pPr>
        <w:pStyle w:val="ListBullet"/>
      </w:pPr>
      <w:r>
        <w:t>Libros, cursos y herramientas digitales para profesionales que quieren dominar inteligencia artificial, minería digital, certificaciones, negocios y transformación tecnológica.</w:t>
      </w:r>
    </w:p>
    <w:p>
      <w:pPr>
        <w:pStyle w:val="ListBullet"/>
      </w:pPr>
      <w:r>
        <w:t>Una marca global creada por Brian Pajares para convertir conocimiento técnico en ventaja competitiva, ingresos digitales y autoridad profesional.</w:t>
      </w:r>
    </w:p>
    <w:p>
      <w:pPr>
        <w:pStyle w:val="Heading1"/>
      </w:pPr>
      <w:r>
        <w:t>5. Arquitectura de la web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5083"/>
        <w:gridCol w:w="5083"/>
      </w:tblGrid>
      <w:tr>
        <w:tc>
          <w:tcPr>
            <w:tcW w:type="dxa" w:w="5083"/>
            <w:shd w:fill="0F172A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Página</w:t>
            </w:r>
          </w:p>
        </w:tc>
        <w:tc>
          <w:tcPr>
            <w:tcW w:type="dxa" w:w="5083"/>
            <w:shd w:fill="0F172A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Función comercial</w:t>
            </w:r>
          </w:p>
        </w:tc>
      </w:tr>
      <w:tr>
        <w:tc>
          <w:tcPr>
            <w:tcW w:type="dxa" w:w="508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Home</w:t>
            </w:r>
          </w:p>
        </w:tc>
        <w:tc>
          <w:tcPr>
            <w:tcW w:type="dxa" w:w="508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Landing ejecutiva con hero premium, libros destacados, recursos gratis, cursos/apps próximos, autoridad del autor y CTA principal.</w:t>
            </w:r>
          </w:p>
        </w:tc>
      </w:tr>
      <w:tr>
        <w:tc>
          <w:tcPr>
            <w:tcW w:type="dxa" w:w="508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Books</w:t>
            </w:r>
          </w:p>
        </w:tc>
        <w:tc>
          <w:tcPr>
            <w:tcW w:type="dxa" w:w="508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Catálogo filtrable por idioma, categoría y formato. Debe incluir botón de compra y botón de capítulo gratis.</w:t>
            </w:r>
          </w:p>
        </w:tc>
      </w:tr>
      <w:tr>
        <w:tc>
          <w:tcPr>
            <w:tcW w:type="dxa" w:w="508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Book Detail</w:t>
            </w:r>
          </w:p>
        </w:tc>
        <w:tc>
          <w:tcPr>
            <w:tcW w:type="dxa" w:w="508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Página individual SEO por libro con portada, descripción, beneficios, capítulo gratis, lead form y CTA de compra.</w:t>
            </w:r>
          </w:p>
        </w:tc>
      </w:tr>
      <w:tr>
        <w:tc>
          <w:tcPr>
            <w:tcW w:type="dxa" w:w="508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Free Resources</w:t>
            </w:r>
          </w:p>
        </w:tc>
        <w:tc>
          <w:tcPr>
            <w:tcW w:type="dxa" w:w="508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Biblioteca de capítulos gratis, checklists, mapas mentales y plantillas para captación de leads.</w:t>
            </w:r>
          </w:p>
        </w:tc>
      </w:tr>
      <w:tr>
        <w:tc>
          <w:tcPr>
            <w:tcW w:type="dxa" w:w="508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Courses</w:t>
            </w:r>
          </w:p>
        </w:tc>
        <w:tc>
          <w:tcPr>
            <w:tcW w:type="dxa" w:w="508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Cursos próximos con waitlist y preventa.</w:t>
            </w:r>
          </w:p>
        </w:tc>
      </w:tr>
      <w:tr>
        <w:tc>
          <w:tcPr>
            <w:tcW w:type="dxa" w:w="508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Apps</w:t>
            </w:r>
          </w:p>
        </w:tc>
        <w:tc>
          <w:tcPr>
            <w:tcW w:type="dxa" w:w="508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Apps próximas con waitlist, problemas que resuelven y early access.</w:t>
            </w:r>
          </w:p>
        </w:tc>
      </w:tr>
      <w:tr>
        <w:tc>
          <w:tcPr>
            <w:tcW w:type="dxa" w:w="508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About Brian</w:t>
            </w:r>
          </w:p>
        </w:tc>
        <w:tc>
          <w:tcPr>
            <w:tcW w:type="dxa" w:w="508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Autoridad profesional, experiencia, misión y credenciales.</w:t>
            </w:r>
          </w:p>
        </w:tc>
      </w:tr>
      <w:tr>
        <w:tc>
          <w:tcPr>
            <w:tcW w:type="dxa" w:w="508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Contact</w:t>
            </w:r>
          </w:p>
        </w:tc>
        <w:tc>
          <w:tcPr>
            <w:tcW w:type="dxa" w:w="508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Formulario comercial, partnerships, soporte y prensa.</w:t>
            </w:r>
          </w:p>
        </w:tc>
      </w:tr>
      <w:tr>
        <w:tc>
          <w:tcPr>
            <w:tcW w:type="dxa" w:w="508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Legal</w:t>
            </w:r>
          </w:p>
        </w:tc>
        <w:tc>
          <w:tcPr>
            <w:tcW w:type="dxa" w:w="508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Privacy Policy, Terms of Use, Affiliate Disclosure, Cookie Notice.</w:t>
            </w:r>
          </w:p>
        </w:tc>
      </w:tr>
    </w:tbl>
    <w:p>
      <w:pPr>
        <w:pStyle w:val="Heading1"/>
      </w:pPr>
      <w:r>
        <w:t>6. Página de libros orientada a venta y leads</w:t>
      </w:r>
    </w:p>
    <w:p>
      <w:r>
        <w:t>La página Books no debe ser una simple grilla. Debe comportarse como un sistema de conversión. Cada libro debe tener dos rutas: compra inmediata o captura del lead mediante capítulo gratis.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3389"/>
        <w:gridCol w:w="3389"/>
        <w:gridCol w:w="3389"/>
      </w:tblGrid>
      <w:tr>
        <w:tc>
          <w:tcPr>
            <w:tcW w:type="dxa" w:w="3389"/>
            <w:shd w:fill="1D4ED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Componente</w:t>
            </w:r>
          </w:p>
        </w:tc>
        <w:tc>
          <w:tcPr>
            <w:tcW w:type="dxa" w:w="3389"/>
            <w:shd w:fill="1D4ED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Descripción</w:t>
            </w:r>
          </w:p>
        </w:tc>
        <w:tc>
          <w:tcPr>
            <w:tcW w:type="dxa" w:w="3389"/>
            <w:shd w:fill="1D4ED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Evento medido</w:t>
            </w:r>
          </w:p>
        </w:tc>
      </w:tr>
      <w:tr>
        <w:tc>
          <w:tcPr>
            <w:tcW w:type="dxa" w:w="338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Hero del libro</w:t>
            </w:r>
          </w:p>
        </w:tc>
        <w:tc>
          <w:tcPr>
            <w:tcW w:type="dxa" w:w="338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Portada grande, título, subtítulo comercial, categoría e idioma.</w:t>
            </w:r>
          </w:p>
        </w:tc>
        <w:tc>
          <w:tcPr>
            <w:tcW w:type="dxa" w:w="338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view_book</w:t>
            </w:r>
          </w:p>
        </w:tc>
      </w:tr>
      <w:tr>
        <w:tc>
          <w:tcPr>
            <w:tcW w:type="dxa" w:w="338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Botón Buy on Amazon</w:t>
            </w:r>
          </w:p>
        </w:tc>
        <w:tc>
          <w:tcPr>
            <w:tcW w:type="dxa" w:w="338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CTA principal para compra inmediata.</w:t>
            </w:r>
          </w:p>
        </w:tc>
        <w:tc>
          <w:tcPr>
            <w:tcW w:type="dxa" w:w="338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amazon_click</w:t>
            </w:r>
          </w:p>
        </w:tc>
      </w:tr>
      <w:tr>
        <w:tc>
          <w:tcPr>
            <w:tcW w:type="dxa" w:w="338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Botón Download Free Chapter</w:t>
            </w:r>
          </w:p>
        </w:tc>
        <w:tc>
          <w:tcPr>
            <w:tcW w:type="dxa" w:w="338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CTA secundario para capturar email.</w:t>
            </w:r>
          </w:p>
        </w:tc>
        <w:tc>
          <w:tcPr>
            <w:tcW w:type="dxa" w:w="338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download_free_chapter_click</w:t>
            </w:r>
          </w:p>
        </w:tc>
      </w:tr>
      <w:tr>
        <w:tc>
          <w:tcPr>
            <w:tcW w:type="dxa" w:w="338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Formulario de lead</w:t>
            </w:r>
          </w:p>
        </w:tc>
        <w:tc>
          <w:tcPr>
            <w:tcW w:type="dxa" w:w="338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Nombre, email, interés, país, consentimiento.</w:t>
            </w:r>
          </w:p>
        </w:tc>
        <w:tc>
          <w:tcPr>
            <w:tcW w:type="dxa" w:w="338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generate_lead</w:t>
            </w:r>
          </w:p>
        </w:tc>
      </w:tr>
      <w:tr>
        <w:tc>
          <w:tcPr>
            <w:tcW w:type="dxa" w:w="338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Página de gracias</w:t>
            </w:r>
          </w:p>
        </w:tc>
        <w:tc>
          <w:tcPr>
            <w:tcW w:type="dxa" w:w="338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Entrega del capítulo, recomendación del libro completo y libros relacionados.</w:t>
            </w:r>
          </w:p>
        </w:tc>
        <w:tc>
          <w:tcPr>
            <w:tcW w:type="dxa" w:w="338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lead_magnet_download</w:t>
            </w:r>
          </w:p>
        </w:tc>
      </w:tr>
      <w:tr>
        <w:tc>
          <w:tcPr>
            <w:tcW w:type="dxa" w:w="338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Libros relacionados</w:t>
            </w:r>
          </w:p>
        </w:tc>
        <w:tc>
          <w:tcPr>
            <w:tcW w:type="dxa" w:w="338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Upsell/cross-sell por categoría.</w:t>
            </w:r>
          </w:p>
        </w:tc>
        <w:tc>
          <w:tcPr>
            <w:tcW w:type="dxa" w:w="338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select_item</w:t>
            </w:r>
          </w:p>
        </w:tc>
      </w:tr>
      <w:tr>
        <w:tc>
          <w:tcPr>
            <w:tcW w:type="dxa" w:w="338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Pop-up de salida</w:t>
            </w:r>
          </w:p>
        </w:tc>
        <w:tc>
          <w:tcPr>
            <w:tcW w:type="dxa" w:w="338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Ofrece capítulo gratis antes de que el usuario abandone.</w:t>
            </w:r>
          </w:p>
        </w:tc>
        <w:tc>
          <w:tcPr>
            <w:tcW w:type="dxa" w:w="338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exit_intent_lead</w:t>
            </w:r>
          </w:p>
        </w:tc>
      </w:tr>
    </w:tbl>
    <w:p>
      <w:pPr>
        <w:pStyle w:val="Heading1"/>
      </w:pPr>
      <w:r>
        <w:t>7. Capítulo gratis por libro: mecanismo de captación</w:t>
      </w:r>
    </w:p>
    <w:p>
      <w:r>
        <w:t>Cada libro debe tener un capítulo gratis o recurso equivalente. Esto convierte tráfico frío de redes sociales en leads propios. El visitante no identificado se vuelve contacto cuando entrega nombre y correo.</w:t>
      </w:r>
    </w:p>
    <w:p>
      <w:pPr>
        <w:pStyle w:val="ListNumber"/>
      </w:pPr>
      <w:r>
        <w:t>Visitante llega desde LinkedIn/Instagram/TikTok/YouTube/Ads con UTM.</w:t>
      </w:r>
    </w:p>
    <w:p>
      <w:pPr>
        <w:pStyle w:val="ListNumber"/>
      </w:pPr>
      <w:r>
        <w:t>Ve la página del libro y registra evento view_book.</w:t>
      </w:r>
    </w:p>
    <w:p>
      <w:pPr>
        <w:pStyle w:val="ListNumber"/>
      </w:pPr>
      <w:r>
        <w:t>Hace clic en Download Free Chapter.</w:t>
      </w:r>
    </w:p>
    <w:p>
      <w:pPr>
        <w:pStyle w:val="ListNumber"/>
      </w:pPr>
      <w:r>
        <w:t>Completa formulario con consentimiento de marketing.</w:t>
      </w:r>
    </w:p>
    <w:p>
      <w:pPr>
        <w:pStyle w:val="ListNumber"/>
      </w:pPr>
      <w:r>
        <w:t>Recibe email automático con el capítulo gratis.</w:t>
      </w:r>
    </w:p>
    <w:p>
      <w:pPr>
        <w:pStyle w:val="ListNumber"/>
      </w:pPr>
      <w:r>
        <w:t>Ingresa a una secuencia de nurturing de 7 a 14 días.</w:t>
      </w:r>
    </w:p>
    <w:p>
      <w:pPr>
        <w:pStyle w:val="ListNumber"/>
      </w:pPr>
      <w:r>
        <w:t>Recibe oferta suave del libro en Amazon/Gumroad y libros relacionados.</w:t>
      </w:r>
    </w:p>
    <w:p>
      <w:pPr>
        <w:pStyle w:val="ListNumber"/>
      </w:pPr>
      <w:r>
        <w:t>Si hace clic varias veces o visita varias páginas, sube su lead score.</w:t>
      </w:r>
    </w:p>
    <w:p>
      <w:pPr>
        <w:pStyle w:val="Heading1"/>
      </w:pPr>
      <w:r>
        <w:t>8. Lead scoring y segmentación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3389"/>
        <w:gridCol w:w="3389"/>
        <w:gridCol w:w="3389"/>
      </w:tblGrid>
      <w:tr>
        <w:tc>
          <w:tcPr>
            <w:tcW w:type="dxa" w:w="3389"/>
            <w:shd w:fill="0F172A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Acción del visitante</w:t>
            </w:r>
          </w:p>
        </w:tc>
        <w:tc>
          <w:tcPr>
            <w:tcW w:type="dxa" w:w="3389"/>
            <w:shd w:fill="0F172A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Puntaje</w:t>
            </w:r>
          </w:p>
        </w:tc>
        <w:tc>
          <w:tcPr>
            <w:tcW w:type="dxa" w:w="3389"/>
            <w:shd w:fill="0F172A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Interpretación</w:t>
            </w:r>
          </w:p>
        </w:tc>
      </w:tr>
      <w:tr>
        <w:tc>
          <w:tcPr>
            <w:tcW w:type="dxa" w:w="338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Visita página de libro</w:t>
            </w:r>
          </w:p>
        </w:tc>
        <w:tc>
          <w:tcPr>
            <w:tcW w:type="dxa" w:w="338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+5</w:t>
            </w:r>
          </w:p>
        </w:tc>
        <w:tc>
          <w:tcPr>
            <w:tcW w:type="dxa" w:w="338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Interés inicial</w:t>
            </w:r>
          </w:p>
        </w:tc>
      </w:tr>
      <w:tr>
        <w:tc>
          <w:tcPr>
            <w:tcW w:type="dxa" w:w="338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Descarga capítulo gratis</w:t>
            </w:r>
          </w:p>
        </w:tc>
        <w:tc>
          <w:tcPr>
            <w:tcW w:type="dxa" w:w="338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+20</w:t>
            </w:r>
          </w:p>
        </w:tc>
        <w:tc>
          <w:tcPr>
            <w:tcW w:type="dxa" w:w="338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Lead capturado</w:t>
            </w:r>
          </w:p>
        </w:tc>
      </w:tr>
      <w:tr>
        <w:tc>
          <w:tcPr>
            <w:tcW w:type="dxa" w:w="338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Abre email</w:t>
            </w:r>
          </w:p>
        </w:tc>
        <w:tc>
          <w:tcPr>
            <w:tcW w:type="dxa" w:w="338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+5</w:t>
            </w:r>
          </w:p>
        </w:tc>
        <w:tc>
          <w:tcPr>
            <w:tcW w:type="dxa" w:w="338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Engagement bajo</w:t>
            </w:r>
          </w:p>
        </w:tc>
      </w:tr>
      <w:tr>
        <w:tc>
          <w:tcPr>
            <w:tcW w:type="dxa" w:w="338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Hace clic en email</w:t>
            </w:r>
          </w:p>
        </w:tc>
        <w:tc>
          <w:tcPr>
            <w:tcW w:type="dxa" w:w="338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+10</w:t>
            </w:r>
          </w:p>
        </w:tc>
        <w:tc>
          <w:tcPr>
            <w:tcW w:type="dxa" w:w="338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Engagement medio</w:t>
            </w:r>
          </w:p>
        </w:tc>
      </w:tr>
      <w:tr>
        <w:tc>
          <w:tcPr>
            <w:tcW w:type="dxa" w:w="338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Hace clic en Amazon/Gumroad</w:t>
            </w:r>
          </w:p>
        </w:tc>
        <w:tc>
          <w:tcPr>
            <w:tcW w:type="dxa" w:w="338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+25</w:t>
            </w:r>
          </w:p>
        </w:tc>
        <w:tc>
          <w:tcPr>
            <w:tcW w:type="dxa" w:w="338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Alta intención</w:t>
            </w:r>
          </w:p>
        </w:tc>
      </w:tr>
      <w:tr>
        <w:tc>
          <w:tcPr>
            <w:tcW w:type="dxa" w:w="338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Visita 3 libros o más</w:t>
            </w:r>
          </w:p>
        </w:tc>
        <w:tc>
          <w:tcPr>
            <w:tcW w:type="dxa" w:w="338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+15</w:t>
            </w:r>
          </w:p>
        </w:tc>
        <w:tc>
          <w:tcPr>
            <w:tcW w:type="dxa" w:w="338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Interés fuerte por categoría</w:t>
            </w:r>
          </w:p>
        </w:tc>
      </w:tr>
      <w:tr>
        <w:tc>
          <w:tcPr>
            <w:tcW w:type="dxa" w:w="338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Se registra a waitlist de curso/app</w:t>
            </w:r>
          </w:p>
        </w:tc>
        <w:tc>
          <w:tcPr>
            <w:tcW w:type="dxa" w:w="338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+40</w:t>
            </w:r>
          </w:p>
        </w:tc>
        <w:tc>
          <w:tcPr>
            <w:tcW w:type="dxa" w:w="338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Lead muy caliente</w:t>
            </w:r>
          </w:p>
        </w:tc>
      </w:tr>
    </w:tbl>
    <w:p>
      <w:r>
        <w:t>Clasificación recomendada: 0-20 lead frío, 21-50 lead tibio, 51-80 lead caliente, 81+ lead listo para oferta directa.</w:t>
      </w:r>
    </w:p>
    <w:p>
      <w:pPr>
        <w:pStyle w:val="Heading1"/>
      </w:pPr>
      <w:r>
        <w:t>9. Arquitectura técnica recomendada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5083"/>
        <w:gridCol w:w="5083"/>
      </w:tblGrid>
      <w:tr>
        <w:tc>
          <w:tcPr>
            <w:tcW w:type="dxa" w:w="5083"/>
            <w:shd w:fill="1D4ED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Capa</w:t>
            </w:r>
          </w:p>
        </w:tc>
        <w:tc>
          <w:tcPr>
            <w:tcW w:type="dxa" w:w="5083"/>
            <w:shd w:fill="1D4ED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Herramienta recomendada</w:t>
            </w:r>
          </w:p>
        </w:tc>
      </w:tr>
      <w:tr>
        <w:tc>
          <w:tcPr>
            <w:tcW w:type="dxa" w:w="508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Frontend</w:t>
            </w:r>
          </w:p>
        </w:tc>
        <w:tc>
          <w:tcPr>
            <w:tcW w:type="dxa" w:w="508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Next.js + TypeScript</w:t>
            </w:r>
          </w:p>
        </w:tc>
      </w:tr>
      <w:tr>
        <w:tc>
          <w:tcPr>
            <w:tcW w:type="dxa" w:w="508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Diseño</w:t>
            </w:r>
          </w:p>
        </w:tc>
        <w:tc>
          <w:tcPr>
            <w:tcW w:type="dxa" w:w="508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Tailwind CSS + shadcn/ui + Framer Motion</w:t>
            </w:r>
          </w:p>
        </w:tc>
      </w:tr>
      <w:tr>
        <w:tc>
          <w:tcPr>
            <w:tcW w:type="dxa" w:w="508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Hosting</w:t>
            </w:r>
          </w:p>
        </w:tc>
        <w:tc>
          <w:tcPr>
            <w:tcW w:type="dxa" w:w="508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Vercel, con deploy continuo desde GitHub</w:t>
            </w:r>
          </w:p>
        </w:tc>
      </w:tr>
      <w:tr>
        <w:tc>
          <w:tcPr>
            <w:tcW w:type="dxa" w:w="508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Base de datos opcional</w:t>
            </w:r>
          </w:p>
        </w:tc>
        <w:tc>
          <w:tcPr>
            <w:tcW w:type="dxa" w:w="508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Supabase para leads si se requiere control propio adicional</w:t>
            </w:r>
          </w:p>
        </w:tc>
      </w:tr>
      <w:tr>
        <w:tc>
          <w:tcPr>
            <w:tcW w:type="dxa" w:w="508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Email profesional</w:t>
            </w:r>
          </w:p>
        </w:tc>
        <w:tc>
          <w:tcPr>
            <w:tcW w:type="dxa" w:w="508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Google Workspace</w:t>
            </w:r>
          </w:p>
        </w:tc>
      </w:tr>
      <w:tr>
        <w:tc>
          <w:tcPr>
            <w:tcW w:type="dxa" w:w="508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Email marketing</w:t>
            </w:r>
          </w:p>
        </w:tc>
        <w:tc>
          <w:tcPr>
            <w:tcW w:type="dxa" w:w="508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Brevo recomendado para fase 1; MailerLite alternativa simple; HubSpot fase CRM avanzada</w:t>
            </w:r>
          </w:p>
        </w:tc>
      </w:tr>
      <w:tr>
        <w:tc>
          <w:tcPr>
            <w:tcW w:type="dxa" w:w="508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Analytics</w:t>
            </w:r>
          </w:p>
        </w:tc>
        <w:tc>
          <w:tcPr>
            <w:tcW w:type="dxa" w:w="508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Google Analytics 4 + Google Tag Manager</w:t>
            </w:r>
          </w:p>
        </w:tc>
      </w:tr>
      <w:tr>
        <w:tc>
          <w:tcPr>
            <w:tcW w:type="dxa" w:w="508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Publicidad</w:t>
            </w:r>
          </w:p>
        </w:tc>
        <w:tc>
          <w:tcPr>
            <w:tcW w:type="dxa" w:w="508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LinkedIn Insight Tag, Meta Pixel, Google Ads conversion tracking</w:t>
            </w:r>
          </w:p>
        </w:tc>
      </w:tr>
      <w:tr>
        <w:tc>
          <w:tcPr>
            <w:tcW w:type="dxa" w:w="508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SEO</w:t>
            </w:r>
          </w:p>
        </w:tc>
        <w:tc>
          <w:tcPr>
            <w:tcW w:type="dxa" w:w="508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Metadata dinámica, sitemap.xml, robots.txt, Open Graph, Schema Book/Product</w:t>
            </w:r>
          </w:p>
        </w:tc>
      </w:tr>
      <w:tr>
        <w:tc>
          <w:tcPr>
            <w:tcW w:type="dxa" w:w="508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Privacidad</w:t>
            </w:r>
          </w:p>
        </w:tc>
        <w:tc>
          <w:tcPr>
            <w:tcW w:type="dxa" w:w="508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Cookie banner + consentimiento explícito en formularios</w:t>
            </w:r>
          </w:p>
        </w:tc>
      </w:tr>
    </w:tbl>
    <w:p>
      <w:pPr>
        <w:pStyle w:val="Heading1"/>
      </w:pPr>
      <w:r>
        <w:t>10. Plan de migración del dominio desde WordPress</w:t>
      </w:r>
    </w:p>
    <w:p>
      <w:r>
        <w:t>Dominio objetivo: www.zone-digital.com. El root domain zone-digital.com debe redirigir a www.zone-digital.com para mantener una sola URL canónica en SEO, publicidad y email marketing.</w:t>
      </w:r>
    </w:p>
    <w:p>
      <w:pPr>
        <w:pStyle w:val="Heading2"/>
      </w:pPr>
      <w:r>
        <w:t>10.1 Principio experto</w:t>
      </w:r>
    </w:p>
    <w:p>
      <w:r>
        <w:t>No se recomienda iniciar transferiendo el registrador del dominio como primer paso. Lo más seguro es construir la nueva web en Vercel/Netlify, probarla en URL temporal, y luego apuntar DNS desde WordPress al nuevo hosting. La transferencia de registrador puede hacerse después, cuando la web, el correo y las campañas ya estén validadas.</w:t>
      </w:r>
    </w:p>
    <w:p>
      <w:pPr>
        <w:pStyle w:val="Heading2"/>
      </w:pPr>
      <w:r>
        <w:t>10.2 Fases de migración</w:t>
      </w:r>
    </w:p>
    <w:p>
      <w:pPr>
        <w:pStyle w:val="ListNumber"/>
      </w:pPr>
      <w:r>
        <w:rPr>
          <w:b/>
        </w:rPr>
        <w:t xml:space="preserve">Fase 0 - Inventario: </w:t>
      </w:r>
      <w:r>
        <w:t>Confirmar acceso a WordPress.com, propietario del dominio, DNS actuales, MX existentes, correos activos, renovaciones y backups.</w:t>
      </w:r>
    </w:p>
    <w:p>
      <w:pPr>
        <w:pStyle w:val="ListNumber"/>
      </w:pPr>
      <w:r>
        <w:rPr>
          <w:b/>
        </w:rPr>
        <w:t xml:space="preserve">Fase 1 - Construcción: </w:t>
      </w:r>
      <w:r>
        <w:t>Crear nueva web en Vercel con URL temporal tipo zone-digital.vercel.app. No tocar DNS todavía.</w:t>
      </w:r>
    </w:p>
    <w:p>
      <w:pPr>
        <w:pStyle w:val="ListNumber"/>
      </w:pPr>
      <w:r>
        <w:rPr>
          <w:b/>
        </w:rPr>
        <w:t xml:space="preserve">Fase 2 - QA: </w:t>
      </w:r>
      <w:r>
        <w:t>Probar mobile, SEO, páginas de libros, formularios, capítulos gratis, analytics, pixels y eventos.</w:t>
      </w:r>
    </w:p>
    <w:p>
      <w:pPr>
        <w:pStyle w:val="ListNumber"/>
      </w:pPr>
      <w:r>
        <w:rPr>
          <w:b/>
        </w:rPr>
        <w:t xml:space="preserve">Fase 3 - DNS: </w:t>
      </w:r>
      <w:r>
        <w:t>En WordPress, configurar registros para que zone-digital.com y www.zone-digital.com apunten a Vercel. Mantener MX de Google Workspace.</w:t>
      </w:r>
    </w:p>
    <w:p>
      <w:pPr>
        <w:pStyle w:val="ListNumber"/>
      </w:pPr>
      <w:r>
        <w:rPr>
          <w:b/>
        </w:rPr>
        <w:t xml:space="preserve">Fase 4 - SSL y redirecciones: </w:t>
      </w:r>
      <w:r>
        <w:t>Validar certificado HTTPS, redirección root -&gt; www, canonical, sitemap y Search Console.</w:t>
      </w:r>
    </w:p>
    <w:p>
      <w:pPr>
        <w:pStyle w:val="ListNumber"/>
      </w:pPr>
      <w:r>
        <w:rPr>
          <w:b/>
        </w:rPr>
        <w:t xml:space="preserve">Fase 5 - Email: </w:t>
      </w:r>
      <w:r>
        <w:t>Configurar Google Workspace y Brevo/MailerLite con SPF, DKIM, DMARC, tracking domain y unsubscribe.</w:t>
      </w:r>
    </w:p>
    <w:p>
      <w:pPr>
        <w:pStyle w:val="ListNumber"/>
      </w:pPr>
      <w:r>
        <w:rPr>
          <w:b/>
        </w:rPr>
        <w:t xml:space="preserve">Fase 6 - Transferencia opcional: </w:t>
      </w:r>
      <w:r>
        <w:t>Después de estabilizar todo, evaluar transferir el dominio de WordPress a Cloudflare/Namecheap/Squarespace si conviene.</w:t>
      </w:r>
    </w:p>
    <w:p>
      <w:pPr>
        <w:pStyle w:val="Heading2"/>
      </w:pPr>
      <w:r>
        <w:t>10.3 Matriz DNS objetivo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shd w:fill="0F172A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2541"/>
            <w:shd w:fill="0F172A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Host/Nombre</w:t>
            </w:r>
          </w:p>
        </w:tc>
        <w:tc>
          <w:tcPr>
            <w:tcW w:type="dxa" w:w="2541"/>
            <w:shd w:fill="0F172A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Valor esperado</w:t>
            </w:r>
          </w:p>
        </w:tc>
        <w:tc>
          <w:tcPr>
            <w:tcW w:type="dxa" w:w="2541"/>
            <w:shd w:fill="0F172A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Uso</w:t>
            </w:r>
          </w:p>
        </w:tc>
      </w:tr>
      <w:tr>
        <w:tc>
          <w:tcPr>
            <w:tcW w:type="dxa" w:w="254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A</w:t>
            </w:r>
          </w:p>
        </w:tc>
        <w:tc>
          <w:tcPr>
            <w:tcW w:type="dxa" w:w="254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@ / zone-digital.com</w:t>
            </w:r>
          </w:p>
        </w:tc>
        <w:tc>
          <w:tcPr>
            <w:tcW w:type="dxa" w:w="254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Valor indicado por Vercel para apex domain</w:t>
            </w:r>
          </w:p>
        </w:tc>
        <w:tc>
          <w:tcPr>
            <w:tcW w:type="dxa" w:w="254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Apuntar dominio raíz al hosting</w:t>
            </w:r>
          </w:p>
        </w:tc>
      </w:tr>
      <w:tr>
        <w:tc>
          <w:tcPr>
            <w:tcW w:type="dxa" w:w="254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CNAME</w:t>
            </w:r>
          </w:p>
        </w:tc>
        <w:tc>
          <w:tcPr>
            <w:tcW w:type="dxa" w:w="254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www</w:t>
            </w:r>
          </w:p>
        </w:tc>
        <w:tc>
          <w:tcPr>
            <w:tcW w:type="dxa" w:w="254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Valor CNAME indicado por Vercel para subdominio</w:t>
            </w:r>
          </w:p>
        </w:tc>
        <w:tc>
          <w:tcPr>
            <w:tcW w:type="dxa" w:w="254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Apuntar www.zone-digital.com al hosting</w:t>
            </w:r>
          </w:p>
        </w:tc>
      </w:tr>
      <w:tr>
        <w:tc>
          <w:tcPr>
            <w:tcW w:type="dxa" w:w="254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MX</w:t>
            </w:r>
          </w:p>
        </w:tc>
        <w:tc>
          <w:tcPr>
            <w:tcW w:type="dxa" w:w="254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@</w:t>
            </w:r>
          </w:p>
        </w:tc>
        <w:tc>
          <w:tcPr>
            <w:tcW w:type="dxa" w:w="254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Registros MX de Google Workspace</w:t>
            </w:r>
          </w:p>
        </w:tc>
        <w:tc>
          <w:tcPr>
            <w:tcW w:type="dxa" w:w="254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Recibir correo profesional</w:t>
            </w:r>
          </w:p>
        </w:tc>
      </w:tr>
      <w:tr>
        <w:tc>
          <w:tcPr>
            <w:tcW w:type="dxa" w:w="254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TXT</w:t>
            </w:r>
          </w:p>
        </w:tc>
        <w:tc>
          <w:tcPr>
            <w:tcW w:type="dxa" w:w="254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@</w:t>
            </w:r>
          </w:p>
        </w:tc>
        <w:tc>
          <w:tcPr>
            <w:tcW w:type="dxa" w:w="254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SPF con Google Workspace + proveedor de email marketing</w:t>
            </w:r>
          </w:p>
        </w:tc>
        <w:tc>
          <w:tcPr>
            <w:tcW w:type="dxa" w:w="254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Autenticación de remitente</w:t>
            </w:r>
          </w:p>
        </w:tc>
      </w:tr>
      <w:tr>
        <w:tc>
          <w:tcPr>
            <w:tcW w:type="dxa" w:w="254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TXT</w:t>
            </w:r>
          </w:p>
        </w:tc>
        <w:tc>
          <w:tcPr>
            <w:tcW w:type="dxa" w:w="254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google._domainkey</w:t>
            </w:r>
          </w:p>
        </w:tc>
        <w:tc>
          <w:tcPr>
            <w:tcW w:type="dxa" w:w="254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DKIM de Google Workspace</w:t>
            </w:r>
          </w:p>
        </w:tc>
        <w:tc>
          <w:tcPr>
            <w:tcW w:type="dxa" w:w="254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Firmar correos corporativos</w:t>
            </w:r>
          </w:p>
        </w:tc>
      </w:tr>
      <w:tr>
        <w:tc>
          <w:tcPr>
            <w:tcW w:type="dxa" w:w="254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TXT</w:t>
            </w:r>
          </w:p>
        </w:tc>
        <w:tc>
          <w:tcPr>
            <w:tcW w:type="dxa" w:w="254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selector Brevo/MailerLite</w:t>
            </w:r>
          </w:p>
        </w:tc>
        <w:tc>
          <w:tcPr>
            <w:tcW w:type="dxa" w:w="254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DKIM del proveedor de email marketing</w:t>
            </w:r>
          </w:p>
        </w:tc>
        <w:tc>
          <w:tcPr>
            <w:tcW w:type="dxa" w:w="254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Firmar campañas</w:t>
            </w:r>
          </w:p>
        </w:tc>
      </w:tr>
      <w:tr>
        <w:tc>
          <w:tcPr>
            <w:tcW w:type="dxa" w:w="254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TXT</w:t>
            </w:r>
          </w:p>
        </w:tc>
        <w:tc>
          <w:tcPr>
            <w:tcW w:type="dxa" w:w="254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_dmarc</w:t>
            </w:r>
          </w:p>
        </w:tc>
        <w:tc>
          <w:tcPr>
            <w:tcW w:type="dxa" w:w="254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v=DMARC1; p=none; rua=mailto:dmarc@zone-digital.com</w:t>
            </w:r>
          </w:p>
        </w:tc>
        <w:tc>
          <w:tcPr>
            <w:tcW w:type="dxa" w:w="254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Monitorear autenticación; luego endurecer a quarantine/reject</w:t>
            </w:r>
          </w:p>
        </w:tc>
      </w:tr>
      <w:tr>
        <w:tc>
          <w:tcPr>
            <w:tcW w:type="dxa" w:w="254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CNAME</w:t>
            </w:r>
          </w:p>
        </w:tc>
        <w:tc>
          <w:tcPr>
            <w:tcW w:type="dxa" w:w="254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tracking/newsletter</w:t>
            </w:r>
          </w:p>
        </w:tc>
        <w:tc>
          <w:tcPr>
            <w:tcW w:type="dxa" w:w="254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Tracking domain de Brevo/MailerLite</w:t>
            </w:r>
          </w:p>
        </w:tc>
        <w:tc>
          <w:tcPr>
            <w:tcW w:type="dxa" w:w="254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Medición y reputación de campañas</w:t>
            </w:r>
          </w:p>
        </w:tc>
      </w:tr>
    </w:tbl>
    <w:p>
      <w:r>
        <w:t>Nota: los valores exactos de A/CNAME deben copiarse desde el dashboard del hosting elegido. Los valores exactos de MX, SPF y DKIM deben copiarse desde Google Workspace y desde la plataforma de email marketing elegida.</w:t>
      </w:r>
    </w:p>
    <w:p>
      <w:pPr>
        <w:pStyle w:val="Heading1"/>
      </w:pPr>
      <w:r>
        <w:t>11. Correo profesional y email marketing</w:t>
      </w:r>
    </w:p>
    <w:p>
      <w:r>
        <w:t>La solución recomendada separa dos funciones: correo corporativo para comunicación profesional y plataforma de email marketing para campañas masivas, automatizaciones y medición.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shd w:fill="1D4ED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Función</w:t>
            </w:r>
          </w:p>
        </w:tc>
        <w:tc>
          <w:tcPr>
            <w:tcW w:type="dxa" w:w="2541"/>
            <w:shd w:fill="1D4ED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Proveedor recomendado</w:t>
            </w:r>
          </w:p>
        </w:tc>
        <w:tc>
          <w:tcPr>
            <w:tcW w:type="dxa" w:w="2541"/>
            <w:shd w:fill="1D4ED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Correos sugeridos</w:t>
            </w:r>
          </w:p>
        </w:tc>
        <w:tc>
          <w:tcPr>
            <w:tcW w:type="dxa" w:w="2541"/>
            <w:shd w:fill="1D4ED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Observación</w:t>
            </w:r>
          </w:p>
        </w:tc>
      </w:tr>
      <w:tr>
        <w:tc>
          <w:tcPr>
            <w:tcW w:type="dxa" w:w="254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Correo corporativo</w:t>
            </w:r>
          </w:p>
        </w:tc>
        <w:tc>
          <w:tcPr>
            <w:tcW w:type="dxa" w:w="254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Google Workspace</w:t>
            </w:r>
          </w:p>
        </w:tc>
        <w:tc>
          <w:tcPr>
            <w:tcW w:type="dxa" w:w="254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brian@zone-digital.com, contact@zone-digital.com, support@zone-digital.com</w:t>
            </w:r>
          </w:p>
        </w:tc>
        <w:tc>
          <w:tcPr>
            <w:tcW w:type="dxa" w:w="254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Para identidad profesional, reuniones, respuestas y operación.</w:t>
            </w:r>
          </w:p>
        </w:tc>
      </w:tr>
      <w:tr>
        <w:tc>
          <w:tcPr>
            <w:tcW w:type="dxa" w:w="254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Newsletter/campañas</w:t>
            </w:r>
          </w:p>
        </w:tc>
        <w:tc>
          <w:tcPr>
            <w:tcW w:type="dxa" w:w="254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Brevo</w:t>
            </w:r>
          </w:p>
        </w:tc>
        <w:tc>
          <w:tcPr>
            <w:tcW w:type="dxa" w:w="254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newsletter@zone-digital.com, books@zone-digital.com</w:t>
            </w:r>
          </w:p>
        </w:tc>
        <w:tc>
          <w:tcPr>
            <w:tcW w:type="dxa" w:w="254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Para envíos masivos, automatizaciones, segmentos y tracking.</w:t>
            </w:r>
          </w:p>
        </w:tc>
      </w:tr>
      <w:tr>
        <w:tc>
          <w:tcPr>
            <w:tcW w:type="dxa" w:w="254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Alternativa simple</w:t>
            </w:r>
          </w:p>
        </w:tc>
        <w:tc>
          <w:tcPr>
            <w:tcW w:type="dxa" w:w="254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MailerLite</w:t>
            </w:r>
          </w:p>
        </w:tc>
        <w:tc>
          <w:tcPr>
            <w:tcW w:type="dxa" w:w="254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newsletter@zone-digital.com</w:t>
            </w:r>
          </w:p>
        </w:tc>
        <w:tc>
          <w:tcPr>
            <w:tcW w:type="dxa" w:w="254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Muy fácil para formularios, landing pages y secuencias.</w:t>
            </w:r>
          </w:p>
        </w:tc>
      </w:tr>
      <w:tr>
        <w:tc>
          <w:tcPr>
            <w:tcW w:type="dxa" w:w="254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CRM avanzado futuro</w:t>
            </w:r>
          </w:p>
        </w:tc>
        <w:tc>
          <w:tcPr>
            <w:tcW w:type="dxa" w:w="254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HubSpot</w:t>
            </w:r>
          </w:p>
        </w:tc>
        <w:tc>
          <w:tcPr>
            <w:tcW w:type="dxa" w:w="254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sales@zone-digital.com</w:t>
            </w:r>
          </w:p>
        </w:tc>
        <w:tc>
          <w:tcPr>
            <w:tcW w:type="dxa" w:w="254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Cuando el negocio requiera pipeline, ventas B2B y automatización avanzada.</w:t>
            </w:r>
          </w:p>
        </w:tc>
      </w:tr>
    </w:tbl>
    <w:p>
      <w:pPr>
        <w:pStyle w:val="Heading2"/>
      </w:pPr>
      <w:r>
        <w:t>11.1 Calentamiento de dominio y reputación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5083"/>
        <w:gridCol w:w="5083"/>
      </w:tblGrid>
      <w:tr>
        <w:tc>
          <w:tcPr>
            <w:tcW w:type="dxa" w:w="5083"/>
            <w:shd w:fill="0F172A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Periodo</w:t>
            </w:r>
          </w:p>
        </w:tc>
        <w:tc>
          <w:tcPr>
            <w:tcW w:type="dxa" w:w="5083"/>
            <w:shd w:fill="0F172A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Acción recomendada</w:t>
            </w:r>
          </w:p>
        </w:tc>
      </w:tr>
      <w:tr>
        <w:tc>
          <w:tcPr>
            <w:tcW w:type="dxa" w:w="508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Semana 1</w:t>
            </w:r>
          </w:p>
        </w:tc>
        <w:tc>
          <w:tcPr>
            <w:tcW w:type="dxa" w:w="508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Enviar solo correos transaccionales y respuestas reales. 20-50 envíos/día máximo.</w:t>
            </w:r>
          </w:p>
        </w:tc>
      </w:tr>
      <w:tr>
        <w:tc>
          <w:tcPr>
            <w:tcW w:type="dxa" w:w="508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Semana 2</w:t>
            </w:r>
          </w:p>
        </w:tc>
        <w:tc>
          <w:tcPr>
            <w:tcW w:type="dxa" w:w="508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Newsletter suave a contactos altamente interesados. 100-200 envíos/día.</w:t>
            </w:r>
          </w:p>
        </w:tc>
      </w:tr>
      <w:tr>
        <w:tc>
          <w:tcPr>
            <w:tcW w:type="dxa" w:w="508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Semana 3</w:t>
            </w:r>
          </w:p>
        </w:tc>
        <w:tc>
          <w:tcPr>
            <w:tcW w:type="dxa" w:w="508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Segmentar por interés. 300-500 envíos/día si las métricas son sanas.</w:t>
            </w:r>
          </w:p>
        </w:tc>
      </w:tr>
      <w:tr>
        <w:tc>
          <w:tcPr>
            <w:tcW w:type="dxa" w:w="508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Semana 4</w:t>
            </w:r>
          </w:p>
        </w:tc>
        <w:tc>
          <w:tcPr>
            <w:tcW w:type="dxa" w:w="508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Lanzar promociones por categoría. Escalar gradualmente según aperturas, clics y spam rate.</w:t>
            </w:r>
          </w:p>
        </w:tc>
      </w:tr>
    </w:tbl>
    <w:p>
      <w:r>
        <w:t>Regla de oro: no enviar campañas masivas desde una cuenta nueva sin SPF, DKIM, DMARC, consentimiento y unsubscribe. Tampoco usar Gmail/Workspace como herramienta de mailing masivo; usar una plataforma especializada como Brevo o MailerLite.</w:t>
      </w:r>
    </w:p>
    <w:p>
      <w:pPr>
        <w:pStyle w:val="Heading1"/>
      </w:pPr>
      <w:r>
        <w:t>12. Automatizaciones de email marketing</w:t>
      </w:r>
    </w:p>
    <w:p>
      <w:pPr>
        <w:pStyle w:val="ListBullet"/>
      </w:pPr>
      <w:r>
        <w:rPr>
          <w:b/>
        </w:rPr>
        <w:t xml:space="preserve">Secuencia capítulo gratis: </w:t>
      </w:r>
      <w:r>
        <w:t>Entrega inmediata + 6 emails de educación, caso de uso, beneficios y CTA al libro completo.</w:t>
      </w:r>
    </w:p>
    <w:p>
      <w:pPr>
        <w:pStyle w:val="ListBullet"/>
      </w:pPr>
      <w:r>
        <w:rPr>
          <w:b/>
        </w:rPr>
        <w:t xml:space="preserve">Secuencia minería: </w:t>
      </w:r>
      <w:r>
        <w:t>Promueve Digital Twin Mine, Mining Robotics, Battery-Electric Underground Mining, Open-Pit IoT y Tecnología Minera en Acción.</w:t>
      </w:r>
    </w:p>
    <w:p>
      <w:pPr>
        <w:pStyle w:val="ListBullet"/>
      </w:pPr>
      <w:r>
        <w:rPr>
          <w:b/>
        </w:rPr>
        <w:t xml:space="preserve">Secuencia IA y negocios: </w:t>
      </w:r>
      <w:r>
        <w:t>Promueve CEO Aumentado, Chief AI Officer, AI Growth Operating System y Generative AI.</w:t>
      </w:r>
    </w:p>
    <w:p>
      <w:pPr>
        <w:pStyle w:val="ListBullet"/>
      </w:pPr>
      <w:r>
        <w:rPr>
          <w:b/>
        </w:rPr>
        <w:t xml:space="preserve">Secuencia certificaciones: </w:t>
      </w:r>
      <w:r>
        <w:t>Promueve PMP, CFA, AWS, Azure y Google Cloud.</w:t>
      </w:r>
    </w:p>
    <w:p>
      <w:pPr>
        <w:pStyle w:val="ListBullet"/>
      </w:pPr>
      <w:r>
        <w:rPr>
          <w:b/>
        </w:rPr>
        <w:t xml:space="preserve">Secuencia cursos/apps: </w:t>
      </w:r>
      <w:r>
        <w:t>Activa waitlist, early access, preventa y encuestas de intención.</w:t>
      </w:r>
    </w:p>
    <w:p>
      <w:pPr>
        <w:pStyle w:val="Heading1"/>
      </w:pPr>
      <w:r>
        <w:t>13. Tracking, publicidad y medición de tráfico</w:t>
      </w:r>
    </w:p>
    <w:p>
      <w:r>
        <w:t>La web debe permitir traer tráfico desde redes sociales y publicidad, medir qué hace cada visitante y capturar datos propios cuando el usuario descarga un recurso. Antes de que el visitante complete un formulario, la medición será anónima/agregada. Después de registrarse, se puede asociar comportamiento a un lead dentro del CRM/email marketing, respetando consentimiento y privacidad.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5083"/>
        <w:gridCol w:w="5083"/>
      </w:tblGrid>
      <w:tr>
        <w:tc>
          <w:tcPr>
            <w:tcW w:type="dxa" w:w="5083"/>
            <w:shd w:fill="1D4ED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Herramienta</w:t>
            </w:r>
          </w:p>
        </w:tc>
        <w:tc>
          <w:tcPr>
            <w:tcW w:type="dxa" w:w="5083"/>
            <w:shd w:fill="1D4ED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Función</w:t>
            </w:r>
          </w:p>
        </w:tc>
      </w:tr>
      <w:tr>
        <w:tc>
          <w:tcPr>
            <w:tcW w:type="dxa" w:w="508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GA4</w:t>
            </w:r>
          </w:p>
        </w:tc>
        <w:tc>
          <w:tcPr>
            <w:tcW w:type="dxa" w:w="508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Medir page views, eventos, conversiones y fuentes de tráfico.</w:t>
            </w:r>
          </w:p>
        </w:tc>
      </w:tr>
      <w:tr>
        <w:tc>
          <w:tcPr>
            <w:tcW w:type="dxa" w:w="508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Google Tag Manager</w:t>
            </w:r>
          </w:p>
        </w:tc>
        <w:tc>
          <w:tcPr>
            <w:tcW w:type="dxa" w:w="508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Administrar tags sin tocar código cada vez.</w:t>
            </w:r>
          </w:p>
        </w:tc>
      </w:tr>
      <w:tr>
        <w:tc>
          <w:tcPr>
            <w:tcW w:type="dxa" w:w="508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LinkedIn Insight Tag</w:t>
            </w:r>
          </w:p>
        </w:tc>
        <w:tc>
          <w:tcPr>
            <w:tcW w:type="dxa" w:w="508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Crear audiencias de retargeting y analizar tráfico profesional.</w:t>
            </w:r>
          </w:p>
        </w:tc>
      </w:tr>
      <w:tr>
        <w:tc>
          <w:tcPr>
            <w:tcW w:type="dxa" w:w="508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Meta Pixel</w:t>
            </w:r>
          </w:p>
        </w:tc>
        <w:tc>
          <w:tcPr>
            <w:tcW w:type="dxa" w:w="508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Retargeting desde Instagram/Facebook Ads.</w:t>
            </w:r>
          </w:p>
        </w:tc>
      </w:tr>
      <w:tr>
        <w:tc>
          <w:tcPr>
            <w:tcW w:type="dxa" w:w="508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Google Ads Conversion Tracking</w:t>
            </w:r>
          </w:p>
        </w:tc>
        <w:tc>
          <w:tcPr>
            <w:tcW w:type="dxa" w:w="508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Medir conversiones de campañas de búsqueda/display.</w:t>
            </w:r>
          </w:p>
        </w:tc>
      </w:tr>
      <w:tr>
        <w:tc>
          <w:tcPr>
            <w:tcW w:type="dxa" w:w="508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UTM obligatorio</w:t>
            </w:r>
          </w:p>
        </w:tc>
        <w:tc>
          <w:tcPr>
            <w:tcW w:type="dxa" w:w="508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Identificar fuente, medio, campaña, contenido y libro promocionado.</w:t>
            </w:r>
          </w:p>
        </w:tc>
      </w:tr>
      <w:tr>
        <w:tc>
          <w:tcPr>
            <w:tcW w:type="dxa" w:w="508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Looker Studio</w:t>
            </w:r>
          </w:p>
        </w:tc>
        <w:tc>
          <w:tcPr>
            <w:tcW w:type="dxa" w:w="508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Dashboard ejecutivo de leads, campañas y clics a Amazon/Gumroad.</w:t>
            </w:r>
          </w:p>
        </w:tc>
      </w:tr>
    </w:tbl>
    <w:p>
      <w:pPr>
        <w:pStyle w:val="Heading2"/>
      </w:pPr>
      <w:r>
        <w:t>13.1 Estándar UTM</w:t>
      </w:r>
    </w:p>
    <w:p>
      <w:r>
        <w:rPr>
          <w:rFonts w:ascii="Courier New" w:hAnsi="Courier New"/>
          <w:color w:val="1D4ED8"/>
          <w:sz w:val="16"/>
        </w:rPr>
        <w:t>https://www.zone-digital.com/books/the-digital-twin-mine?utm_source=linkedin&amp;utm_medium=organic&amp;utm_campaign=digital_twin_mine_launch&amp;utm_content=post_01</w:t>
      </w:r>
    </w:p>
    <w:p>
      <w:r>
        <w:rPr>
          <w:rFonts w:ascii="Courier New" w:hAnsi="Courier New"/>
          <w:color w:val="1D4ED8"/>
          <w:sz w:val="16"/>
        </w:rPr>
        <w:t>https://www.zone-digital.com/books/open-pit-iot-revolution?utm_source=instagram&amp;utm_medium=paid&amp;utm_campaign=open_pit_iot_launch&amp;utm_content=video_ad_01</w:t>
      </w:r>
    </w:p>
    <w:p>
      <w:r>
        <w:rPr>
          <w:rFonts w:ascii="Courier New" w:hAnsi="Courier New"/>
          <w:color w:val="1D4ED8"/>
          <w:sz w:val="16"/>
        </w:rPr>
        <w:t>https://www.zone-digital.com/books/chief-ai-officer?utm_source=email&amp;utm_medium=newsletter&amp;utm_campaign=chief_ai_officer_promo&amp;utm_content=email_01</w:t>
      </w:r>
    </w:p>
    <w:p>
      <w:pPr>
        <w:pStyle w:val="Heading1"/>
      </w:pPr>
      <w:r>
        <w:t>14. Modelo de datos mínimo</w:t>
      </w:r>
    </w:p>
    <w:p>
      <w:pPr>
        <w:pStyle w:val="Heading2"/>
      </w:pPr>
      <w:r>
        <w:t>14.1 Libro</w:t>
      </w:r>
    </w:p>
    <w:p>
      <w:r>
        <w:rPr>
          <w:rFonts w:ascii="Courier New" w:hAnsi="Courier New"/>
          <w:color w:val="0F172A"/>
          <w:sz w:val="16"/>
        </w:rPr>
        <w:t>{</w:t>
        <w:br/>
        <w:t xml:space="preserve">  "id": "L25",</w:t>
        <w:br/>
        <w:t xml:space="preserve">  "title": "The Digital Twin Mine",</w:t>
        <w:br/>
        <w:t xml:space="preserve">  "slug": "the-digital-twin-mine",</w:t>
        <w:br/>
        <w:t xml:space="preserve">  "category": "Mining",</w:t>
        <w:br/>
        <w:t xml:space="preserve">  "language": "English",</w:t>
        <w:br/>
        <w:t xml:space="preserve">  "kindleUrl": "https://www.amazon.com/dp/B0H381YN82",</w:t>
        <w:br/>
        <w:t xml:space="preserve">  "price": "USD 9.99",</w:t>
        <w:br/>
        <w:t xml:space="preserve">  "coverImage": "/covers/the-digital-twin-mine.jpg",</w:t>
        <w:br/>
        <w:t xml:space="preserve">  "freeChapterTitle": "Free Chapter: How Digital Twins Are Redefining Mining",</w:t>
        <w:br/>
        <w:t xml:space="preserve">  "leadMagnetEnabled": true,</w:t>
        <w:br/>
        <w:t xml:space="preserve">  "emailSegment": "mining_digital_twin",</w:t>
        <w:br/>
        <w:t xml:space="preserve">  "featured": true</w:t>
        <w:br/>
        <w:t>}</w:t>
      </w:r>
    </w:p>
    <w:p>
      <w:pPr>
        <w:pStyle w:val="Heading2"/>
      </w:pPr>
      <w:r>
        <w:t>14.2 Lead</w:t>
      </w:r>
    </w:p>
    <w:p>
      <w:r>
        <w:rPr>
          <w:rFonts w:ascii="Courier New" w:hAnsi="Courier New"/>
          <w:color w:val="0F172A"/>
          <w:sz w:val="16"/>
        </w:rPr>
        <w:t>{</w:t>
        <w:br/>
        <w:t xml:space="preserve">  "id": "uuid",</w:t>
        <w:br/>
        <w:t xml:space="preserve">  "name": "string",</w:t>
        <w:br/>
        <w:t xml:space="preserve">  "email": "string",</w:t>
        <w:br/>
        <w:t xml:space="preserve">  "interest": "Mining Technology",</w:t>
        <w:br/>
        <w:t xml:space="preserve">  "bookId": "L25",</w:t>
        <w:br/>
        <w:t xml:space="preserve">  "leadMagnet": "free_chapter",</w:t>
        <w:br/>
        <w:t xml:space="preserve">  "source": "linkedin",</w:t>
        <w:br/>
        <w:t xml:space="preserve">  "medium": "organic",</w:t>
        <w:br/>
        <w:t xml:space="preserve">  "campaign": "digital_twin_mine_launch",</w:t>
        <w:br/>
        <w:t xml:space="preserve">  "landingPage": "/books/the-digital-twin-mine",</w:t>
        <w:br/>
        <w:t xml:space="preserve">  "score": 25,</w:t>
        <w:br/>
        <w:t xml:space="preserve">  "tags": ["lead_mining", "downloaded_free_chapter"],</w:t>
        <w:br/>
        <w:t xml:space="preserve">  "consentMarketing": true,</w:t>
        <w:br/>
        <w:t xml:space="preserve">  "createdAt": "timestamp"</w:t>
        <w:br/>
        <w:t>}</w:t>
      </w:r>
    </w:p>
    <w:p>
      <w:pPr>
        <w:pStyle w:val="Heading1"/>
      </w:pPr>
      <w:r>
        <w:t>15. Catálogo inicial y prioridades de carga</w:t>
      </w:r>
    </w:p>
    <w:p>
      <w:r>
        <w:t>El catálogo inicial se cargará desde la hoja de libros de Amazon/Gumroad. Para el MVP no se hará scraping de Amazon; se usarán portadas locales, descripciones propias y links oficiales de compra.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shd w:fill="0F172A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2541"/>
            <w:shd w:fill="0F172A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Libro prioritario</w:t>
            </w:r>
          </w:p>
        </w:tc>
        <w:tc>
          <w:tcPr>
            <w:tcW w:type="dxa" w:w="2541"/>
            <w:shd w:fill="0F172A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Categoría</w:t>
            </w:r>
          </w:p>
        </w:tc>
        <w:tc>
          <w:tcPr>
            <w:tcW w:type="dxa" w:w="2541"/>
            <w:shd w:fill="0F172A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Idioma</w:t>
            </w:r>
          </w:p>
        </w:tc>
      </w:tr>
      <w:tr>
        <w:tc>
          <w:tcPr>
            <w:tcW w:type="dxa" w:w="254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L24</w:t>
            </w:r>
          </w:p>
        </w:tc>
        <w:tc>
          <w:tcPr>
            <w:tcW w:type="dxa" w:w="254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Designing Robots for Mining</w:t>
            </w:r>
          </w:p>
        </w:tc>
        <w:tc>
          <w:tcPr>
            <w:tcW w:type="dxa" w:w="254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Minería</w:t>
            </w:r>
          </w:p>
        </w:tc>
        <w:tc>
          <w:tcPr>
            <w:tcW w:type="dxa" w:w="254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Inglés</w:t>
            </w:r>
          </w:p>
        </w:tc>
      </w:tr>
      <w:tr>
        <w:tc>
          <w:tcPr>
            <w:tcW w:type="dxa" w:w="254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L25</w:t>
            </w:r>
          </w:p>
        </w:tc>
        <w:tc>
          <w:tcPr>
            <w:tcW w:type="dxa" w:w="254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The Digital Twin Mine</w:t>
            </w:r>
          </w:p>
        </w:tc>
        <w:tc>
          <w:tcPr>
            <w:tcW w:type="dxa" w:w="254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Minería</w:t>
            </w:r>
          </w:p>
        </w:tc>
        <w:tc>
          <w:tcPr>
            <w:tcW w:type="dxa" w:w="254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Inglés</w:t>
            </w:r>
          </w:p>
        </w:tc>
      </w:tr>
      <w:tr>
        <w:tc>
          <w:tcPr>
            <w:tcW w:type="dxa" w:w="254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L26</w:t>
            </w:r>
          </w:p>
        </w:tc>
        <w:tc>
          <w:tcPr>
            <w:tcW w:type="dxa" w:w="254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Battery-Electric Underground Mining</w:t>
            </w:r>
          </w:p>
        </w:tc>
        <w:tc>
          <w:tcPr>
            <w:tcW w:type="dxa" w:w="254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Minería</w:t>
            </w:r>
          </w:p>
        </w:tc>
        <w:tc>
          <w:tcPr>
            <w:tcW w:type="dxa" w:w="254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Inglés</w:t>
            </w:r>
          </w:p>
        </w:tc>
      </w:tr>
      <w:tr>
        <w:tc>
          <w:tcPr>
            <w:tcW w:type="dxa" w:w="254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L27</w:t>
            </w:r>
          </w:p>
        </w:tc>
        <w:tc>
          <w:tcPr>
            <w:tcW w:type="dxa" w:w="254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Open-Pit IoT Revolution</w:t>
            </w:r>
          </w:p>
        </w:tc>
        <w:tc>
          <w:tcPr>
            <w:tcW w:type="dxa" w:w="254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Minería</w:t>
            </w:r>
          </w:p>
        </w:tc>
        <w:tc>
          <w:tcPr>
            <w:tcW w:type="dxa" w:w="254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Inglés</w:t>
            </w:r>
          </w:p>
        </w:tc>
      </w:tr>
      <w:tr>
        <w:tc>
          <w:tcPr>
            <w:tcW w:type="dxa" w:w="254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L23</w:t>
            </w:r>
          </w:p>
        </w:tc>
        <w:tc>
          <w:tcPr>
            <w:tcW w:type="dxa" w:w="254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THE AI GROWTH OPERATING SYSTEM</w:t>
            </w:r>
          </w:p>
        </w:tc>
        <w:tc>
          <w:tcPr>
            <w:tcW w:type="dxa" w:w="254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Tecnología</w:t>
            </w:r>
          </w:p>
        </w:tc>
        <w:tc>
          <w:tcPr>
            <w:tcW w:type="dxa" w:w="254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Inglés</w:t>
            </w:r>
          </w:p>
        </w:tc>
      </w:tr>
      <w:tr>
        <w:tc>
          <w:tcPr>
            <w:tcW w:type="dxa" w:w="254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L21</w:t>
            </w:r>
          </w:p>
        </w:tc>
        <w:tc>
          <w:tcPr>
            <w:tcW w:type="dxa" w:w="254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CEO Aumentado</w:t>
            </w:r>
          </w:p>
        </w:tc>
        <w:tc>
          <w:tcPr>
            <w:tcW w:type="dxa" w:w="254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Negocios</w:t>
            </w:r>
          </w:p>
        </w:tc>
        <w:tc>
          <w:tcPr>
            <w:tcW w:type="dxa" w:w="254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Español</w:t>
            </w:r>
          </w:p>
        </w:tc>
      </w:tr>
      <w:tr>
        <w:tc>
          <w:tcPr>
            <w:tcW w:type="dxa" w:w="254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L22</w:t>
            </w:r>
          </w:p>
        </w:tc>
        <w:tc>
          <w:tcPr>
            <w:tcW w:type="dxa" w:w="254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Chief AI Officer</w:t>
            </w:r>
          </w:p>
        </w:tc>
        <w:tc>
          <w:tcPr>
            <w:tcW w:type="dxa" w:w="254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Tecnología</w:t>
            </w:r>
          </w:p>
        </w:tc>
        <w:tc>
          <w:tcPr>
            <w:tcW w:type="dxa" w:w="254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Español</w:t>
            </w:r>
          </w:p>
        </w:tc>
      </w:tr>
      <w:tr>
        <w:tc>
          <w:tcPr>
            <w:tcW w:type="dxa" w:w="254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L06</w:t>
            </w:r>
          </w:p>
        </w:tc>
        <w:tc>
          <w:tcPr>
            <w:tcW w:type="dxa" w:w="254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Domina la Era de la Inteligencia Artificial Generativa</w:t>
            </w:r>
          </w:p>
        </w:tc>
        <w:tc>
          <w:tcPr>
            <w:tcW w:type="dxa" w:w="254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Negocios</w:t>
            </w:r>
          </w:p>
        </w:tc>
        <w:tc>
          <w:tcPr>
            <w:tcW w:type="dxa" w:w="254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Español</w:t>
            </w:r>
          </w:p>
        </w:tc>
      </w:tr>
      <w:tr>
        <w:tc>
          <w:tcPr>
            <w:tcW w:type="dxa" w:w="254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L08</w:t>
            </w:r>
          </w:p>
        </w:tc>
        <w:tc>
          <w:tcPr>
            <w:tcW w:type="dxa" w:w="254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Tecnología Minera en Acción</w:t>
            </w:r>
          </w:p>
        </w:tc>
        <w:tc>
          <w:tcPr>
            <w:tcW w:type="dxa" w:w="254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Minería</w:t>
            </w:r>
          </w:p>
        </w:tc>
        <w:tc>
          <w:tcPr>
            <w:tcW w:type="dxa" w:w="254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Español</w:t>
            </w:r>
          </w:p>
        </w:tc>
      </w:tr>
      <w:tr>
        <w:tc>
          <w:tcPr>
            <w:tcW w:type="dxa" w:w="254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L01</w:t>
            </w:r>
          </w:p>
        </w:tc>
        <w:tc>
          <w:tcPr>
            <w:tcW w:type="dxa" w:w="254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La Ruta Maestra hacia la Certificación PMP</w:t>
            </w:r>
          </w:p>
        </w:tc>
        <w:tc>
          <w:tcPr>
            <w:tcW w:type="dxa" w:w="254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Certificación</w:t>
            </w:r>
          </w:p>
        </w:tc>
        <w:tc>
          <w:tcPr>
            <w:tcW w:type="dxa" w:w="254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Español</w:t>
            </w:r>
          </w:p>
        </w:tc>
      </w:tr>
    </w:tbl>
    <w:p>
      <w:pPr>
        <w:pStyle w:val="Heading1"/>
      </w:pPr>
      <w:r>
        <w:t>16. Roadmap de implementación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5083"/>
        <w:gridCol w:w="5083"/>
      </w:tblGrid>
      <w:tr>
        <w:tc>
          <w:tcPr>
            <w:tcW w:type="dxa" w:w="5083"/>
            <w:shd w:fill="1D4ED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Sprint</w:t>
            </w:r>
          </w:p>
        </w:tc>
        <w:tc>
          <w:tcPr>
            <w:tcW w:type="dxa" w:w="5083"/>
            <w:shd w:fill="1D4ED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Entregables</w:t>
            </w:r>
          </w:p>
        </w:tc>
      </w:tr>
      <w:tr>
        <w:tc>
          <w:tcPr>
            <w:tcW w:type="dxa" w:w="508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Sprint 1</w:t>
            </w:r>
          </w:p>
        </w:tc>
        <w:tc>
          <w:tcPr>
            <w:tcW w:type="dxa" w:w="508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Diseño UI premium, estructura Next.js, Home, Books, Book Detail, catálogo local.</w:t>
            </w:r>
          </w:p>
        </w:tc>
      </w:tr>
      <w:tr>
        <w:tc>
          <w:tcPr>
            <w:tcW w:type="dxa" w:w="508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Sprint 2</w:t>
            </w:r>
          </w:p>
        </w:tc>
        <w:tc>
          <w:tcPr>
            <w:tcW w:type="dxa" w:w="508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Capítulos gratis, formularios, página de gracias, integración Brevo/MailerLite.</w:t>
            </w:r>
          </w:p>
        </w:tc>
      </w:tr>
      <w:tr>
        <w:tc>
          <w:tcPr>
            <w:tcW w:type="dxa" w:w="508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Sprint 3</w:t>
            </w:r>
          </w:p>
        </w:tc>
        <w:tc>
          <w:tcPr>
            <w:tcW w:type="dxa" w:w="508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GA4, GTM, LinkedIn Insight Tag, Meta Pixel, eventos, UTMs, dashboard inicial.</w:t>
            </w:r>
          </w:p>
        </w:tc>
      </w:tr>
      <w:tr>
        <w:tc>
          <w:tcPr>
            <w:tcW w:type="dxa" w:w="508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Sprint 4</w:t>
            </w:r>
          </w:p>
        </w:tc>
        <w:tc>
          <w:tcPr>
            <w:tcW w:type="dxa" w:w="508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Migración DNS desde WordPress, SSL, redirecciones, Search Console, pruebas finales.</w:t>
            </w:r>
          </w:p>
        </w:tc>
      </w:tr>
      <w:tr>
        <w:tc>
          <w:tcPr>
            <w:tcW w:type="dxa" w:w="508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Sprint 5</w:t>
            </w:r>
          </w:p>
        </w:tc>
        <w:tc>
          <w:tcPr>
            <w:tcW w:type="dxa" w:w="508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Campañas orgánicas y pagadas, email sequences, lead scoring y optimización de conversiones.</w:t>
            </w:r>
          </w:p>
        </w:tc>
      </w:tr>
    </w:tbl>
    <w:p>
      <w:pPr>
        <w:pStyle w:val="Heading1"/>
      </w:pPr>
      <w:r>
        <w:t>17. Criterios de aceptación</w:t>
      </w:r>
    </w:p>
    <w:p>
      <w:pPr>
        <w:pStyle w:val="ListBullet"/>
      </w:pPr>
      <w:r>
        <w:t>La web carga en https://www.zone-digital.com con certificado SSL válido.</w:t>
      </w:r>
    </w:p>
    <w:p>
      <w:pPr>
        <w:pStyle w:val="ListBullet"/>
      </w:pPr>
      <w:r>
        <w:t>zone-digital.com redirige correctamente a www.zone-digital.com.</w:t>
      </w:r>
    </w:p>
    <w:p>
      <w:pPr>
        <w:pStyle w:val="ListBullet"/>
      </w:pPr>
      <w:r>
        <w:t>La Home se ve premium en desktop y mobile.</w:t>
      </w:r>
    </w:p>
    <w:p>
      <w:pPr>
        <w:pStyle w:val="ListBullet"/>
      </w:pPr>
      <w:r>
        <w:t>Books permite filtrar por idioma, categoría y formato.</w:t>
      </w:r>
    </w:p>
    <w:p>
      <w:pPr>
        <w:pStyle w:val="ListBullet"/>
      </w:pPr>
      <w:r>
        <w:t>Cada libro tiene página individual con portada, descripción, compra y capítulo gratis.</w:t>
      </w:r>
    </w:p>
    <w:p>
      <w:pPr>
        <w:pStyle w:val="ListBullet"/>
      </w:pPr>
      <w:r>
        <w:t>El formulario de capítulo gratis captura leads, consentimiento, UTM y libro de origen.</w:t>
      </w:r>
    </w:p>
    <w:p>
      <w:pPr>
        <w:pStyle w:val="ListBullet"/>
      </w:pPr>
      <w:r>
        <w:t>El lead recibe email automático con el recurso descargable.</w:t>
      </w:r>
    </w:p>
    <w:p>
      <w:pPr>
        <w:pStyle w:val="ListBullet"/>
      </w:pPr>
      <w:r>
        <w:t>GA4 y GTM registran eventos de libro, lead y clics a Amazon/Gumroad.</w:t>
      </w:r>
    </w:p>
    <w:p>
      <w:pPr>
        <w:pStyle w:val="ListBullet"/>
      </w:pPr>
      <w:r>
        <w:t>LinkedIn Insight Tag y Meta Pixel están instalados y verificables.</w:t>
      </w:r>
    </w:p>
    <w:p>
      <w:pPr>
        <w:pStyle w:val="ListBullet"/>
      </w:pPr>
      <w:r>
        <w:t>Google Workspace funciona con brian@zone-digital.com.</w:t>
      </w:r>
    </w:p>
    <w:p>
      <w:pPr>
        <w:pStyle w:val="ListBullet"/>
      </w:pPr>
      <w:r>
        <w:t>Brevo/MailerLite envía campañas autenticadas con SPF, DKIM y DMARC.</w:t>
      </w:r>
    </w:p>
    <w:p>
      <w:pPr>
        <w:pStyle w:val="ListBullet"/>
      </w:pPr>
      <w:r>
        <w:t>Existen páginas Privacy, Terms, Affiliate Disclosure y Cookie Notice.</w:t>
      </w:r>
    </w:p>
    <w:p>
      <w:pPr>
        <w:pStyle w:val="ListBullet"/>
      </w:pPr>
      <w:r>
        <w:t>Lighthouse Performance, SEO, Best Practices y Accessibility superan 90/100.</w:t>
      </w:r>
    </w:p>
    <w:p>
      <w:pPr>
        <w:pStyle w:val="Heading1"/>
      </w:pPr>
      <w:r>
        <w:t>18. Prompt maestro para Claude, Antigravity o Codex</w:t>
      </w:r>
    </w:p>
    <w:p>
      <w:r>
        <w:rPr>
          <w:rFonts w:ascii="Arial" w:hAnsi="Arial"/>
          <w:sz w:val="18"/>
        </w:rPr>
        <w:t>Construye una web ultra premium llamada Zone Digital en el dominio www.zone-digital.com. Debe funcionar como un sistema comercial para atraer tráfico desde redes sociales y publicidad, vender libros, capturar leads con capítulos gratis, preparar cursos/apps y activar campañas de email marketing.</w:t>
        <w:br/>
        <w:br/>
        <w:t>Stack recomendado: Next.js, TypeScript, Tailwind CSS, shadcn/ui, Framer Motion y deploy en Vercel. Crea Home, Books, Book Detail, Free Resources, Courses, Apps, About, Contact, Privacy Policy, Terms of Use, Affiliate Disclosure y Cookie Notice.</w:t>
        <w:br/>
        <w:br/>
        <w:t>La página de cada libro debe tener portada, título, descripción, beneficios, botón Buy on Amazon, botón Download Free Chapter, formulario de lead, página de gracias, libros relacionados y eventos de analytics. No hagas scraping de Amazon; usa portadas locales y links oficiales.</w:t>
        <w:br/>
        <w:br/>
        <w:t>Implementa GA4, Google Tag Manager, LinkedIn Insight Tag, Meta Pixel, UTM capture, lead scoring, integración con Brevo o MailerLite, Google Workspace para correo corporativo y documentación de DNS para apuntar el dominio desde WordPress al nuevo hosting.</w:t>
        <w:br/>
        <w:br/>
        <w:t>El diseño debe ser dark premium, tecnológico, ejecutivo, confiable y global. La web debe parecer una empresa internacional de educación digital enfocada en inteligencia artificial, minería, negocios, certificaciones y transformación digital.</w:t>
      </w:r>
    </w:p>
    <w:p>
      <w:pPr>
        <w:pStyle w:val="Heading1"/>
      </w:pPr>
      <w:r>
        <w:t>19. Referencias técnicas consultadas</w:t>
      </w:r>
    </w:p>
    <w:p>
      <w:pPr>
        <w:pStyle w:val="ListBullet"/>
      </w:pPr>
      <w:r>
        <w:t>WordPress.com Support - Transfer a domain to another registrar: transferencia puede tomar 5 a 7 días; si se necesita que el sitio funcione de inmediato, recomiendan cambiar nameservers/DNS antes de transferir.</w:t>
      </w:r>
    </w:p>
    <w:p>
      <w:pPr>
        <w:pStyle w:val="ListBullet"/>
      </w:pPr>
      <w:r>
        <w:t>Vercel Docs - Adding &amp; Configuring a Custom Domain: apex domains se configuran con A record y subdominios como www con CNAME o nameservers.</w:t>
      </w:r>
    </w:p>
    <w:p>
      <w:pPr>
        <w:pStyle w:val="ListBullet"/>
      </w:pPr>
      <w:r>
        <w:t>Google Workspace Admin Help - Email sender guidelines: todo remitente a Gmail debe usar SPF o DKIM; remitentes bulk requieren SPF, DKIM y DMARC; mantener spam rate bajo 0.3%; one-click unsubscribe para más de 5,000 mensajes/día.</w:t>
      </w:r>
    </w:p>
    <w:p>
      <w:pPr>
        <w:pStyle w:val="ListBullet"/>
      </w:pPr>
      <w:r>
        <w:t>Brevo Pricing/Features: formularios, automatización, segmentación, reporting, web/event tracking y campañas multicanal.</w:t>
      </w:r>
    </w:p>
    <w:p>
      <w:pPr>
        <w:pStyle w:val="ListBullet"/>
      </w:pPr>
      <w:r>
        <w:t>MailerLite Pricing/Features: email marketing, automatizaciones, landing pages, signup forms y herramientas para leads.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5"/>
      </w:rPr>
      <w:t>Confidencial - Zone Digital / Brian Pajares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748B"/>
        <w:sz w:val="15"/>
      </w:rPr>
      <w:t>PDR Zone Digital | Web ultra premium + dominio + correo profesional + email marketing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B102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D4ED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F172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0B102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 w:eastAsia="Arial"/>
      <w:sz w:val="19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remiumQuote">
    <w:name w:val="Premium Quote"/>
    <w:basedOn w:val="Normal"/>
    <w:rPr>
      <w:rFonts w:ascii="Arial" w:hAnsi="Arial"/>
      <w:i/>
      <w:color w:val="334155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