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feature-toggle-backfill-guide"/>
    <w:p>
      <w:pPr>
        <w:pStyle w:val="Heading1"/>
      </w:pPr>
      <w:r>
        <w:t xml:space="preserve">Feature-Toggle Backfill Guide</w:t>
      </w:r>
    </w:p>
    <w:p>
      <w:pPr>
        <w:pStyle w:val="FirstParagraph"/>
      </w:pPr>
      <w:r>
        <w:t xml:space="preserve">Mass-migrating existing Java source to add feature-toggle access. Covers the</w:t>
      </w:r>
      <w:r>
        <w:t xml:space="preserve"> </w:t>
      </w:r>
      <w:r>
        <w:t xml:space="preserve">tooling decision (annotation processor vs JavaParser vs OpenRewrite vs</w:t>
      </w:r>
      <w:r>
        <w:t xml:space="preserve"> </w:t>
      </w:r>
      <w:r>
        <w:t xml:space="preserve">bytecode), a design decision about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 add to each file, and a</w:t>
      </w:r>
      <w:r>
        <w:t xml:space="preserve"> </w:t>
      </w:r>
      <w:r>
        <w:t xml:space="preserve">practical JavaParser-based implementation with the gotchas you’ll hit on a</w:t>
      </w:r>
      <w:r>
        <w:t xml:space="preserve"> </w:t>
      </w:r>
      <w:r>
        <w:t xml:space="preserve">1000-file run.</w:t>
      </w:r>
    </w:p>
    <w:p>
      <w:pPr>
        <w:pStyle w:val="BodyText"/>
      </w:pPr>
      <w:r>
        <w:t xml:space="preserve">The scenario this guide is written against: an 8000-file codebase, of which</w:t>
      </w:r>
      <w:r>
        <w:t xml:space="preserve"> </w:t>
      </w:r>
      <w:r>
        <w:t xml:space="preserve">about 1000 files need access to</w:t>
      </w:r>
      <w:r>
        <w:t xml:space="preserve"> </w:t>
      </w:r>
      <w:r>
        <w:rPr>
          <w:rStyle w:val="VerbatimChar"/>
        </w:rPr>
        <w:t xml:space="preserve">FeatureToggleService</w:t>
      </w:r>
      <w:r>
        <w:t xml:space="preserve"> </w:t>
      </w:r>
      <w:r>
        <w:t xml:space="preserve">for runtime toggle</w:t>
      </w:r>
      <w:r>
        <w:t xml:space="preserve"> </w:t>
      </w:r>
      <w:r>
        <w:t xml:space="preserve">checks. The annotation processor handles new code going forward; this guide</w:t>
      </w:r>
      <w:r>
        <w:t xml:space="preserve"> </w:t>
      </w:r>
      <w:r>
        <w:t xml:space="preserve">is about the one-shot backfill.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e9a132cc40870906c5bf89a976f6a3608a5232">
        <w:r>
          <w:rPr>
            <w:rStyle w:val="Hyperlink"/>
          </w:rPr>
          <w:t xml:space="preserve">Picking the right tool</w:t>
        </w:r>
      </w:hyperlink>
    </w:p>
    <w:p>
      <w:pPr>
        <w:numPr>
          <w:ilvl w:val="0"/>
          <w:numId w:val="1001"/>
        </w:numPr>
        <w:pStyle w:val="Compact"/>
      </w:pPr>
      <w:hyperlink w:anchor="X53bcf0c3c22245f8ad675529a8614ffb807e646">
        <w:r>
          <w:rPr>
            <w:rStyle w:val="Hyperlink"/>
          </w:rPr>
          <w:t xml:space="preserve">Design decision: annotate or inline?</w:t>
        </w:r>
      </w:hyperlink>
    </w:p>
    <w:p>
      <w:pPr>
        <w:numPr>
          <w:ilvl w:val="0"/>
          <w:numId w:val="1001"/>
        </w:numPr>
        <w:pStyle w:val="Compact"/>
      </w:pPr>
      <w:hyperlink w:anchor="X00d757d1adccb22ce2aa50450c5b60df0a42a18">
        <w:r>
          <w:rPr>
            <w:rStyle w:val="Hyperlink"/>
          </w:rPr>
          <w:t xml:space="preserve">The JavaParser approach — overall shape</w:t>
        </w:r>
      </w:hyperlink>
    </w:p>
    <w:p>
      <w:pPr>
        <w:numPr>
          <w:ilvl w:val="0"/>
          <w:numId w:val="1001"/>
        </w:numPr>
        <w:pStyle w:val="Compact"/>
      </w:pPr>
      <w:hyperlink w:anchor="Xdf7a23503597c5361b97ed42410655c81d31501">
        <w:r>
          <w:rPr>
            <w:rStyle w:val="VerbatimChar"/>
          </w:rPr>
          <w:t xml:space="preserve">LexicalPreservingPrinter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difference between works and useless</w:t>
        </w:r>
      </w:hyperlink>
    </w:p>
    <w:p>
      <w:pPr>
        <w:numPr>
          <w:ilvl w:val="0"/>
          <w:numId w:val="1001"/>
        </w:numPr>
        <w:pStyle w:val="Compact"/>
      </w:pPr>
      <w:hyperlink w:anchor="X85c468564c2e5284fa0c7eaa3479fcccf93de43">
        <w:r>
          <w:rPr>
            <w:rStyle w:val="Hyperlink"/>
          </w:rPr>
          <w:t xml:space="preserve">The predicate is the actual hard part</w:t>
        </w:r>
      </w:hyperlink>
    </w:p>
    <w:p>
      <w:pPr>
        <w:numPr>
          <w:ilvl w:val="0"/>
          <w:numId w:val="1001"/>
        </w:numPr>
        <w:pStyle w:val="Compact"/>
      </w:pPr>
      <w:hyperlink w:anchor="Xff1ede8e46f38086b3160793ca6f64ca5f728d7">
        <w:r>
          <w:rPr>
            <w:rStyle w:val="Hyperlink"/>
          </w:rPr>
          <w:t xml:space="preserve">Idempotency</w:t>
        </w:r>
      </w:hyperlink>
    </w:p>
    <w:p>
      <w:pPr>
        <w:numPr>
          <w:ilvl w:val="0"/>
          <w:numId w:val="1001"/>
        </w:numPr>
        <w:pStyle w:val="Compact"/>
      </w:pPr>
      <w:hyperlink w:anchor="Xfe5c89df17d2e4337f1f475bd6af4d096b3041b">
        <w:r>
          <w:rPr>
            <w:rStyle w:val="Hyperlink"/>
          </w:rPr>
          <w:t xml:space="preserve">Import handling</w:t>
        </w:r>
      </w:hyperlink>
    </w:p>
    <w:p>
      <w:pPr>
        <w:numPr>
          <w:ilvl w:val="0"/>
          <w:numId w:val="1001"/>
        </w:numPr>
        <w:pStyle w:val="Compact"/>
      </w:pPr>
      <w:hyperlink w:anchor="X4c2f09f21e02a97e44388142efc9976a83ab5dc">
        <w:r>
          <w:rPr>
            <w:rStyle w:val="Hyperlink"/>
          </w:rPr>
          <w:t xml:space="preserve">Do you need the symbol solver?</w:t>
        </w:r>
      </w:hyperlink>
    </w:p>
    <w:p>
      <w:pPr>
        <w:numPr>
          <w:ilvl w:val="0"/>
          <w:numId w:val="1001"/>
        </w:numPr>
        <w:pStyle w:val="Compact"/>
      </w:pPr>
      <w:hyperlink w:anchor="X8f404a8476d175033b47e3ea5da80a89b58cc85">
        <w:r>
          <w:rPr>
            <w:rStyle w:val="Hyperlink"/>
          </w:rPr>
          <w:t xml:space="preserve">OpenRewrite — the higher-level alternative</w:t>
        </w:r>
      </w:hyperlink>
    </w:p>
    <w:p>
      <w:pPr>
        <w:numPr>
          <w:ilvl w:val="0"/>
          <w:numId w:val="1001"/>
        </w:numPr>
        <w:pStyle w:val="Compact"/>
      </w:pPr>
      <w:hyperlink w:anchor="Xd0d2fbd09b960a7577aedf04a58a1896913ca47">
        <w:r>
          <w:rPr>
            <w:rStyle w:val="Hyperlink"/>
          </w:rPr>
          <w:t xml:space="preserve">A sanity-check pipeline</w:t>
        </w:r>
      </w:hyperlink>
    </w:p>
    <w:p>
      <w:pPr>
        <w:numPr>
          <w:ilvl w:val="0"/>
          <w:numId w:val="1001"/>
        </w:numPr>
        <w:pStyle w:val="Compact"/>
      </w:pPr>
      <w:hyperlink w:anchor="X923eb6097e136b8be0e0b208424c028cd3abd8d">
        <w:r>
          <w:rPr>
            <w:rStyle w:val="Hyperlink"/>
          </w:rPr>
          <w:t xml:space="preserve">A nudge on the field signature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picking-the-right-tool"/>
    <w:p>
      <w:pPr>
        <w:pStyle w:val="Heading2"/>
      </w:pPr>
      <w:r>
        <w:t xml:space="preserve">1. Picking the right tool</w:t>
      </w:r>
    </w:p>
    <w:p>
      <w:pPr>
        <w:pStyle w:val="FirstParagraph"/>
      </w:pPr>
      <w:r>
        <w:t xml:space="preserve">Different tools solve different parts of the lifecycle. The line between them</w:t>
      </w:r>
      <w:r>
        <w:t xml:space="preserve"> </w:t>
      </w:r>
      <w:r>
        <w:t xml:space="preserve">is sharp: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code, adopting feature toggles going forward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@FeatureToggleService</w:t>
            </w:r>
            <w:r>
              <w:t xml:space="preserve"> </w:t>
            </w:r>
            <w:r>
              <w:t xml:space="preserve">annotation + the project’s annotation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write the annotation; the build generates the helper. No source edits.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 code, one-shot migration of 1000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JavaParser (or OpenRewrite)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need to</w:t>
            </w:r>
            <w:r>
              <w:t xml:space="preserve"> </w:t>
            </w:r>
            <w:r>
              <w:rPr>
                <w:iCs/>
                <w:i/>
              </w:rPr>
              <w:t xml:space="preserve">mutate existing files</w:t>
            </w:r>
            <w:r>
              <w:t xml:space="preserve">. Annotation processors can’t do this — JSR 269 only generates new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weaving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Bytecode instrumentation (ASM, ByteBuddy)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couldn’t touch source at all — e.g., third-party JARs you don’t own. Overkill if you have the source.</w:t>
            </w:r>
          </w:p>
        </w:tc>
      </w:tr>
    </w:tbl>
    <w:p>
      <w:pPr>
        <w:pStyle w:val="BodyText"/>
      </w:pPr>
      <w:r>
        <w:t xml:space="preserve">Annotation processing is the right choice for the long-term API. JavaParser is</w:t>
      </w:r>
      <w:r>
        <w:t xml:space="preserve"> </w:t>
      </w:r>
      <w:r>
        <w:t xml:space="preserve">the right choice for the bulk backfill. The two are complementary, not</w:t>
      </w:r>
      <w:r>
        <w:t xml:space="preserve"> </w:t>
      </w:r>
      <w:r>
        <w:t xml:space="preserve">alternatives — your migration tool runs once and is then archived; the</w:t>
      </w:r>
      <w:r>
        <w:t xml:space="preserve"> </w:t>
      </w:r>
      <w:r>
        <w:t xml:space="preserve">annotation processor stays in the build forever.</w:t>
      </w:r>
    </w:p>
    <w:p>
      <w:r>
        <w:pict>
          <v:rect style="width:0;height:1.5pt" o:hralign="center" o:hrstd="t" o:hr="t"/>
        </w:pict>
      </w:r>
    </w:p>
    <w:bookmarkEnd w:id="21"/>
    <w:bookmarkStart w:id="25" w:name="design-decision-annotate-or-inline"/>
    <w:p>
      <w:pPr>
        <w:pStyle w:val="Heading2"/>
      </w:pPr>
      <w:r>
        <w:t xml:space="preserve">2. Design decision: annotate or inline?</w:t>
      </w:r>
    </w:p>
    <w:p>
      <w:pPr>
        <w:pStyle w:val="FirstParagraph"/>
      </w:pPr>
      <w:r>
        <w:t xml:space="preserve">Before writing the migration, decide between two end states.</w:t>
      </w:r>
    </w:p>
    <w:bookmarkStart w:id="22" w:name="X712f086a80a4e66970c508cbe0f2e3e31b3e279"/>
    <w:p>
      <w:pPr>
        <w:pStyle w:val="Heading3"/>
      </w:pPr>
      <w:r>
        <w:t xml:space="preserve">Option A — Add the annotation, let the processor handle the rest</w:t>
      </w:r>
    </w:p>
    <w:p>
      <w:pPr>
        <w:pStyle w:val="SourceCode"/>
      </w:pPr>
      <w:r>
        <w:rPr>
          <w:rStyle w:val="AttributeTok"/>
        </w:rPr>
        <w:t xml:space="preserve">@FeatureToggleService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You write only the annotation. The processor generates</w:t>
      </w:r>
      <w:r>
        <w:t xml:space="preserve"> </w:t>
      </w:r>
      <w:r>
        <w:rPr>
          <w:rStyle w:val="VerbatimChar"/>
        </w:rPr>
        <w:t xml:space="preserve">CheckoutService_FeatureToggle.java</w:t>
      </w:r>
      <w:r>
        <w:t xml:space="preserve"> </w:t>
      </w:r>
      <w:r>
        <w:t xml:space="preserve">on every build. The migration tool is</w:t>
      </w:r>
      <w:r>
        <w:t xml:space="preserve"> </w:t>
      </w:r>
      <w:r>
        <w:t xml:space="preserve">trivial — just add the annotation and one import.</w:t>
      </w:r>
    </w:p>
    <w:bookmarkEnd w:id="22"/>
    <w:bookmarkStart w:id="23" w:name="X33abb1392e281a6a86f3ab5165324c47cada65e"/>
    <w:p>
      <w:pPr>
        <w:pStyle w:val="Heading3"/>
      </w:pPr>
      <w:r>
        <w:t xml:space="preserve">Option B — Inline the field directly, no annotation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FeatureToggleService featureService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FeatureToggleServiceProvider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You add the field directly. No companion file gets generated. You also need</w:t>
      </w:r>
      <w:r>
        <w:t xml:space="preserve"> </w:t>
      </w:r>
      <w:r>
        <w:t xml:space="preserve">imports for</w:t>
      </w:r>
      <w:r>
        <w:t xml:space="preserve"> </w:t>
      </w:r>
      <w:r>
        <w:rPr>
          <w:rStyle w:val="VerbatimChar"/>
        </w:rPr>
        <w:t xml:space="preserve">FeatureToggleService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FeatureToggleServiceProvider</w:t>
      </w:r>
      <w:r>
        <w:t xml:space="preserve">.</w:t>
      </w:r>
    </w:p>
    <w:bookmarkEnd w:id="23"/>
    <w:bookmarkStart w:id="24" w:name="trade-offs"/>
    <w:p>
      <w:pPr>
        <w:pStyle w:val="Heading3"/>
      </w:pPr>
      <w:r>
        <w:t xml:space="preserve">Trade-offs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 A</w:t>
            </w:r>
            <w:r>
              <w:t xml:space="preserve"> </w:t>
            </w:r>
            <w:r>
              <w:t xml:space="preserve">(annotate)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 B</w:t>
            </w:r>
            <w:r>
              <w:t xml:space="preserve"> </w:t>
            </w:r>
            <w:r>
              <w:t xml:space="preserve">(inline field)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 per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lines + 2 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generated</w:t>
            </w:r>
            <w:r>
              <w:t xml:space="preserve"> </w:t>
            </w:r>
            <w:r>
              <w:rPr>
                <w:rStyle w:val="VerbatimChar"/>
              </w:rPr>
              <w:t xml:space="preserve">_FeatureToggle.java</w:t>
            </w:r>
            <w:r>
              <w:t xml:space="preserve"> </w:t>
            </w:r>
            <w:r>
              <w:t xml:space="preserve">per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CheckoutService_FeatureToggle.featureService</w:t>
            </w:r>
            <w:r>
              <w:t xml:space="preserve"> </w:t>
            </w:r>
            <w:r>
              <w:t xml:space="preserve">(or extend the support class)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this.featureService</w:t>
            </w:r>
            <w:r>
              <w:t xml:space="preserve"> </w:t>
            </w:r>
            <w:r>
              <w:t xml:space="preserve">(already in scope)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 of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— check whether annotation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— check whether field name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cleanliness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is the public marker; code matches what new code looks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Looks hand-written; less obviously a</w:t>
            </w:r>
            <w:r>
              <w:t xml:space="preserve"> </w:t>
            </w:r>
            <w:r>
              <w:t xml:space="preserve">“</w:t>
            </w:r>
            <w:r>
              <w:t xml:space="preserve">feature-toggled class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If you go with Option B, be aware that</w:t>
      </w:r>
      <w:r>
        <w:t xml:space="preserve"> </w:t>
      </w:r>
      <w:r>
        <w:rPr>
          <w:bCs/>
          <w:b/>
        </w:rPr>
        <w:t xml:space="preserve">new code added later will use Option A</w:t>
      </w:r>
      <w:r>
        <w:rPr>
          <w:bCs/>
          <w:b/>
        </w:rPr>
        <w:t xml:space="preserve"> </w:t>
      </w:r>
      <w:r>
        <w:rPr>
          <w:bCs/>
          <w:b/>
        </w:rPr>
        <w:t xml:space="preserve">via the annotation</w:t>
      </w:r>
      <w:r>
        <w:t xml:space="preserve">, so you’ll have two patterns living together. Some teams</w:t>
      </w:r>
      <w:r>
        <w:t xml:space="preserve"> </w:t>
      </w:r>
      <w:r>
        <w:t xml:space="preserve">prefer that (</w:t>
      </w:r>
      <w:r>
        <w:t xml:space="preserve">“</w:t>
      </w:r>
      <w:r>
        <w:t xml:space="preserve">the annotation is for new code, the inline field shows what the</w:t>
      </w:r>
      <w:r>
        <w:t xml:space="preserve"> </w:t>
      </w:r>
      <w:r>
        <w:t xml:space="preserve">annotation expanded to</w:t>
      </w:r>
      <w:r>
        <w:t xml:space="preserve">”</w:t>
      </w:r>
      <w:r>
        <w:t xml:space="preserve">); some prefer to pick one pattern and unify the</w:t>
      </w:r>
      <w:r>
        <w:t xml:space="preserve"> </w:t>
      </w:r>
      <w:r>
        <w:t xml:space="preserve">codebase. Either is defensible — name your choice and document it.</w:t>
      </w:r>
    </w:p>
    <w:p>
      <w:pPr>
        <w:pStyle w:val="BodyText"/>
      </w:pPr>
      <w:r>
        <w:t xml:space="preserve">The rest of this guide assumes</w:t>
      </w:r>
      <w:r>
        <w:t xml:space="preserve"> </w:t>
      </w:r>
      <w:r>
        <w:rPr>
          <w:bCs/>
          <w:b/>
        </w:rPr>
        <w:t xml:space="preserve">Option B</w:t>
      </w:r>
      <w:r>
        <w:t xml:space="preserve">, since that’s the case where a</w:t>
      </w:r>
      <w:r>
        <w:t xml:space="preserve"> </w:t>
      </w:r>
      <w:r>
        <w:t xml:space="preserve">JavaParser migration adds real value. Option A is so simple it doesn’t need a</w:t>
      </w:r>
      <w:r>
        <w:t xml:space="preserve"> </w:t>
      </w:r>
      <w:r>
        <w:t xml:space="preserve">guide.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javaparser-approach-overall-shape"/>
    <w:p>
      <w:pPr>
        <w:pStyle w:val="Heading2"/>
      </w:pPr>
      <w:r>
        <w:t xml:space="preserve">3. The JavaParser approach — overall shape</w:t>
      </w:r>
    </w:p>
    <w:p>
      <w:pPr>
        <w:pStyle w:val="FirstParagraph"/>
      </w:pPr>
      <w:r>
        <w:t xml:space="preserve">A sketch of the migration tool. This is the structure to hang real logic off;</w:t>
      </w:r>
      <w:r>
        <w:t xml:space="preserve"> </w:t>
      </w:r>
      <w:r>
        <w:t xml:space="preserve">error handling, file filtering, and the</w:t>
      </w:r>
      <w:r>
        <w:t xml:space="preserve"> </w:t>
      </w:r>
      <w:r>
        <w:t xml:space="preserve">“</w:t>
      </w:r>
      <w:r>
        <w:t xml:space="preserve">which classes get this?</w:t>
      </w:r>
      <w:r>
        <w:t xml:space="preserve">”</w:t>
      </w:r>
      <w:r>
        <w:t xml:space="preserve"> </w:t>
      </w:r>
      <w:r>
        <w:t xml:space="preserve">predicate</w:t>
      </w:r>
      <w:r>
        <w:t xml:space="preserve"> </w:t>
      </w:r>
      <w:r>
        <w:t xml:space="preserve">are the parts you’ll customize.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FeatureToggleBackfill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IMPORT_SERVICE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"com.esc.service.FeatureToggleService"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IMPORT_PROVIDER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"com.esc.provider.FeatureToggleServiceProvider"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FIELD_NAME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"featureService"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ParserConfiguration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setLanguageLevel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ParserConfiguration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JAVA_21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JavaParser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JavaParser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".java"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FeatureToggleBackfill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looksLikeMigrationCandidate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JavaParser parser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CompilationUnit cu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getResult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LexicalPreservingPrinter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(1) preserve formatting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ClassOrInterfaceDeclaration cls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ClassOrInterfaceDeclaration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shouldAddField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(2) predicate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hasField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FIELD_NAME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(3) idempotency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addStaticField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ensureImport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IMPORT_SERVICE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(4) imports last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ensureImport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IMPORT_PROVIDER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LexicalPreservingPrinter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—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shouldAddField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ClassOrInterfaceDeclaration cls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isInterface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isInnerClass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skip inner — usually wrong target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isLocalClassDeclaration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ClassOrInterfaceDeclaration cls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getFields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getVariables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getNameAsString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addStaticField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ClassOrInterfaceDeclaration cls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FieldDeclaration 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addField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"FeatureToggleService"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Modifier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Modifier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Modifier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getVariable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setInitializer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"FeatureToggleServiceProvider.get()"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CompilationUnit cu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fqcn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already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getImports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isAsterisk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isStatic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getNameAsString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fqcn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already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fqcn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looksLikeMigrationCandidate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YOUR criterion for the 1000 vs 7000 split.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E.g., contains a "FEATURE_" string constant, sits under a specific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package, matches an entry in a CSV file, has a particular interface, etc.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numbered points each have their own section below.</w:t>
      </w:r>
    </w:p>
    <w:p>
      <w:r>
        <w:pict>
          <v:rect style="width:0;height:1.5pt" o:hralign="center" o:hrstd="t" o:hr="t"/>
        </w:pict>
      </w:r>
    </w:p>
    <w:bookmarkEnd w:id="26"/>
    <w:bookmarkStart w:id="28" w:name="X39f0da1abae19242945d9900925d8dec45d0425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 </w:t>
      </w:r>
      <w:r>
        <w:t xml:space="preserve">— the difference between works and useless</w:t>
      </w:r>
    </w:p>
    <w:p>
      <w:pPr>
        <w:pStyle w:val="FirstParagraph"/>
      </w:pPr>
      <w:r>
        <w:t xml:space="preserve">JavaParser’s default printer (</w:t>
      </w:r>
      <w:r>
        <w:rPr>
          <w:rStyle w:val="VerbatimChar"/>
        </w:rPr>
        <w:t xml:space="preserve">cu.toString()</w:t>
      </w:r>
      <w:r>
        <w:t xml:space="preserve">)</w:t>
      </w:r>
      <w:r>
        <w:t xml:space="preserve"> </w:t>
      </w:r>
      <w:r>
        <w:rPr>
          <w:bCs/>
          <w:b/>
        </w:rPr>
        <w:t xml:space="preserve">reformats the entire file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Loses your indentation.</w:t>
      </w:r>
    </w:p>
    <w:p>
      <w:pPr>
        <w:numPr>
          <w:ilvl w:val="0"/>
          <w:numId w:val="1002"/>
        </w:numPr>
        <w:pStyle w:val="Compact"/>
      </w:pPr>
      <w:r>
        <w:t xml:space="preserve">Moves comments around.</w:t>
      </w:r>
    </w:p>
    <w:p>
      <w:pPr>
        <w:numPr>
          <w:ilvl w:val="0"/>
          <w:numId w:val="1002"/>
        </w:numPr>
        <w:pStyle w:val="Compact"/>
      </w:pPr>
      <w:r>
        <w:t xml:space="preserve">Drops blank lines.</w:t>
      </w:r>
    </w:p>
    <w:p>
      <w:pPr>
        <w:numPr>
          <w:ilvl w:val="0"/>
          <w:numId w:val="1002"/>
        </w:numPr>
        <w:pStyle w:val="Compact"/>
      </w:pPr>
      <w:r>
        <w:t xml:space="preserve">Sometimes rewrites Javadoc layout.</w:t>
      </w:r>
    </w:p>
    <w:p>
      <w:pPr>
        <w:numPr>
          <w:ilvl w:val="0"/>
          <w:numId w:val="1002"/>
        </w:numPr>
        <w:pStyle w:val="Compact"/>
      </w:pPr>
      <w:r>
        <w:t xml:space="preserve">Standardizes brace style.</w:t>
      </w:r>
    </w:p>
    <w:p>
      <w:pPr>
        <w:pStyle w:val="FirstParagraph"/>
      </w:pPr>
      <w:r>
        <w:t xml:space="preserve">For a 1000-file migration where the diffs need to be reviewable, that’s a</w:t>
      </w:r>
      <w:r>
        <w:t xml:space="preserve"> </w:t>
      </w:r>
      <w:r>
        <w:t xml:space="preserve">non-starter. The diff is supposed to show</w:t>
      </w:r>
      <w:r>
        <w:t xml:space="preserve"> </w:t>
      </w:r>
      <w:r>
        <w:rPr>
          <w:iCs/>
          <w:i/>
        </w:rPr>
        <w:t xml:space="preserve">your</w:t>
      </w:r>
      <w:r>
        <w:t xml:space="preserve"> </w:t>
      </w:r>
      <w:r>
        <w:t xml:space="preserve">change, not</w:t>
      </w:r>
      <w:r>
        <w:t xml:space="preserve"> </w:t>
      </w:r>
      <w:r>
        <w:t xml:space="preserve">“</w:t>
      </w:r>
      <w:r>
        <w:t xml:space="preserve">and also the</w:t>
      </w:r>
      <w:r>
        <w:t xml:space="preserve"> </w:t>
      </w:r>
      <w:r>
        <w:t xml:space="preserve">whole file got reformatted.</w:t>
      </w:r>
      <w:r>
        <w:t xml:space="preserve">”</w:t>
      </w:r>
    </w:p>
    <w:p>
      <w:pPr>
        <w:pStyle w:val="BodyText"/>
      </w:pPr>
      <w:r>
        <w:rPr>
          <w:rStyle w:val="VerbatimChar"/>
        </w:rPr>
        <w:t xml:space="preserve">LexicalPreservingPrinter.setup(cu)</w:t>
      </w:r>
      <w:r>
        <w:t xml:space="preserve"> </w:t>
      </w:r>
      <w:r>
        <w:t xml:space="preserve">attaches a metadata layer that tracks</w:t>
      </w:r>
      <w:r>
        <w:t xml:space="preserve"> </w:t>
      </w:r>
      <w:r>
        <w:t xml:space="preserve">the original tokens. Then</w:t>
      </w:r>
      <w:r>
        <w:t xml:space="preserve"> </w:t>
      </w:r>
      <w:r>
        <w:rPr>
          <w:rStyle w:val="VerbatimChar"/>
        </w:rPr>
        <w:t xml:space="preserve">LexicalPreservingPrinter.print(cu)</w:t>
      </w:r>
      <w:r>
        <w:t xml:space="preserve"> </w:t>
      </w:r>
      <w:r>
        <w:t xml:space="preserve">emits source</w:t>
      </w:r>
      <w:r>
        <w:t xml:space="preserve"> </w:t>
      </w:r>
      <w:r>
        <w:t xml:space="preserve">where only your edits show as diffs; everything else round-trips</w:t>
      </w:r>
      <w:r>
        <w:t xml:space="preserve"> </w:t>
      </w:r>
      <w:r>
        <w:t xml:space="preserve">byte-for-byte.</w:t>
      </w:r>
    </w:p>
    <w:bookmarkStart w:id="27" w:name="caveats"/>
    <w:p>
      <w:pPr>
        <w:pStyle w:val="Heading3"/>
      </w:pPr>
      <w:r>
        <w:t xml:space="preserve">Caveats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Rough edges.</w:t>
      </w:r>
      <w:r>
        <w:t xml:space="preserve"> </w:t>
      </w:r>
      <w:r>
        <w:t xml:space="preserve">Interactions between multiple edits on the same node</w:t>
      </w:r>
      <w:r>
        <w:t xml:space="preserve"> </w:t>
      </w:r>
      <w:r>
        <w:t xml:space="preserve">sometimes produce odd whitespace. Test on a representative subset of your</w:t>
      </w:r>
      <w:r>
        <w:t xml:space="preserve"> </w:t>
      </w:r>
      <w:r>
        <w:t xml:space="preserve">files first and eyeball the diffs before letting the tool loose on the</w:t>
      </w:r>
      <w:r>
        <w:t xml:space="preserve"> </w:t>
      </w:r>
      <w:r>
        <w:t xml:space="preserve">whole tree.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Workarounds when it misbehaves:</w:t>
      </w:r>
      <w:r>
        <w:t xml:space="preserve"> </w:t>
      </w:r>
      <w:r>
        <w:t xml:space="preserve">do edits in smaller, more focused</w:t>
      </w:r>
      <w:r>
        <w:t xml:space="preserve"> </w:t>
      </w:r>
      <w:r>
        <w:t xml:space="preserve">steps (one field at a time, re-parse between edits), or fall back to a</w:t>
      </w:r>
      <w:r>
        <w:t xml:space="preserve"> </w:t>
      </w:r>
      <w:r>
        <w:t xml:space="preserve">text-based insertion for files where the AST manipulation produces bad</w:t>
      </w:r>
      <w:r>
        <w:t xml:space="preserve"> </w:t>
      </w:r>
      <w:r>
        <w:t xml:space="preserve">output.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Line endings.</w:t>
      </w:r>
      <w:r>
        <w:t xml:space="preserve"> </w:t>
      </w:r>
      <w:r>
        <w:t xml:space="preserve">On a mixed Windows/Unix codebase, watch for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drift in the output.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 </w:t>
      </w:r>
      <w:r>
        <w:t xml:space="preserve">generally preserves</w:t>
      </w:r>
      <w:r>
        <w:t xml:space="preserve"> </w:t>
      </w:r>
      <w:r>
        <w:t xml:space="preserve">whatever the input had, but combine it with</w:t>
      </w:r>
      <w:r>
        <w:t xml:space="preserve"> </w:t>
      </w:r>
      <w:r>
        <w:rPr>
          <w:rStyle w:val="VerbatimChar"/>
        </w:rPr>
        <w:t xml:space="preserve">Files.readString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Files.writeString</w:t>
      </w:r>
      <w:r>
        <w:t xml:space="preserve"> </w:t>
      </w:r>
      <w:r>
        <w:t xml:space="preserve">and you’ll occasionally see a stray normalization.</w:t>
      </w:r>
      <w:r>
        <w:t xml:space="preserve"> </w:t>
      </w:r>
      <w:r>
        <w:t xml:space="preserve">If you control the codebase, ensure a consistent line-ending policy first.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predicate-is-the-actual-hard-part"/>
    <w:p>
      <w:pPr>
        <w:pStyle w:val="Heading2"/>
      </w:pPr>
      <w:r>
        <w:t xml:space="preserve">5. The predicate is the actual hard part</w:t>
      </w:r>
    </w:p>
    <w:p>
      <w:pPr>
        <w:pStyle w:val="FirstParagraph"/>
      </w:pPr>
      <w:r>
        <w:t xml:space="preserve">The skeleton above skips interfaces, inner classes, and local classes.</w:t>
      </w:r>
      <w:r>
        <w:t xml:space="preserve"> </w:t>
      </w:r>
      <w:r>
        <w:t xml:space="preserve">That’s the easy part. The real decisions: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Records and enums?</w:t>
      </w:r>
      <w:r>
        <w:t xml:space="preserve"> </w:t>
      </w:r>
      <w:r>
        <w:t xml:space="preserve">Records can’t have non-static</w:t>
      </w:r>
      <w:r>
        <w:t xml:space="preserve"> </w:t>
      </w:r>
      <w:r>
        <w:rPr>
          <w:iCs/>
          <w:i/>
        </w:rPr>
        <w:t xml:space="preserve">instance</w:t>
      </w:r>
      <w:r>
        <w:t xml:space="preserve"> </w:t>
      </w:r>
      <w:r>
        <w:t xml:space="preserve">fields, but</w:t>
      </w:r>
      <w:r>
        <w:t xml:space="preserve"> </w:t>
      </w:r>
      <w:r>
        <w:t xml:space="preserve">they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have static fields — so adding</w:t>
      </w:r>
      <w:r>
        <w:t xml:space="preserve"> </w:t>
      </w:r>
      <w:r>
        <w:rPr>
          <w:rStyle w:val="VerbatimChar"/>
        </w:rPr>
        <w:t xml:space="preserve">public static final FeatureToggleService featureService</w:t>
      </w:r>
      <w:r>
        <w:t xml:space="preserve"> </w:t>
      </w:r>
      <w:r>
        <w:t xml:space="preserve">to a record is</w:t>
      </w:r>
      <w:r>
        <w:t xml:space="preserve"> </w:t>
      </w:r>
      <w:r>
        <w:t xml:space="preserve">legal. Enums similarly. Decide whether your migration covers them.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Abstract classes?</w:t>
      </w:r>
      <w:r>
        <w:t xml:space="preserve"> </w:t>
      </w:r>
      <w:r>
        <w:t xml:space="preserve">Usually yes — they still benefit from the static</w:t>
      </w:r>
      <w:r>
        <w:t xml:space="preserve"> </w:t>
      </w:r>
      <w:r>
        <w:t xml:space="preserve">accessor for their concrete subclasses.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Inner classes?</w:t>
      </w:r>
      <w:r>
        <w:t xml:space="preserve"> </w:t>
      </w:r>
      <w:r>
        <w:t xml:space="preserve">Usually no. The outer class’s</w:t>
      </w:r>
      <w:r>
        <w:t xml:space="preserve"> </w:t>
      </w:r>
      <w:r>
        <w:rPr>
          <w:rStyle w:val="VerbatimChar"/>
        </w:rPr>
        <w:t xml:space="preserve">featureService</w:t>
      </w:r>
      <w:r>
        <w:t xml:space="preserve"> </w:t>
      </w:r>
      <w:r>
        <w:t xml:space="preserve">is</w:t>
      </w:r>
      <w:r>
        <w:t xml:space="preserve"> </w:t>
      </w:r>
      <w:r>
        <w:t xml:space="preserve">already in scope from inner classes. Adding it to both is redundant.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Generated files?</w:t>
      </w:r>
      <w:r>
        <w:t xml:space="preserve"> </w:t>
      </w:r>
      <w:r>
        <w:t xml:space="preserve">Skip anything with</w:t>
      </w:r>
      <w:r>
        <w:t xml:space="preserve"> </w:t>
      </w:r>
      <w:r>
        <w:rPr>
          <w:rStyle w:val="VerbatimChar"/>
        </w:rPr>
        <w:t xml:space="preserve">@Generated</w:t>
      </w:r>
      <w:r>
        <w:t xml:space="preserve"> </w:t>
      </w:r>
      <w:r>
        <w:t xml:space="preserve">or living under</w:t>
      </w:r>
      <w:r>
        <w:t xml:space="preserve"> </w:t>
      </w:r>
      <w:r>
        <w:rPr>
          <w:rStyle w:val="VerbatimChar"/>
        </w:rPr>
        <w:t xml:space="preserve">target/generated-sources/</w:t>
      </w:r>
      <w:r>
        <w:t xml:space="preserve"> </w:t>
      </w:r>
      <w:r>
        <w:t xml:space="preserve">— your migration tool should never touch</w:t>
      </w:r>
      <w:r>
        <w:t xml:space="preserve"> </w:t>
      </w:r>
      <w:r>
        <w:t xml:space="preserve">generator output. The</w:t>
      </w:r>
      <w:r>
        <w:t xml:space="preserve"> </w:t>
      </w:r>
      <w:r>
        <w:rPr>
          <w:rStyle w:val="VerbatimChar"/>
        </w:rPr>
        <w:t xml:space="preserve">@Generated</w:t>
      </w:r>
      <w:r>
        <w:t xml:space="preserve"> </w:t>
      </w:r>
      <w:r>
        <w:t xml:space="preserve">check is a useful safety belt against</w:t>
      </w:r>
      <w:r>
        <w:t xml:space="preserve"> </w:t>
      </w:r>
      <w:r>
        <w:t xml:space="preserve">running the tool on a file that’s already been processed.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Test sources?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src/test/java/</w:t>
      </w:r>
      <w:r>
        <w:t xml:space="preserve"> </w:t>
      </w:r>
      <w:r>
        <w:t xml:space="preserve">doesn’t need feature-toggling at</w:t>
      </w:r>
      <w:r>
        <w:t xml:space="preserve"> </w:t>
      </w:r>
      <w:r>
        <w:t xml:space="preserve">compile time, exclude that path at the file-walk level. (Some teams want</w:t>
      </w:r>
      <w:r>
        <w:t xml:space="preserve"> </w:t>
      </w:r>
      <w:r>
        <w:t xml:space="preserve">tests to be able to</w:t>
      </w:r>
      <w:r>
        <w:t xml:space="preserve"> </w:t>
      </w:r>
      <w:r>
        <w:rPr>
          <w:iCs/>
          <w:i/>
        </w:rPr>
        <w:t xml:space="preserve">check</w:t>
      </w:r>
      <w:r>
        <w:t xml:space="preserve"> </w:t>
      </w:r>
      <w:r>
        <w:t xml:space="preserve">feature-toggle state without enabling</w:t>
      </w:r>
      <w:r>
        <w:t xml:space="preserve"> </w:t>
      </w:r>
      <w:r>
        <w:t xml:space="preserve">toggling itself; in that case, include them.)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Package-restricted classes (</w:t>
      </w:r>
      <w:r>
        <w:rPr>
          <w:rStyle w:val="VerbatimChar"/>
          <w:bCs/>
          <w:b/>
        </w:rPr>
        <w:t xml:space="preserve">final</w:t>
      </w:r>
      <w:r>
        <w:rPr>
          <w:bCs/>
          <w:b/>
        </w:rPr>
        <w:t xml:space="preserve">, package-private utility classes)?</w:t>
      </w:r>
      <w:r>
        <w:t xml:space="preserve"> </w:t>
      </w:r>
      <w:r>
        <w:t xml:space="preserve">Usually yes; the modifier doesn’t affect whether the field makes sense.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CSV/manifest source.</w:t>
      </w:r>
      <w:r>
        <w:t xml:space="preserve"> </w:t>
      </w:r>
      <w:r>
        <w:t xml:space="preserve">For a</w:t>
      </w:r>
      <w:r>
        <w:t xml:space="preserve"> </w:t>
      </w:r>
      <w:r>
        <w:t xml:space="preserve">“</w:t>
      </w:r>
      <w:r>
        <w:t xml:space="preserve">1000 files out of 8000</w:t>
      </w:r>
      <w:r>
        <w:t xml:space="preserve">”</w:t>
      </w:r>
      <w:r>
        <w:t xml:space="preserve"> </w:t>
      </w:r>
      <w:r>
        <w:t xml:space="preserve">split, the</w:t>
      </w:r>
      <w:r>
        <w:t xml:space="preserve"> </w:t>
      </w:r>
      <w:r>
        <w:t xml:space="preserve">cleanest predicate is usually a list maintained externally (CSV, JSON,</w:t>
      </w:r>
      <w:r>
        <w:t xml:space="preserve"> </w:t>
      </w:r>
      <w:r>
        <w:t xml:space="preserve">database query) rather than trying to detect candidacy by code patterns.</w:t>
      </w:r>
      <w:r>
        <w:t xml:space="preserve"> </w:t>
      </w:r>
      <w:r>
        <w:t xml:space="preserve">The list is something humans can review; a code-pattern detector tends</w:t>
      </w:r>
      <w:r>
        <w:t xml:space="preserve"> </w:t>
      </w:r>
      <w:r>
        <w:t xml:space="preserve">to drift over time.</w:t>
      </w:r>
    </w:p>
    <w:p>
      <w:pPr>
        <w:pStyle w:val="FirstParagraph"/>
      </w:pPr>
      <w:r>
        <w:t xml:space="preserve">The predicate is also where most migration bugs hide. Spend time on it.</w:t>
      </w:r>
      <w:r>
        <w:t xml:space="preserve"> </w:t>
      </w:r>
      <w:r>
        <w:t xml:space="preserve">Print a candidate count before running the actual modification; verify by</w:t>
      </w:r>
      <w:r>
        <w:t xml:space="preserve"> </w:t>
      </w:r>
      <w:r>
        <w:t xml:space="preserve">eye that the number matches expectations.</w:t>
      </w:r>
    </w:p>
    <w:p>
      <w:r>
        <w:pict>
          <v:rect style="width:0;height:1.5pt" o:hralign="center" o:hrstd="t" o:hr="t"/>
        </w:pict>
      </w:r>
    </w:p>
    <w:bookmarkEnd w:id="29"/>
    <w:bookmarkStart w:id="30" w:name="idempotency"/>
    <w:p>
      <w:pPr>
        <w:pStyle w:val="Heading2"/>
      </w:pPr>
      <w:r>
        <w:t xml:space="preserve">6. Idempotency</w:t>
      </w:r>
    </w:p>
    <w:p>
      <w:pPr>
        <w:pStyle w:val="FirstParagraph"/>
      </w:pPr>
      <w:r>
        <w:t xml:space="preserve">Your migration may not be a single atomic run. You’ll likely:</w:t>
      </w:r>
    </w:p>
    <w:p>
      <w:pPr>
        <w:numPr>
          <w:ilvl w:val="0"/>
          <w:numId w:val="1005"/>
        </w:numPr>
        <w:pStyle w:val="Compact"/>
      </w:pPr>
      <w:r>
        <w:t xml:space="preserve">Run on a subset, review diffs, find a bug.</w:t>
      </w:r>
    </w:p>
    <w:p>
      <w:pPr>
        <w:numPr>
          <w:ilvl w:val="0"/>
          <w:numId w:val="1005"/>
        </w:numPr>
        <w:pStyle w:val="Compact"/>
      </w:pPr>
      <w:r>
        <w:t xml:space="preserve">Fix the bug.</w:t>
      </w:r>
    </w:p>
    <w:p>
      <w:pPr>
        <w:numPr>
          <w:ilvl w:val="0"/>
          <w:numId w:val="1005"/>
        </w:numPr>
        <w:pStyle w:val="Compact"/>
      </w:pPr>
      <w:r>
        <w:t xml:space="preserve">Run on the same files plus more files.</w:t>
      </w:r>
    </w:p>
    <w:p>
      <w:pPr>
        <w:pStyle w:val="FirstParagraph"/>
      </w:pPr>
      <w:r>
        <w:t xml:space="preserve">If the second run adds a</w:t>
      </w:r>
      <w:r>
        <w:t xml:space="preserve"> </w:t>
      </w:r>
      <w:r>
        <w:rPr>
          <w:iCs/>
          <w:i/>
        </w:rPr>
        <w:t xml:space="preserve">second</w:t>
      </w:r>
      <w:r>
        <w:t xml:space="preserve"> </w:t>
      </w:r>
      <w:r>
        <w:rPr>
          <w:rStyle w:val="VerbatimChar"/>
        </w:rPr>
        <w:t xml:space="preserve">featureService</w:t>
      </w:r>
      <w:r>
        <w:t xml:space="preserve"> </w:t>
      </w:r>
      <w:r>
        <w:t xml:space="preserve">field to classes that</w:t>
      </w:r>
      <w:r>
        <w:t xml:space="preserve"> </w:t>
      </w:r>
      <w:r>
        <w:t xml:space="preserve">already got it, you’ll get compile errors. The</w:t>
      </w:r>
      <w:r>
        <w:t xml:space="preserve"> </w:t>
      </w:r>
      <w:r>
        <w:rPr>
          <w:rStyle w:val="VerbatimChar"/>
        </w:rPr>
        <w:t xml:space="preserve">hasField()</w:t>
      </w:r>
      <w:r>
        <w:t xml:space="preserve"> </w:t>
      </w:r>
      <w:r>
        <w:t xml:space="preserve">check keeps the</w:t>
      </w:r>
      <w:r>
        <w:t xml:space="preserve"> </w:t>
      </w:r>
      <w:r>
        <w:t xml:space="preserve">tool idempotent.</w:t>
      </w:r>
    </w:p>
    <w:p>
      <w:pPr>
        <w:pStyle w:val="BodyText"/>
      </w:pPr>
      <w:r>
        <w:t xml:space="preserve">You could also add a cheap pre-parse short-circuit: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"FeatureToggleService featureService"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probably already migrated; skip parse cost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a heuristic, not a guarantee — a comment containing that string</w:t>
      </w:r>
      <w:r>
        <w:t xml:space="preserve"> </w:t>
      </w:r>
      <w:r>
        <w:t xml:space="preserve">would also skip the file. But on a 1000-file run, it saves real parse time</w:t>
      </w:r>
      <w:r>
        <w:t xml:space="preserve"> </w:t>
      </w:r>
      <w:r>
        <w:t xml:space="preserve">for the files that are obviously already done.</w:t>
      </w:r>
    </w:p>
    <w:p>
      <w:pPr>
        <w:pStyle w:val="BodyText"/>
      </w:pPr>
      <w:r>
        <w:t xml:space="preserve">A deeper form of idempotency worth thinking about:</w:t>
      </w:r>
      <w:r>
        <w:t xml:space="preserve"> </w:t>
      </w:r>
      <w:r>
        <w:rPr>
          <w:bCs/>
          <w:b/>
        </w:rPr>
        <w:t xml:space="preserve">what if your team</w:t>
      </w:r>
      <w:r>
        <w:rPr>
          <w:bCs/>
          <w:b/>
        </w:rPr>
        <w:t xml:space="preserve"> </w:t>
      </w:r>
      <w:r>
        <w:rPr>
          <w:bCs/>
          <w:b/>
        </w:rPr>
        <w:t xml:space="preserve">hand-edits one of the migrated files later?</w:t>
      </w:r>
      <w:r>
        <w:t xml:space="preserve"> </w:t>
      </w:r>
      <w:r>
        <w:t xml:space="preserve">The migration tool runs</w:t>
      </w:r>
      <w:r>
        <w:t xml:space="preserve"> </w:t>
      </w:r>
      <w:r>
        <w:t xml:space="preserve">again (say, against a different env name). The hand-edit gets preserved by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, but the predicate</w:t>
      </w:r>
      <w:r>
        <w:t xml:space="preserve"> </w:t>
      </w:r>
      <w:r>
        <w:rPr>
          <w:rStyle w:val="VerbatimChar"/>
        </w:rPr>
        <w:t xml:space="preserve">hasField</w:t>
      </w:r>
      <w:r>
        <w:t xml:space="preserve"> </w:t>
      </w:r>
      <w:r>
        <w:t xml:space="preserve">will see the</w:t>
      </w:r>
      <w:r>
        <w:t xml:space="preserve"> </w:t>
      </w:r>
      <w:r>
        <w:t xml:space="preserve">existing field and skip the class — even if its initializer is now subtly</w:t>
      </w:r>
      <w:r>
        <w:t xml:space="preserve"> </w:t>
      </w:r>
      <w:r>
        <w:t xml:space="preserve">different from what the migration would produce. Decide whether the</w:t>
      </w:r>
      <w:r>
        <w:t xml:space="preserve"> </w:t>
      </w:r>
      <w:r>
        <w:t xml:space="preserve">migration’s role is</w:t>
      </w:r>
      <w:r>
        <w:t xml:space="preserve"> </w:t>
      </w:r>
      <w:r>
        <w:t xml:space="preserve">“</w:t>
      </w:r>
      <w:r>
        <w:t xml:space="preserve">make sure the field exists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make sure the field</w:t>
      </w:r>
      <w:r>
        <w:t xml:space="preserve"> </w:t>
      </w:r>
      <w:r>
        <w:t xml:space="preserve">matches a canonical form.</w:t>
      </w:r>
      <w:r>
        <w:t xml:space="preserve">”</w:t>
      </w:r>
      <w:r>
        <w:t xml:space="preserve"> </w:t>
      </w:r>
      <w:r>
        <w:t xml:space="preserve">The former is friendlier; the latter is more</w:t>
      </w:r>
      <w:r>
        <w:t xml:space="preserve"> </w:t>
      </w:r>
      <w:r>
        <w:t xml:space="preserve">opinionated.</w:t>
      </w:r>
    </w:p>
    <w:p>
      <w:r>
        <w:pict>
          <v:rect style="width:0;height:1.5pt" o:hralign="center" o:hrstd="t" o:hr="t"/>
        </w:pict>
      </w:r>
    </w:p>
    <w:bookmarkEnd w:id="30"/>
    <w:bookmarkStart w:id="31" w:name="import-handling"/>
    <w:p>
      <w:pPr>
        <w:pStyle w:val="Heading2"/>
      </w:pPr>
      <w:r>
        <w:t xml:space="preserve">7. Import handling</w:t>
      </w:r>
    </w:p>
    <w:p>
      <w:pPr>
        <w:pStyle w:val="FirstParagraph"/>
      </w:pPr>
      <w:r>
        <w:rPr>
          <w:rStyle w:val="VerbatimChar"/>
        </w:rPr>
        <w:t xml:space="preserve">cu.addImport(fqcn)</w:t>
      </w:r>
      <w:r>
        <w:t xml:space="preserve"> </w:t>
      </w:r>
      <w:r>
        <w:t xml:space="preserve">adds the import if absent. The explicit check in the</w:t>
      </w:r>
      <w:r>
        <w:t xml:space="preserve"> </w:t>
      </w:r>
      <w:r>
        <w:t xml:space="preserve">skeleton above is belt-and-braces —</w:t>
      </w:r>
      <w:r>
        <w:t xml:space="preserve"> </w:t>
      </w:r>
      <w:r>
        <w:rPr>
          <w:rStyle w:val="VerbatimChar"/>
        </w:rPr>
        <w:t xml:space="preserve">addImport</w:t>
      </w:r>
      <w:r>
        <w:t xml:space="preserve"> </w:t>
      </w:r>
      <w:r>
        <w:t xml:space="preserve">is internally idempotent in</w:t>
      </w:r>
      <w:r>
        <w:t xml:space="preserve"> </w:t>
      </w:r>
      <w:r>
        <w:t xml:space="preserve">modern JavaParser versions, but being explicit means you don’t depend on</w:t>
      </w:r>
      <w:r>
        <w:t xml:space="preserve"> </w:t>
      </w:r>
      <w:r>
        <w:t xml:space="preserve">that.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rStyle w:val="VerbatimChar"/>
        </w:rPr>
        <w:t xml:space="preserve">addImport</w:t>
      </w:r>
      <w:r>
        <w:t xml:space="preserve"> </w:t>
      </w:r>
      <w:r>
        <w:t xml:space="preserve">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Resolve conflicts</w:t>
      </w:r>
      <w:r>
        <w:t xml:space="preserve"> </w:t>
      </w:r>
      <w:r>
        <w:t xml:space="preserve">with an existing</w:t>
      </w:r>
      <w:r>
        <w:t xml:space="preserve"> </w:t>
      </w:r>
      <w:r>
        <w:rPr>
          <w:rStyle w:val="VerbatimChar"/>
        </w:rPr>
        <w:t xml:space="preserve">import com.somewhere.FeatureToggleService;</w:t>
      </w:r>
      <w:r>
        <w:t xml:space="preserve"> </w:t>
      </w:r>
      <w:r>
        <w:t xml:space="preserve">from a different package. You’d get two imports (a compile error), or the</w:t>
      </w:r>
      <w:r>
        <w:t xml:space="preserve"> </w:t>
      </w:r>
      <w:r>
        <w:t xml:space="preserve">one already present takes precedence (your migration silently uses the</w:t>
      </w:r>
      <w:r>
        <w:t xml:space="preserve"> </w:t>
      </w:r>
      <w:r>
        <w:t xml:space="preserve">wrong class).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Detect coverage via wildcards.</w:t>
      </w:r>
      <w:r>
        <w:t xml:space="preserve"> </w:t>
      </w:r>
      <w:r>
        <w:rPr>
          <w:rStyle w:val="VerbatimChar"/>
        </w:rPr>
        <w:t xml:space="preserve">import com.esc.service.*;</w:t>
      </w:r>
      <w:r>
        <w:t xml:space="preserve"> </w:t>
      </w:r>
      <w:r>
        <w:t xml:space="preserve">already</w:t>
      </w:r>
      <w:r>
        <w:t xml:space="preserve"> </w:t>
      </w:r>
      <w:r>
        <w:t xml:space="preserve">brings in</w:t>
      </w:r>
      <w:r>
        <w:t xml:space="preserve"> </w:t>
      </w:r>
      <w:r>
        <w:rPr>
          <w:rStyle w:val="VerbatimChar"/>
        </w:rPr>
        <w:t xml:space="preserve">FeatureToggleService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cu.getImports()</w:t>
      </w:r>
      <w:r>
        <w:t xml:space="preserve"> </w:t>
      </w:r>
      <w:r>
        <w:t xml:space="preserve">won’t tell you that</w:t>
      </w:r>
      <w:r>
        <w:t xml:space="preserve"> </w:t>
      </w:r>
      <w:r>
        <w:t xml:space="preserve">unless you look at the wildcard imports explicitly.</w:t>
      </w:r>
    </w:p>
    <w:p>
      <w:pPr>
        <w:pStyle w:val="FirstParagraph"/>
      </w:pPr>
      <w:r>
        <w:t xml:space="preserve">If your codebase uses wildcard imports, you’ll want the</w:t>
      </w:r>
      <w:r>
        <w:t xml:space="preserve"> </w:t>
      </w:r>
      <w:r>
        <w:rPr>
          <w:rStyle w:val="VerbatimChar"/>
        </w:rPr>
        <w:t xml:space="preserve">JavaSymbolSolver</w:t>
      </w:r>
      <w:r>
        <w:t xml:space="preserve"> </w:t>
      </w:r>
      <w:r>
        <w:t xml:space="preserve">to actually resolve symbols. But for a one-shot migration where you control</w:t>
      </w:r>
      <w:r>
        <w:t xml:space="preserve"> </w:t>
      </w:r>
      <w:r>
        <w:t xml:space="preserve">both sides, an FQCN-equality check is usually enough — and if it’s not, you</w:t>
      </w:r>
      <w:r>
        <w:t xml:space="preserve"> </w:t>
      </w:r>
      <w:r>
        <w:t xml:space="preserve">find out at compile time.</w:t>
      </w:r>
    </w:p>
    <w:p>
      <w:pPr>
        <w:pStyle w:val="BodyText"/>
      </w:pPr>
      <w:r>
        <w:t xml:space="preserve">A simple defensive enhancement: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CompilationUnit cu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fqcn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simpleName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fqcn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fqcn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Already imported by exact FQCN?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ImportDeclaration 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getImports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isStatic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isAsterisk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getNameAsString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fqcn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Conflict: same simple name, different package.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isStatic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isAsterisk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getIdentifier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simpleName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getNameAsString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fqcn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conflict 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simpleName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addImport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fqcn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Now the tool blows up loudly on a file where another class also called</w:t>
      </w:r>
      <w:r>
        <w:t xml:space="preserve"> </w:t>
      </w:r>
      <w:r>
        <w:rPr>
          <w:rStyle w:val="VerbatimChar"/>
        </w:rPr>
        <w:t xml:space="preserve">FeatureToggleService</w:t>
      </w:r>
      <w:r>
        <w:t xml:space="preserve"> </w:t>
      </w:r>
      <w:r>
        <w:t xml:space="preserve">is already imported, instead of silently producing</w:t>
      </w:r>
      <w:r>
        <w:t xml:space="preserve"> </w:t>
      </w:r>
      <w:r>
        <w:t xml:space="preserve">broken code.</w:t>
      </w:r>
    </w:p>
    <w:p>
      <w:r>
        <w:pict>
          <v:rect style="width:0;height:1.5pt" o:hralign="center" o:hrstd="t" o:hr="t"/>
        </w:pict>
      </w:r>
    </w:p>
    <w:bookmarkEnd w:id="31"/>
    <w:bookmarkStart w:id="32" w:name="do-you-need-the-symbol-solver"/>
    <w:p>
      <w:pPr>
        <w:pStyle w:val="Heading2"/>
      </w:pPr>
      <w:r>
        <w:t xml:space="preserve">8. Do you need the symbol solver?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iCs/>
          <w:i/>
        </w:rPr>
        <w:t xml:space="preserve">this specific transformation</w:t>
      </w:r>
      <w:r>
        <w:t xml:space="preserve"> </w:t>
      </w:r>
      <w:r>
        <w:t xml:space="preserve">(add an import, add a field),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The</w:t>
      </w:r>
      <w:r>
        <w:t xml:space="preserve"> </w:t>
      </w:r>
      <w:r>
        <w:t xml:space="preserve">transformation is structural — you don’t need to know what</w:t>
      </w:r>
      <w:r>
        <w:t xml:space="preserve"> </w:t>
      </w:r>
      <w:r>
        <w:rPr>
          <w:rStyle w:val="VerbatimChar"/>
        </w:rPr>
        <w:t xml:space="preserve">featureService</w:t>
      </w:r>
      <w:r>
        <w:t xml:space="preserve"> </w:t>
      </w:r>
      <w:r>
        <w:t xml:space="preserve">resolves to in any given file. You’re just inserting tokens.</w:t>
      </w:r>
    </w:p>
    <w:p>
      <w:pPr>
        <w:pStyle w:val="BodyText"/>
      </w:pPr>
      <w:r>
        <w:t xml:space="preserve">You’d reach for</w:t>
      </w:r>
      <w:r>
        <w:t xml:space="preserve"> </w:t>
      </w:r>
      <w:r>
        <w:rPr>
          <w:rStyle w:val="VerbatimChar"/>
        </w:rPr>
        <w:t xml:space="preserve">JavaSymbolSolver</w:t>
      </w:r>
      <w:r>
        <w:t xml:space="preserve"> </w:t>
      </w:r>
      <w:r>
        <w:t xml:space="preserve">when:</w:t>
      </w:r>
    </w:p>
    <w:p>
      <w:pPr>
        <w:numPr>
          <w:ilvl w:val="0"/>
          <w:numId w:val="1007"/>
        </w:numPr>
        <w:pStyle w:val="Compact"/>
      </w:pPr>
      <w:r>
        <w:t xml:space="preserve">You need to find files where a specific class is referenced (e.g.,</w:t>
      </w:r>
      <w:r>
        <w:t xml:space="preserve"> </w:t>
      </w:r>
      <w:r>
        <w:t xml:space="preserve">“</w:t>
      </w:r>
      <w:r>
        <w:t xml:space="preserve">every</w:t>
      </w:r>
      <w:r>
        <w:t xml:space="preserve"> </w:t>
      </w:r>
      <w:r>
        <w:t xml:space="preserve">file that uses</w:t>
      </w:r>
      <w:r>
        <w:t xml:space="preserve"> </w:t>
      </w:r>
      <w:r>
        <w:rPr>
          <w:rStyle w:val="VerbatimChar"/>
        </w:rPr>
        <w:t xml:space="preserve">LegacyToggleManager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You need to verify a method call resolves to a specific overload.</w:t>
      </w:r>
    </w:p>
    <w:p>
      <w:pPr>
        <w:numPr>
          <w:ilvl w:val="0"/>
          <w:numId w:val="1007"/>
        </w:numPr>
        <w:pStyle w:val="Compact"/>
      </w:pPr>
      <w:r>
        <w:t xml:space="preserve">You need to know whether an identifier is shadowed.</w:t>
      </w:r>
    </w:p>
    <w:p>
      <w:pPr>
        <w:pStyle w:val="FirstParagraph"/>
      </w:pPr>
      <w:r>
        <w:t xml:space="preserve">For the migration as described,</w:t>
      </w:r>
      <w:r>
        <w:t xml:space="preserve"> </w:t>
      </w:r>
      <w:r>
        <w:rPr>
          <w:bCs/>
          <w:b/>
        </w:rPr>
        <w:t xml:space="preserve">skip it.</w:t>
      </w:r>
      <w:r>
        <w:t xml:space="preserve"> </w:t>
      </w:r>
      <w:r>
        <w:t xml:space="preserve">It adds setup complexity</w:t>
      </w:r>
      <w:r>
        <w:t xml:space="preserve"> </w:t>
      </w:r>
      <w:r>
        <w:t xml:space="preserve">(configuring source roots, classpath, JAR roots) and significant parse-time</w:t>
      </w:r>
      <w:r>
        <w:t xml:space="preserve"> </w:t>
      </w:r>
      <w:r>
        <w:t xml:space="preserve">cost. JavaParser without the symbol solver runs at thousands of files per</w:t>
      </w:r>
      <w:r>
        <w:t xml:space="preserve"> </w:t>
      </w:r>
      <w:r>
        <w:t xml:space="preserve">minute; with it, you’re in the hundreds, sometimes the tens.</w:t>
      </w:r>
    </w:p>
    <w:p>
      <w:pPr>
        <w:pStyle w:val="BodyText"/>
      </w:pPr>
      <w:r>
        <w:t xml:space="preserve">If you find yourself reaching for the symbol solver, that’s usually a</w:t>
      </w:r>
      <w:r>
        <w:t xml:space="preserve"> </w:t>
      </w:r>
      <w:r>
        <w:t xml:space="preserve">signal that the transformation is getting too clever for a one-shot</w:t>
      </w:r>
      <w:r>
        <w:t xml:space="preserve"> </w:t>
      </w:r>
      <w:r>
        <w:t xml:space="preserve">migration and OpenRewrite might be a better fit (see next section).</w:t>
      </w:r>
    </w:p>
    <w:p>
      <w:r>
        <w:pict>
          <v:rect style="width:0;height:1.5pt" o:hralign="center" o:hrstd="t" o:hr="t"/>
        </w:pict>
      </w:r>
    </w:p>
    <w:bookmarkEnd w:id="32"/>
    <w:bookmarkStart w:id="35" w:name="openrewrite-the-higher-level-alternative"/>
    <w:p>
      <w:pPr>
        <w:pStyle w:val="Heading2"/>
      </w:pPr>
      <w:r>
        <w:t xml:space="preserve">9. OpenRewrite — the higher-level alternative</w:t>
      </w:r>
    </w:p>
    <w:p>
      <w:pPr>
        <w:pStyle w:val="FirstParagraph"/>
      </w:pPr>
      <w:r>
        <w:t xml:space="preserve">There’s a tool purpose-built for this category of task:</w:t>
      </w:r>
      <w:r>
        <w:t xml:space="preserve"> </w:t>
      </w:r>
      <w:r>
        <w:rPr>
          <w:bCs/>
          <w:b/>
        </w:rPr>
        <w:t xml:space="preserve">OpenRewrite</w:t>
      </w:r>
      <w:r>
        <w:t xml:space="preserve"> </w:t>
      </w:r>
      <w:r>
        <w:t xml:space="preserve">from Moderne. It’s a higher-level alternative to JavaParser for</w:t>
      </w:r>
      <w:r>
        <w:t xml:space="preserve"> </w:t>
      </w:r>
      <w:r>
        <w:t xml:space="preserve">source-to-source refactoring, with several advantages for migrations of</w:t>
      </w:r>
      <w:r>
        <w:t xml:space="preserve"> </w:t>
      </w:r>
      <w:r>
        <w:t xml:space="preserve">this shape: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Built-in recipes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AddImport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FindUsages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ChangeMethodName</w:t>
      </w:r>
      <w:r>
        <w:t xml:space="preserve">, etc. You compose them rather than writing AST</w:t>
      </w:r>
      <w:r>
        <w:t xml:space="preserve"> </w:t>
      </w:r>
      <w:r>
        <w:t xml:space="preserve">manipulation by hand.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Round-trip fidelity is its design center</w:t>
      </w:r>
      <w:r>
        <w:t xml:space="preserve"> </w:t>
      </w:r>
      <w:r>
        <w:t xml:space="preserve">— generally cleaner than</w:t>
      </w:r>
      <w:r>
        <w:t xml:space="preserve"> </w:t>
      </w:r>
      <w:r>
        <w:t xml:space="preserve">JavaParser’s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, because the LST (Lossless</w:t>
      </w:r>
      <w:r>
        <w:t xml:space="preserve"> </w:t>
      </w:r>
      <w:r>
        <w:t xml:space="preserve">Semantic Tree) was built from the ground up around the invariant that</w:t>
      </w:r>
      <w:r>
        <w:t xml:space="preserve"> </w:t>
      </w:r>
      <w:r>
        <w:t xml:space="preserve">unchanged code emits byte-identical output.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Maven/Gradle integration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mvn rewrite:run</w:t>
      </w:r>
      <w:r>
        <w:t xml:space="preserve"> </w:t>
      </w:r>
      <w:r>
        <w:t xml:space="preserve">applies recipes to your</w:t>
      </w:r>
      <w:r>
        <w:t xml:space="preserve"> </w:t>
      </w:r>
      <w:r>
        <w:t xml:space="preserve">project. No need to write a separate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to wire everything.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Recipes are reusable artifacts</w:t>
      </w:r>
      <w:r>
        <w:t xml:space="preserve"> </w:t>
      </w:r>
      <w:r>
        <w:t xml:space="preserve">— write one, run it on this codebase</w:t>
      </w:r>
      <w:r>
        <w:t xml:space="preserve"> </w:t>
      </w:r>
      <w:r>
        <w:t xml:space="preserve">today, run it on another codebase next quarter, or publish it for the</w:t>
      </w:r>
      <w:r>
        <w:t xml:space="preserve"> </w:t>
      </w:r>
      <w:r>
        <w:t xml:space="preserve">community.</w:t>
      </w:r>
    </w:p>
    <w:bookmarkStart w:id="33" w:name="trade-offs-1"/>
    <w:p>
      <w:pPr>
        <w:pStyle w:val="Heading3"/>
      </w:pPr>
      <w:r>
        <w:t xml:space="preserve">Trade-offs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More to learn.</w:t>
      </w:r>
      <w:r>
        <w:t xml:space="preserve"> </w:t>
      </w:r>
      <w:r>
        <w:t xml:space="preserve">Recipes, visitors, the LST model — it’s a small</w:t>
      </w:r>
      <w:r>
        <w:t xml:space="preserve"> </w:t>
      </w:r>
      <w:r>
        <w:t xml:space="preserve">but real conceptual surface area.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More dependencies.</w:t>
      </w:r>
      <w:r>
        <w:t xml:space="preserve"> </w:t>
      </w:r>
      <w:r>
        <w:t xml:space="preserve">Heavier toolkit than JavaParser; significant</w:t>
      </w:r>
      <w:r>
        <w:t xml:space="preserve"> </w:t>
      </w:r>
      <w:r>
        <w:t xml:space="preserve">classpath additions.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ecosystem skews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common refactorings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Niche transformations</w:t>
      </w:r>
      <w:r>
        <w:t xml:space="preserve"> </w:t>
      </w:r>
      <w:r>
        <w:t xml:space="preserve">sometimes need you to drop down to the visitor API anyway.</w:t>
      </w:r>
    </w:p>
    <w:bookmarkEnd w:id="33"/>
    <w:bookmarkStart w:id="34" w:name="when-to-pick-which"/>
    <w:p>
      <w:pPr>
        <w:pStyle w:val="Heading3"/>
      </w:pPr>
      <w:r>
        <w:t xml:space="preserve">When to pick which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JavaParser</w:t>
      </w:r>
      <w:r>
        <w:t xml:space="preserve"> </w:t>
      </w:r>
      <w:r>
        <w:t xml:space="preserve">for a one-shot where you’ll write the migration logic</w:t>
      </w:r>
      <w:r>
        <w:t xml:space="preserve"> </w:t>
      </w:r>
      <w:r>
        <w:t xml:space="preserve">once and throw it away. Less ceremony; you control everything. The</w:t>
      </w:r>
      <w:r>
        <w:t xml:space="preserve"> </w:t>
      </w:r>
      <w:r>
        <w:t xml:space="preserve">code in §3 is most of what you need.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OpenRewrite</w:t>
      </w:r>
      <w:r>
        <w:t xml:space="preserve"> </w:t>
      </w:r>
      <w:r>
        <w:t xml:space="preserve">for a team that’s going to do many such migrations —</w:t>
      </w:r>
      <w:r>
        <w:t xml:space="preserve"> </w:t>
      </w:r>
      <w:r>
        <w:t xml:space="preserve">deprecation campaigns, library upgrades, security backfills. The</w:t>
      </w:r>
      <w:r>
        <w:t xml:space="preserve"> </w:t>
      </w:r>
      <w:r>
        <w:t xml:space="preserve">upfront investment pays off across the second, third, and fourth</w:t>
      </w:r>
      <w:r>
        <w:t xml:space="preserve"> </w:t>
      </w:r>
      <w:r>
        <w:t xml:space="preserve">migration.</w:t>
      </w:r>
    </w:p>
    <w:p>
      <w:pPr>
        <w:pStyle w:val="FirstParagraph"/>
      </w:pPr>
      <w:r>
        <w:t xml:space="preserve">For the 1000-file feature-toggle backfill,</w:t>
      </w:r>
      <w:r>
        <w:t xml:space="preserve"> </w:t>
      </w:r>
      <w:r>
        <w:rPr>
          <w:bCs/>
          <w:b/>
        </w:rPr>
        <w:t xml:space="preserve">JavaParser is probably the</w:t>
      </w:r>
      <w:r>
        <w:rPr>
          <w:bCs/>
          <w:b/>
        </w:rPr>
        <w:t xml:space="preserve"> </w:t>
      </w:r>
      <w:r>
        <w:rPr>
          <w:bCs/>
          <w:b/>
        </w:rPr>
        <w:t xml:space="preserve">right call.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a-sanity-check-pipeline"/>
    <w:p>
      <w:pPr>
        <w:pStyle w:val="Heading2"/>
      </w:pPr>
      <w:r>
        <w:t xml:space="preserve">10. A sanity-check pipeline</w:t>
      </w:r>
    </w:p>
    <w:p>
      <w:pPr>
        <w:pStyle w:val="FirstParagraph"/>
      </w:pPr>
      <w:r>
        <w:t xml:space="preserve">For 8000 files / 1000 changes, run the migration in escalating stages: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Dry run on a single file.</w:t>
      </w:r>
      <w:r>
        <w:t xml:space="preserve"> </w:t>
      </w:r>
      <w:r>
        <w:t xml:space="preserve">Pick a representative one. Run the tool</w:t>
      </w:r>
      <w:r>
        <w:t xml:space="preserve"> </w:t>
      </w:r>
      <w:r>
        <w:t xml:space="preserve">with output to stdout instead of writing to disk. Eyeball the diff.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Dry run on 10 files.</w:t>
      </w:r>
      <w:r>
        <w:t xml:space="preserve"> </w:t>
      </w:r>
      <w:r>
        <w:t xml:space="preserve">Make sure</w:t>
      </w:r>
      <w:r>
        <w:t xml:space="preserve"> </w:t>
      </w:r>
      <w:r>
        <w:rPr>
          <w:rStyle w:val="VerbatimChar"/>
        </w:rPr>
        <w:t xml:space="preserve">LexicalPreservingPrinter</w:t>
      </w:r>
      <w:r>
        <w:t xml:space="preserve"> </w:t>
      </w:r>
      <w:r>
        <w:t xml:space="preserve">doesn’t</w:t>
      </w:r>
      <w:r>
        <w:t xml:space="preserve"> </w:t>
      </w:r>
      <w:r>
        <w:t xml:space="preserve">mangle anything weird — string templates with</w:t>
      </w:r>
      <w:r>
        <w:t xml:space="preserve"> </w:t>
      </w:r>
      <w:r>
        <w:rPr>
          <w:rStyle w:val="VerbatimChar"/>
        </w:rPr>
        <w:t xml:space="preserve">\n</w:t>
      </w:r>
      <w:r>
        <w:t xml:space="preserve">, files with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line endings, files using tabs, files with unusual annotation</w:t>
      </w:r>
      <w:r>
        <w:t xml:space="preserve"> </w:t>
      </w:r>
      <w:r>
        <w:t xml:space="preserve">placement.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Apply to a single package.</w:t>
      </w:r>
      <w:r>
        <w:t xml:space="preserve"> </w:t>
      </w:r>
      <w:r>
        <w:t xml:space="preserve">Commit to a feature branch. Run</w:t>
      </w:r>
      <w:r>
        <w:t xml:space="preserve"> </w:t>
      </w:r>
      <w:r>
        <w:rPr>
          <w:rStyle w:val="VerbatimChar"/>
        </w:rPr>
        <w:t xml:space="preserve">mvn compile</w:t>
      </w:r>
      <w:r>
        <w:t xml:space="preserve">. This catches:</w:t>
      </w:r>
    </w:p>
    <w:p>
      <w:pPr>
        <w:numPr>
          <w:ilvl w:val="1"/>
          <w:numId w:val="1012"/>
        </w:numPr>
        <w:pStyle w:val="Compact"/>
      </w:pPr>
      <w:r>
        <w:t xml:space="preserve">Import conflicts (two classes with the same simple name).</w:t>
      </w:r>
    </w:p>
    <w:p>
      <w:pPr>
        <w:numPr>
          <w:ilvl w:val="1"/>
          <w:numId w:val="1012"/>
        </w:numPr>
        <w:pStyle w:val="Compact"/>
      </w:pPr>
      <w:r>
        <w:t xml:space="preserve">Name collisions (a field already called</w:t>
      </w:r>
      <w:r>
        <w:t xml:space="preserve"> </w:t>
      </w:r>
      <w:r>
        <w:rPr>
          <w:rStyle w:val="VerbatimChar"/>
        </w:rPr>
        <w:t xml:space="preserve">featureService</w:t>
      </w:r>
      <w:r>
        <w:t xml:space="preserve"> </w:t>
      </w:r>
      <w:r>
        <w:t xml:space="preserve">of a</w:t>
      </w:r>
      <w:r>
        <w:t xml:space="preserve"> </w:t>
      </w:r>
      <w:r>
        <w:t xml:space="preserve">different type).</w:t>
      </w:r>
    </w:p>
    <w:p>
      <w:pPr>
        <w:numPr>
          <w:ilvl w:val="1"/>
          <w:numId w:val="1012"/>
        </w:numPr>
        <w:pStyle w:val="Compact"/>
      </w:pPr>
      <w:r>
        <w:t xml:space="preserve">Files that parsed successfully but produced invalid output (rare,</w:t>
      </w:r>
      <w:r>
        <w:t xml:space="preserve"> </w:t>
      </w:r>
      <w:r>
        <w:t xml:space="preserve">but happens — JavaParser can accept some edge cases that</w:t>
      </w:r>
      <w:r>
        <w:t xml:space="preserve"> </w:t>
      </w:r>
      <w:r>
        <w:rPr>
          <w:rStyle w:val="VerbatimChar"/>
        </w:rPr>
        <w:t xml:space="preserve">javac</w:t>
      </w:r>
      <w:r>
        <w:t xml:space="preserve"> </w:t>
      </w:r>
      <w:r>
        <w:t xml:space="preserve">rejects).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Apply to all candidates.</w:t>
      </w:r>
      <w:r>
        <w:t xml:space="preserve"> </w:t>
      </w:r>
      <w:r>
        <w:t xml:space="preserve">Single commit, big diff, review by</w:t>
      </w:r>
      <w:r>
        <w:t xml:space="preserve"> </w:t>
      </w:r>
      <w:r>
        <w:t xml:space="preserve">directory.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Compile, run the full test suite.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compile after applying</w:t>
      </w:r>
      <w:r>
        <w:t xml:space="preserve">”</w:t>
      </w:r>
      <w:r>
        <w:t xml:space="preserve"> </w:t>
      </w:r>
      <w:r>
        <w:t xml:space="preserve">step usually catches the 5-10 files where the</w:t>
      </w:r>
      <w:r>
        <w:t xml:space="preserve"> </w:t>
      </w:r>
      <w:r>
        <w:t xml:space="preserve">migration goes wrong. Those are then either fixed manually or by refining</w:t>
      </w:r>
      <w:r>
        <w:t xml:space="preserve"> </w:t>
      </w:r>
      <w:r>
        <w:t xml:space="preserve">the predicate and re-running.</w:t>
      </w:r>
    </w:p>
    <w:bookmarkStart w:id="36" w:name="logging-to-plan-for"/>
    <w:p>
      <w:pPr>
        <w:pStyle w:val="Heading3"/>
      </w:pPr>
      <w:r>
        <w:t xml:space="preserve">Logging to plan for</w:t>
      </w:r>
    </w:p>
    <w:p>
      <w:pPr>
        <w:pStyle w:val="FirstParagraph"/>
      </w:pPr>
      <w:r>
        <w:t xml:space="preserve">The migration tool should log enough that you can audit it after the fact: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Files considered</w:t>
      </w:r>
      <w:r>
        <w:t xml:space="preserve"> </w:t>
      </w:r>
      <w:r>
        <w:t xml:space="preserve">(the result of</w:t>
      </w:r>
      <w:r>
        <w:t xml:space="preserve"> </w:t>
      </w:r>
      <w:r>
        <w:rPr>
          <w:rStyle w:val="VerbatimChar"/>
        </w:rPr>
        <w:t xml:space="preserve">looksLikeMigrationCandidate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Files modified</w:t>
      </w:r>
      <w:r>
        <w:t xml:space="preserve"> </w:t>
      </w:r>
      <w:r>
        <w:t xml:space="preserve">(the ones that actually got the field).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Files skipped because already migrated</w:t>
      </w:r>
      <w:r>
        <w:t xml:space="preserve"> </w:t>
      </w:r>
      <w:r>
        <w:t xml:space="preserve">(the idempotency path).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Files that failed to parse or threw.</w:t>
      </w:r>
    </w:p>
    <w:p>
      <w:pPr>
        <w:pStyle w:val="FirstParagraph"/>
      </w:pPr>
      <w:r>
        <w:t xml:space="preserve">A summary line at the end (</w:t>
      </w:r>
      <w:r>
        <w:t xml:space="preserve">“</w:t>
      </w:r>
      <w:r>
        <w:t xml:space="preserve">Modified 987 of 1000 candidates; 13 skipped as</w:t>
      </w:r>
      <w:r>
        <w:t xml:space="preserve"> </w:t>
      </w:r>
      <w:r>
        <w:t xml:space="preserve">already-migrated; 0 errors</w:t>
      </w:r>
      <w:r>
        <w:t xml:space="preserve">”</w:t>
      </w:r>
      <w:r>
        <w:t xml:space="preserve">) gives you the confidence to merge.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a-nudge-on-the-field-signature"/>
    <w:p>
      <w:pPr>
        <w:pStyle w:val="Heading2"/>
      </w:pPr>
      <w:r>
        <w:t xml:space="preserve">11. A nudge on the field signature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FeatureToggleService featureService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FeatureToggleServiceProvider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That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(no args) uses the</w:t>
      </w:r>
      <w:r>
        <w:t xml:space="preserve"> </w:t>
      </w:r>
      <w:r>
        <w:rPr>
          <w:bCs/>
          <w:b/>
        </w:rPr>
        <w:t xml:space="preserve">default environment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FeatureToggleConfig.environment().current()</w:t>
      </w:r>
      <w:r>
        <w:t xml:space="preserve">. That’s fine for a uniform</w:t>
      </w:r>
      <w:r>
        <w:t xml:space="preserve"> </w:t>
      </w:r>
      <w:r>
        <w:t xml:space="preserve">migration, but if any of your 1000 classes need a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environment</w:t>
      </w:r>
      <w:r>
        <w:t xml:space="preserve"> </w:t>
      </w:r>
      <w:r>
        <w:t xml:space="preserve">(per-service overrides), the simple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won’t carry that information.</w:t>
      </w:r>
    </w:p>
    <w:bookmarkStart w:id="38" w:name="two-ways-to-handle-it"/>
    <w:p>
      <w:pPr>
        <w:pStyle w:val="Heading3"/>
      </w:pPr>
      <w:r>
        <w:t xml:space="preserve">Two ways to handle it</w:t>
      </w:r>
    </w:p>
    <w:p>
      <w:pPr>
        <w:pStyle w:val="FirstParagraph"/>
      </w:pPr>
      <w:r>
        <w:rPr>
          <w:bCs/>
          <w:b/>
        </w:rPr>
        <w:t xml:space="preserve">Phase 1, then refine.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everywhere in the first pass. Then a</w:t>
      </w:r>
      <w:r>
        <w:t xml:space="preserve"> </w:t>
      </w:r>
      <w:r>
        <w:t xml:space="preserve">second phase (manual or rule-based) changes specific classes to</w:t>
      </w:r>
      <w:r>
        <w:t xml:space="preserve"> </w:t>
      </w:r>
      <w:r>
        <w:rPr>
          <w:rStyle w:val="VerbatimChar"/>
        </w:rPr>
        <w:t xml:space="preserve">get("SpecificEnv")</w:t>
      </w:r>
      <w:r>
        <w:t xml:space="preserve"> </w:t>
      </w:r>
      <w:r>
        <w:t xml:space="preserve">where needed. Cheapest first pass; easy to review.</w:t>
      </w:r>
    </w:p>
    <w:p>
      <w:pPr>
        <w:pStyle w:val="BodyText"/>
      </w:pPr>
      <w:r>
        <w:rPr>
          <w:bCs/>
          <w:b/>
        </w:rPr>
        <w:t xml:space="preserve">Drive env from an external manifest.</w:t>
      </w:r>
      <w:r>
        <w:t xml:space="preserve"> </w:t>
      </w:r>
      <w:r>
        <w:t xml:space="preserve">The tool reads a CSV or JSON file</w:t>
      </w:r>
      <w:r>
        <w:t xml:space="preserve"> </w:t>
      </w:r>
      <w:r>
        <w:t xml:space="preserve">mapping class names to environments and emits the right call:</w:t>
      </w:r>
    </w:p>
    <w:p>
      <w:pPr>
        <w:pStyle w:val="SourceCode"/>
      </w:pPr>
      <w:r>
        <w:rPr>
          <w:rStyle w:val="VerbatimChar"/>
        </w:rPr>
        <w:t xml:space="preserve">class_name,env</w:t>
      </w:r>
      <w:r>
        <w:br/>
      </w:r>
      <w:r>
        <w:rPr>
          <w:rStyle w:val="VerbatimChar"/>
        </w:rPr>
        <w:t xml:space="preserve">com.example.CheckoutService,Production</w:t>
      </w:r>
      <w:r>
        <w:br/>
      </w:r>
      <w:r>
        <w:rPr>
          <w:rStyle w:val="VerbatimChar"/>
        </w:rPr>
        <w:t xml:space="preserve">com.example.LegacyPaymentAdapter,Develop Branch</w:t>
      </w:r>
      <w:r>
        <w:br/>
      </w:r>
      <w:r>
        <w:rPr>
          <w:rStyle w:val="VerbatimChar"/>
        </w:rPr>
        <w:t xml:space="preserve">com.example.MarketingExperiment,Production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envManifest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getFullyQualifiedName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getVariable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setInitializer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"FeatureToggleServiceProvider.get()"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"FeatureToggleServiceProvider.get(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)"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Probably overkill for the first run. Get the default-env version landed,</w:t>
      </w:r>
      <w:r>
        <w:t xml:space="preserve"> </w:t>
      </w:r>
      <w:r>
        <w:t xml:space="preserve">then refine the small number of cases that need overrides.</w:t>
      </w:r>
    </w:p>
    <w:bookmarkEnd w:id="38"/>
    <w:bookmarkStart w:id="39" w:name="a-subtler-point"/>
    <w:p>
      <w:pPr>
        <w:pStyle w:val="Heading3"/>
      </w:pPr>
      <w:r>
        <w:t xml:space="preserve">A subtler point</w:t>
      </w:r>
    </w:p>
    <w:p>
      <w:pPr>
        <w:pStyle w:val="FirstParagraph"/>
      </w:pPr>
      <w:r>
        <w:t xml:space="preserve">Whatever you put in the initializer is going to live in the codebase as the</w:t>
      </w:r>
      <w:r>
        <w:t xml:space="preserve"> </w:t>
      </w:r>
      <w:r>
        <w:t xml:space="preserve">canonical example of</w:t>
      </w:r>
      <w:r>
        <w:t xml:space="preserve"> </w:t>
      </w:r>
      <w:r>
        <w:t xml:space="preserve">“</w:t>
      </w:r>
      <w:r>
        <w:t xml:space="preserve">how do I get a FeatureToggleService?</w:t>
      </w:r>
      <w:r>
        <w:t xml:space="preserve">”</w:t>
      </w:r>
      <w:r>
        <w:t xml:space="preserve"> </w:t>
      </w:r>
      <w:r>
        <w:t xml:space="preserve">for a long</w:t>
      </w:r>
      <w:r>
        <w:t xml:space="preserve"> </w:t>
      </w:r>
      <w:r>
        <w:t xml:space="preserve">time. Be deliberate about it: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FeatureToggleServiceProvider.get()</w:t>
      </w:r>
      <w:r>
        <w:t xml:space="preserve"> </w:t>
      </w:r>
      <w:r>
        <w:t xml:space="preserve">— simplest; uses configured default.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FeatureToggleServiceProvider.get("Production")</w:t>
      </w:r>
      <w:r>
        <w:t xml:space="preserve"> </w:t>
      </w:r>
      <w:r>
        <w:t xml:space="preserve">— hardcoded; bad,</w:t>
      </w:r>
      <w:r>
        <w:t xml:space="preserve"> </w:t>
      </w:r>
      <w:r>
        <w:t xml:space="preserve">because the same class can’t then be reused across environments without</w:t>
      </w:r>
      <w:r>
        <w:t xml:space="preserve"> </w:t>
      </w:r>
      <w:r>
        <w:t xml:space="preserve">source changes.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FeatureToggleServiceProvider.get(getClass())</w:t>
      </w:r>
      <w:r>
        <w:t xml:space="preserve"> </w:t>
      </w:r>
      <w:r>
        <w:t xml:space="preserve">— uses the</w:t>
      </w:r>
      <w:r>
        <w:t xml:space="preserve"> </w:t>
      </w:r>
      <w:r>
        <w:t xml:space="preserve">Class-parameter overload (which is currently a no-op but exists for</w:t>
      </w:r>
      <w:r>
        <w:t xml:space="preserve"> </w:t>
      </w:r>
      <w:r>
        <w:t xml:space="preserve">Lombok-style ergonomics). Cute, but suggests the class identity matters</w:t>
      </w:r>
      <w:r>
        <w:t xml:space="preserve"> </w:t>
      </w:r>
      <w:r>
        <w:t xml:space="preserve">when it doesn’t.</w:t>
      </w:r>
    </w:p>
    <w:p>
      <w:pPr>
        <w:pStyle w:val="FirstParagraph"/>
      </w:pPr>
      <w:r>
        <w:t xml:space="preserve">The plain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form is the right default. Use the string overload only</w:t>
      </w:r>
      <w:r>
        <w:t xml:space="preserve"> </w:t>
      </w:r>
      <w:r>
        <w:t xml:space="preserve">where there’s an actual reason to override.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guide.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2026-05-26T03:58:52Z</dcterms:created>
  <dcterms:modified xsi:type="dcterms:W3CDTF">2026-05-26T03:58:52Z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