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nfiglookup-inlining-guide"/>
    <w:p>
      <w:pPr>
        <w:pStyle w:val="Heading1"/>
      </w:pPr>
      <w:r>
        <w:rPr>
          <w:rStyle w:val="VerbatimChar"/>
        </w:rPr>
        <w:t xml:space="preserve">@ConfigLookup</w:t>
      </w:r>
      <w:r>
        <w:t xml:space="preserve"> </w:t>
      </w:r>
      <w:r>
        <w:t xml:space="preserve">Inlining Guide</w:t>
      </w:r>
    </w:p>
    <w:p>
      <w:pPr>
        <w:pStyle w:val="FirstParagraph"/>
      </w:pPr>
      <w:r>
        <w:t xml:space="preserve">Mass-migrating Spring methods annotated with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so they call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directly, removing the dependency on the AOP</w:t>
      </w:r>
      <w:r>
        <w:t xml:space="preserve"> </w:t>
      </w:r>
      <w:r>
        <w:t xml:space="preserve">aspect. Covers the tooling decision (annotation processor vs JavaParser</w:t>
      </w:r>
      <w:r>
        <w:t xml:space="preserve"> </w:t>
      </w:r>
      <w:r>
        <w:t xml:space="preserve">vs OpenRewrite vs bytecode), a design decision about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method</w:t>
      </w:r>
      <w:r>
        <w:t xml:space="preserve"> </w:t>
      </w:r>
      <w:r>
        <w:t xml:space="preserve">body should look like, and a practical JavaParser-based implementation</w:t>
      </w:r>
      <w:r>
        <w:t xml:space="preserve"> </w:t>
      </w:r>
      <w:r>
        <w:t xml:space="preserve">with the gotchas you’ll hit on a large run.</w:t>
      </w:r>
    </w:p>
    <w:p>
      <w:pPr>
        <w:pStyle w:val="BodyText"/>
      </w:pPr>
      <w:r>
        <w:t xml:space="preserve">The scenario this guide is written against: a codebase that has adopted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on methods returning configuration values, and now wants</w:t>
      </w:r>
      <w:r>
        <w:t xml:space="preserve"> </w:t>
      </w:r>
      <w:r>
        <w:t xml:space="preserve">to retire the annotation/aspect and inline the equivalent calls. The</w:t>
      </w:r>
      <w:r>
        <w:t xml:space="preserve"> </w:t>
      </w:r>
      <w:r>
        <w:t xml:space="preserve">upside is that the aspect’s self-invocation caveat goes away (a method</w:t>
      </w:r>
      <w:r>
        <w:t xml:space="preserve"> </w:t>
      </w:r>
      <w:r>
        <w:t xml:space="preserve">can call another annotated method on the same class without going</w:t>
      </w:r>
      <w:r>
        <w:t xml:space="preserve"> </w:t>
      </w:r>
      <w:r>
        <w:t xml:space="preserve">through the proxy), at the cost of slightly more verbose method bodies.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Picking the right tool</w:t>
      </w:r>
    </w:p>
    <w:p>
      <w:pPr>
        <w:numPr>
          <w:ilvl w:val="0"/>
          <w:numId w:val="1001"/>
        </w:numPr>
        <w:pStyle w:val="Compact"/>
      </w:pPr>
      <w:r>
        <w:t xml:space="preserve">Design decision: keep the annotation or inline?</w:t>
      </w:r>
    </w:p>
    <w:p>
      <w:pPr>
        <w:numPr>
          <w:ilvl w:val="0"/>
          <w:numId w:val="1001"/>
        </w:numPr>
        <w:pStyle w:val="Compact"/>
      </w:pPr>
      <w:r>
        <w:t xml:space="preserve">The JavaParser approach — overall shape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— the difference between works and useless</w:t>
      </w:r>
    </w:p>
    <w:p>
      <w:pPr>
        <w:numPr>
          <w:ilvl w:val="0"/>
          <w:numId w:val="1001"/>
        </w:numPr>
        <w:pStyle w:val="Compact"/>
      </w:pPr>
      <w:r>
        <w:t xml:space="preserve">The predicate is the actual hard part</w:t>
      </w:r>
    </w:p>
    <w:p>
      <w:pPr>
        <w:numPr>
          <w:ilvl w:val="0"/>
          <w:numId w:val="1001"/>
        </w:numPr>
        <w:pStyle w:val="Compact"/>
      </w:pPr>
      <w:r>
        <w:t xml:space="preserve">Idempotency</w:t>
      </w:r>
    </w:p>
    <w:p>
      <w:pPr>
        <w:numPr>
          <w:ilvl w:val="0"/>
          <w:numId w:val="1001"/>
        </w:numPr>
        <w:pStyle w:val="Compact"/>
      </w:pPr>
      <w:r>
        <w:t xml:space="preserve">Import handling</w:t>
      </w:r>
    </w:p>
    <w:p>
      <w:pPr>
        <w:numPr>
          <w:ilvl w:val="0"/>
          <w:numId w:val="1001"/>
        </w:numPr>
        <w:pStyle w:val="Compact"/>
      </w:pPr>
      <w:r>
        <w:t xml:space="preserve">Do you need the symbol solver?</w:t>
      </w:r>
    </w:p>
    <w:p>
      <w:pPr>
        <w:numPr>
          <w:ilvl w:val="0"/>
          <w:numId w:val="1001"/>
        </w:numPr>
        <w:pStyle w:val="Compact"/>
      </w:pPr>
      <w:r>
        <w:t xml:space="preserve">OpenRewrite — the higher-level alternative</w:t>
      </w:r>
    </w:p>
    <w:p>
      <w:pPr>
        <w:numPr>
          <w:ilvl w:val="0"/>
          <w:numId w:val="1001"/>
        </w:numPr>
        <w:pStyle w:val="Compact"/>
      </w:pPr>
      <w:r>
        <w:t xml:space="preserve">A sanity-check pipeline</w:t>
      </w:r>
    </w:p>
    <w:p>
      <w:pPr>
        <w:numPr>
          <w:ilvl w:val="0"/>
          <w:numId w:val="1001"/>
        </w:numPr>
        <w:pStyle w:val="Compact"/>
      </w:pPr>
      <w:r>
        <w:t xml:space="preserve">A nudge on the inlined-body shape</w:t>
      </w:r>
    </w:p>
    <w:bookmarkEnd w:id="20"/>
    <w:bookmarkStart w:id="21" w:name="picking-the-right-tool"/>
    <w:p>
      <w:pPr>
        <w:pStyle w:val="Heading2"/>
      </w:pPr>
      <w:r>
        <w:t xml:space="preserve">1. Picking the right tool</w:t>
      </w:r>
    </w:p>
    <w:p>
      <w:pPr>
        <w:pStyle w:val="FirstParagraph"/>
      </w:pPr>
      <w:r>
        <w:t xml:space="preserve">Different tools solve different parts of the lifecycle. The line between</w:t>
      </w:r>
      <w:r>
        <w:t xml:space="preserve"> </w:t>
      </w:r>
      <w:r>
        <w:t xml:space="preserve">them is sharp: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code, declarative config reads going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@ConfigLookup</w:t>
            </w:r>
            <w:r>
              <w:t xml:space="preserve"> </w:t>
            </w:r>
            <w:r>
              <w:t xml:space="preserve">annotation +</w:t>
            </w:r>
            <w:r>
              <w:t xml:space="preserve"> </w:t>
            </w:r>
            <w:r>
              <w:rPr>
                <w:rStyle w:val="VerbatimChar"/>
              </w:rPr>
              <w:t xml:space="preserve">ConfigLookupAspect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write the annotation; the aspect handles the read at runtime. No source duplication.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 code, retiring the annotation across N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JavaParser (or OpenRewrite)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to</w:t>
            </w:r>
            <w:r>
              <w:t xml:space="preserve"> </w:t>
            </w:r>
            <w:r>
              <w:rPr>
                <w:iCs/>
                <w:i/>
              </w:rPr>
              <w:t xml:space="preserve">mutate existing method bodies and strip annotations</w:t>
            </w:r>
            <w:r>
              <w:t xml:space="preserve">. Annotation processors can’t do this — JSR 269 only generates new files, never rewrites existing 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swap with no source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Bytecode instrumentation (ASM, ByteBuddy)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couldn’t touch source at all — e.g., the aspect lives in a JAR you don’t own. Overkill if you have the source.</w:t>
            </w:r>
          </w:p>
        </w:tc>
      </w:tr>
    </w:tbl>
    <w:p>
      <w:pPr>
        <w:pStyle w:val="BodyText"/>
      </w:pPr>
      <w:r>
        <w:t xml:space="preserve">Annotation processing is irrelevant here —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is consumed</w:t>
      </w:r>
      <w:r>
        <w:t xml:space="preserve"> </w:t>
      </w:r>
      <w:r>
        <w:t xml:space="preserve">by an AOP aspect at runtime, not by a</w:t>
      </w:r>
      <w:r>
        <w:t xml:space="preserve"> </w:t>
      </w:r>
      <w:r>
        <w:rPr>
          <w:rStyle w:val="VerbatimChar"/>
        </w:rPr>
        <w:t xml:space="preserve">javax.annotation.processing</w:t>
      </w:r>
      <w:r>
        <w:t xml:space="preserve"> </w:t>
      </w:r>
      <w:r>
        <w:t xml:space="preserve">processor at compile time. JavaParser is the right choice for the bulk</w:t>
      </w:r>
      <w:r>
        <w:t xml:space="preserve"> </w:t>
      </w:r>
      <w:r>
        <w:t xml:space="preserve">inlining. The annotation can stay defined (and used by new code) while</w:t>
      </w:r>
      <w:r>
        <w:t xml:space="preserve"> </w:t>
      </w:r>
      <w:r>
        <w:t xml:space="preserve">this migration runs once and is then archived; the two are not in</w:t>
      </w:r>
      <w:r>
        <w:t xml:space="preserve"> </w:t>
      </w:r>
      <w:r>
        <w:t xml:space="preserve">tension during the migration window.</w:t>
      </w:r>
    </w:p>
    <w:bookmarkEnd w:id="21"/>
    <w:bookmarkStart w:id="25" w:name="X53177147e80fb62f0e31a509f99d484387ddc65"/>
    <w:p>
      <w:pPr>
        <w:pStyle w:val="Heading2"/>
      </w:pPr>
      <w:r>
        <w:t xml:space="preserve">2. Design decision: keep the annotation or inline?</w:t>
      </w:r>
    </w:p>
    <w:p>
      <w:pPr>
        <w:pStyle w:val="FirstParagraph"/>
      </w:pPr>
      <w:r>
        <w:t xml:space="preserve">Before writing the migration, decide between two end states.</w:t>
      </w:r>
    </w:p>
    <w:bookmarkStart w:id="22" w:name="option-a-keep-the-annotation"/>
    <w:p>
      <w:pPr>
        <w:pStyle w:val="Heading3"/>
      </w:pPr>
      <w:r>
        <w:t xml:space="preserve">Option A — Keep the annotation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@ConfigLookup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aspect intercepts the call at runtime. The method body is a</w:t>
      </w:r>
      <w:r>
        <w:t xml:space="preserve"> </w:t>
      </w:r>
      <w:r>
        <w:t xml:space="preserve">placeholder. Pros: minimal source, one canonical spot to change lookup</w:t>
      </w:r>
      <w:r>
        <w:t xml:space="preserve"> </w:t>
      </w:r>
      <w:r>
        <w:t xml:space="preserve">semantics (the aspect). Cons: AOP proxy required (no self-invocation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), runtime cost of the around-advice, an extra annotation</w:t>
      </w:r>
      <w:r>
        <w:t xml:space="preserve"> </w:t>
      </w:r>
      <w:r>
        <w:t xml:space="preserve">+ aspect to teach new readers.</w:t>
      </w:r>
    </w:p>
    <w:bookmarkEnd w:id="22"/>
    <w:bookmarkStart w:id="23" w:name="Xdd07d64c133d5750d2ba3f6f68a018e40eedf1f"/>
    <w:p>
      <w:pPr>
        <w:pStyle w:val="Heading3"/>
      </w:pPr>
      <w:r>
        <w:t xml:space="preserve">Option B — Inline the body, drop the annotation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SiteConfigurationService siteConfigurationService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siteConfigurationService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annotation. The method body literally is the lookup. Pros:</w:t>
      </w:r>
      <w:r>
        <w:t xml:space="preserve"> </w:t>
      </w:r>
      <w:r>
        <w:t xml:space="preserve">self-invocation works (no proxy), no AOP cost, one fewer concept in the</w:t>
      </w:r>
      <w:r>
        <w:t xml:space="preserve"> </w:t>
      </w:r>
      <w:r>
        <w:t xml:space="preserve">codebase. Cons: more lines per method, the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dependency surfaces in every class.</w:t>
      </w:r>
    </w:p>
    <w:bookmarkEnd w:id="23"/>
    <w:bookmarkStart w:id="24" w:name="trade-offs"/>
    <w:p>
      <w:pPr>
        <w:pStyle w:val="Heading3"/>
      </w:pPr>
      <w:r>
        <w:t xml:space="preserve">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1"/>
        <w:gridCol w:w="2640"/>
        <w:gridCol w:w="326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A</w:t>
            </w:r>
            <w:r>
              <w:t xml:space="preserve"> </w:t>
            </w:r>
            <w:r>
              <w:t xml:space="preserve">(keep annotation)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B</w:t>
            </w:r>
            <w:r>
              <w:t xml:space="preserve"> </w:t>
            </w:r>
            <w:r>
              <w:t xml:space="preserve">(inline)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per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(depends on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/</w:t>
            </w:r>
            <w:r>
              <w:rPr>
                <w:rStyle w:val="VerbatimChar"/>
              </w:rPr>
              <w:t xml:space="preserve">defaultValue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AOP proxy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self-invocation breaks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Class-level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(aspect injects the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must inject</w:t>
            </w:r>
            <w:r>
              <w:t xml:space="preserve"> </w:t>
            </w:r>
            <w:r>
              <w:rPr>
                <w:rStyle w:val="VerbatimChar"/>
              </w:rPr>
              <w:t xml:space="preserve">SiteConfigurationService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 of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— check whether the body already calls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cleanliness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concept, low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Looks hand-written; reader doesn’t need aspect lore</w:t>
            </w:r>
          </w:p>
        </w:tc>
      </w:tr>
    </w:tbl>
    <w:p>
      <w:pPr>
        <w:pStyle w:val="BodyText"/>
      </w:pPr>
      <w:r>
        <w:t xml:space="preserve">If you go with Option B, be aware that</w:t>
      </w:r>
      <w:r>
        <w:t xml:space="preserve"> </w:t>
      </w:r>
      <w:r>
        <w:rPr>
          <w:bCs/>
          <w:b/>
        </w:rPr>
        <w:t xml:space="preserve">new code added later may still</w:t>
      </w:r>
      <w:r>
        <w:rPr>
          <w:bCs/>
          <w:b/>
        </w:rP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@ConfigLookup</w:t>
      </w:r>
      <w:r>
        <w:t xml:space="preserve"> </w:t>
      </w:r>
      <w:r>
        <w:t xml:space="preserve">— the annotation isn’t being deleted, just removed</w:t>
      </w:r>
      <w:r>
        <w:t xml:space="preserve"> </w:t>
      </w:r>
      <w:r>
        <w:t xml:space="preserve">from the migrated methods. You’ll have two patterns living together</w:t>
      </w:r>
      <w:r>
        <w:t xml:space="preserve"> </w:t>
      </w:r>
      <w:r>
        <w:t xml:space="preserve">unless you also delete the annotation/aspect after the migration. Some</w:t>
      </w:r>
      <w:r>
        <w:t xml:space="preserve"> </w:t>
      </w:r>
      <w:r>
        <w:t xml:space="preserve">teams prefer one pattern across the codebase; some are content with the</w:t>
      </w:r>
      <w:r>
        <w:t xml:space="preserve"> </w:t>
      </w:r>
      <w:r>
        <w:t xml:space="preserve">mix. Either is defensible — name your choice and document it.</w:t>
      </w:r>
    </w:p>
    <w:p>
      <w:pPr>
        <w:pStyle w:val="BodyText"/>
      </w:pPr>
      <w:r>
        <w:t xml:space="preserve">The rest of this guide assumes</w:t>
      </w:r>
      <w:r>
        <w:t xml:space="preserve"> </w:t>
      </w:r>
      <w:r>
        <w:rPr>
          <w:bCs/>
          <w:b/>
        </w:rPr>
        <w:t xml:space="preserve">Option B</w:t>
      </w:r>
      <w:r>
        <w:t xml:space="preserve">, since that’s the case</w:t>
      </w:r>
      <w:r>
        <w:t xml:space="preserve"> </w:t>
      </w:r>
      <w:r>
        <w:t xml:space="preserve">where a JavaParser migration adds real value. Option A is the status</w:t>
      </w:r>
      <w:r>
        <w:t xml:space="preserve"> </w:t>
      </w:r>
      <w:r>
        <w:t xml:space="preserve">quo and needs no tooling.</w:t>
      </w:r>
    </w:p>
    <w:bookmarkEnd w:id="24"/>
    <w:bookmarkEnd w:id="25"/>
    <w:bookmarkStart w:id="26" w:name="the-javaparser-approach-overall-shape"/>
    <w:p>
      <w:pPr>
        <w:pStyle w:val="Heading2"/>
      </w:pPr>
      <w:r>
        <w:t xml:space="preserve">3. The JavaParser approach — overall shape</w:t>
      </w:r>
    </w:p>
    <w:p>
      <w:pPr>
        <w:pStyle w:val="FirstParagraph"/>
      </w:pPr>
      <w:r>
        <w:t xml:space="preserve">A sketch of the migration tool. This is the structure to hang real</w:t>
      </w:r>
      <w:r>
        <w:t xml:space="preserve"> </w:t>
      </w:r>
      <w:r>
        <w:t xml:space="preserve">logic off; the body-rendering, predicate, and class-level injection</w:t>
      </w:r>
      <w:r>
        <w:t xml:space="preserve"> </w:t>
      </w:r>
      <w:r>
        <w:t xml:space="preserve">choices are where you’ll customize.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ConfigLookupInliner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ANNOTATION_SIMPLE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"ConfigLookup"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ANNOTATION_FQCN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"com.boeing.constcatalog.backend.annotation.ConfigLookup"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SERVICE_FQCN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"com.boeing.constcatalog.backend.service.SiteConfigurationService"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EXCEPTION_FQCN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"com.boeing.constcatalog.backend.annotation.ConfigKeyMissingException"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SERVICE_FIELD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"siteConfigurationService"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ParserConfiguration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JAVA_21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JavaParser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JavaParser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".java"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ConfigLookupInliner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cheapPreScan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(0) skip non-candidates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JavaParser parser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CompilationUnit cu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getResult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LexicalPreservingPrinter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(1) preserve formatting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needsServiceField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 cls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MethodDeclaration method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MethodDeclaration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AnnotationExpr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findConfigLookup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(2) predicate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isAlreadyInlined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(3) idempotency</w:t>
      </w:r>
      <w:r>
        <w:br/>
      </w:r>
      <w:r>
        <w:rPr>
          <w:rStyle w:val="NormalTok"/>
        </w:rPr>
        <w:t xml:space="preserve">            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LookupAttrs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readAttributes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rewriteBody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needsServiceField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needsServiceField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ensureServiceField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(4) class-level dep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SERVICE_FQCN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EXCEPTION_FQCN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removeImport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ANNOTATION_FQCN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LexicalPreservingPrinter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implementation is in</w:t>
      </w:r>
      <w:r>
        <w:t xml:space="preserve"> </w:t>
      </w:r>
      <w:r>
        <w:rPr>
          <w:rStyle w:val="VerbatimChar"/>
        </w:rPr>
        <w:t xml:space="preserve">guest/ConfigLookupInliner.java</w:t>
      </w:r>
      <w:r>
        <w:t xml:space="preserve">. The</w:t>
      </w:r>
      <w:r>
        <w:t xml:space="preserve"> </w:t>
      </w:r>
      <w:r>
        <w:t xml:space="preserve">numbered points each have their own section below.</w:t>
      </w:r>
    </w:p>
    <w:bookmarkEnd w:id="26"/>
    <w:bookmarkStart w:id="28" w:name="X39f0da1abae19242945d9900925d8dec45d0425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— the difference between works and useless</w:t>
      </w:r>
    </w:p>
    <w:p>
      <w:pPr>
        <w:pStyle w:val="FirstParagraph"/>
      </w:pPr>
      <w:r>
        <w:t xml:space="preserve">JavaParser’s default printer (</w:t>
      </w:r>
      <w:r>
        <w:rPr>
          <w:rStyle w:val="VerbatimChar"/>
        </w:rPr>
        <w:t xml:space="preserve">cu.toString()</w:t>
      </w:r>
      <w:r>
        <w:t xml:space="preserve">)</w:t>
      </w:r>
      <w:r>
        <w:t xml:space="preserve"> </w:t>
      </w:r>
      <w:r>
        <w:rPr>
          <w:bCs/>
          <w:b/>
        </w:rPr>
        <w:t xml:space="preserve">reformats 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Loses your indentation.</w:t>
      </w:r>
    </w:p>
    <w:p>
      <w:pPr>
        <w:numPr>
          <w:ilvl w:val="0"/>
          <w:numId w:val="1002"/>
        </w:numPr>
        <w:pStyle w:val="Compact"/>
      </w:pPr>
      <w:r>
        <w:t xml:space="preserve">Moves comments around.</w:t>
      </w:r>
    </w:p>
    <w:p>
      <w:pPr>
        <w:numPr>
          <w:ilvl w:val="0"/>
          <w:numId w:val="1002"/>
        </w:numPr>
        <w:pStyle w:val="Compact"/>
      </w:pPr>
      <w:r>
        <w:t xml:space="preserve">Drops blank lines.</w:t>
      </w:r>
    </w:p>
    <w:p>
      <w:pPr>
        <w:numPr>
          <w:ilvl w:val="0"/>
          <w:numId w:val="1002"/>
        </w:numPr>
        <w:pStyle w:val="Compact"/>
      </w:pPr>
      <w:r>
        <w:t xml:space="preserve">Sometimes rewrites Javadoc layout.</w:t>
      </w:r>
    </w:p>
    <w:p>
      <w:pPr>
        <w:numPr>
          <w:ilvl w:val="0"/>
          <w:numId w:val="1002"/>
        </w:numPr>
        <w:pStyle w:val="Compact"/>
      </w:pPr>
      <w:r>
        <w:t xml:space="preserve">Standardizes brace style.</w:t>
      </w:r>
    </w:p>
    <w:p>
      <w:pPr>
        <w:pStyle w:val="FirstParagraph"/>
      </w:pPr>
      <w:r>
        <w:t xml:space="preserve">For a multi-file migration where the diffs need to be reviewable,</w:t>
      </w:r>
      <w:r>
        <w:t xml:space="preserve"> </w:t>
      </w:r>
      <w:r>
        <w:t xml:space="preserve">that’s a non-starter. The diff is supposed to show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change, not</w:t>
      </w:r>
      <w:r>
        <w:t xml:space="preserve"> </w:t>
      </w:r>
      <w:r>
        <w:t xml:space="preserve">“</w:t>
      </w:r>
      <w:r>
        <w:t xml:space="preserve">and also the whole file got reformatted.</w:t>
      </w:r>
      <w:r>
        <w:t xml:space="preserve">”</w:t>
      </w:r>
    </w:p>
    <w:p>
      <w:pPr>
        <w:pStyle w:val="BodyText"/>
      </w:pPr>
      <w:r>
        <w:rPr>
          <w:rStyle w:val="VerbatimChar"/>
        </w:rPr>
        <w:t xml:space="preserve">LexicalPreservingPrinter.setup(cu)</w:t>
      </w:r>
      <w:r>
        <w:t xml:space="preserve"> </w:t>
      </w:r>
      <w:r>
        <w:t xml:space="preserve">attaches a metadata layer that</w:t>
      </w:r>
      <w:r>
        <w:t xml:space="preserve"> </w:t>
      </w:r>
      <w:r>
        <w:t xml:space="preserve">tracks the original tokens. Then</w:t>
      </w:r>
      <w:r>
        <w:t xml:space="preserve"> </w:t>
      </w:r>
      <w:r>
        <w:rPr>
          <w:rStyle w:val="VerbatimChar"/>
        </w:rPr>
        <w:t xml:space="preserve">LexicalPreservingPrinter.print(cu)</w:t>
      </w:r>
      <w:r>
        <w:t xml:space="preserve"> </w:t>
      </w:r>
      <w:r>
        <w:t xml:space="preserve">emits source where only your edits show as diffs; everything else</w:t>
      </w:r>
      <w:r>
        <w:t xml:space="preserve"> </w:t>
      </w:r>
      <w:r>
        <w:t xml:space="preserve">round-trips byte-for-byte.</w:t>
      </w:r>
    </w:p>
    <w:bookmarkStart w:id="27" w:name="caveats-specific-to-this-migration"/>
    <w:p>
      <w:pPr>
        <w:pStyle w:val="Heading3"/>
      </w:pPr>
      <w:r>
        <w:t xml:space="preserve">Caveats specific to this migration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Replacing whole bodies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setBody()</w:t>
      </w:r>
      <w:r>
        <w:rPr>
          <w:bCs/>
          <w:b/>
        </w:rPr>
        <w:t xml:space="preserve"> </w:t>
      </w:r>
      <w:r>
        <w:rPr>
          <w:bCs/>
          <w:b/>
        </w:rPr>
        <w:t xml:space="preserve">is one of the more</w:t>
      </w:r>
      <w:r>
        <w:rPr>
          <w:bCs/>
          <w:b/>
        </w:rPr>
        <w:t xml:space="preserve"> </w:t>
      </w:r>
      <w:r>
        <w:rPr>
          <w:bCs/>
          <w:b/>
        </w:rPr>
        <w:t xml:space="preserve">whitespace-fragile operations.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handles</w:t>
      </w:r>
      <w:r>
        <w:t xml:space="preserve"> </w:t>
      </w:r>
      <w:r>
        <w:t xml:space="preserve">it, but the inserted block tends to land with the indentation of the</w:t>
      </w:r>
      <w:r>
        <w:t xml:space="preserve"> </w:t>
      </w:r>
      <w:r>
        <w:t xml:space="preserve">parsed source, not the surrounding class. Test on a representative</w:t>
      </w:r>
      <w:r>
        <w:t xml:space="preserve"> </w:t>
      </w:r>
      <w:r>
        <w:t xml:space="preserve">subset and eyeball the diffs. If indentation drifts, normalize after</w:t>
      </w:r>
      <w:r>
        <w:t xml:space="preserve"> </w:t>
      </w:r>
      <w:r>
        <w:t xml:space="preserve">the fact with a project-wide formatter pass (Spotless,</w:t>
      </w:r>
      <w:r>
        <w:t xml:space="preserve"> </w:t>
      </w:r>
      <w:r>
        <w:t xml:space="preserve">google-java-format) — but only on the changed files.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Annotation removal can leave a stray blank line</w:t>
      </w:r>
      <w:r>
        <w:t xml:space="preserve"> </w:t>
      </w:r>
      <w:r>
        <w:t xml:space="preserve">above the method</w:t>
      </w:r>
      <w:r>
        <w:t xml:space="preserve"> </w:t>
      </w:r>
      <w:r>
        <w:t xml:space="preserve">when the annotation occupied its own line. Cosmetic, but worth a</w:t>
      </w:r>
      <w:r>
        <w:t xml:space="preserve"> </w:t>
      </w:r>
      <w:r>
        <w:t xml:space="preserve">spot-check on the dry run.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 endings.</w:t>
      </w:r>
      <w:r>
        <w:t xml:space="preserve"> </w:t>
      </w:r>
      <w:r>
        <w:t xml:space="preserve">On a mixed Windows/Unix codebase, watch for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drift.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generally preserves the</w:t>
      </w:r>
      <w:r>
        <w:t xml:space="preserve"> </w:t>
      </w:r>
      <w:r>
        <w:t xml:space="preserve">input style, but combine it with</w:t>
      </w:r>
      <w:r>
        <w:t xml:space="preserve"> </w:t>
      </w:r>
      <w:r>
        <w:rPr>
          <w:rStyle w:val="VerbatimChar"/>
        </w:rPr>
        <w:t xml:space="preserve">Files.readString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Files.writeString</w:t>
      </w:r>
      <w:r>
        <w:t xml:space="preserve"> </w:t>
      </w:r>
      <w:r>
        <w:t xml:space="preserve">and you’ll occasionally see normalization. If you</w:t>
      </w:r>
      <w:r>
        <w:t xml:space="preserve"> </w:t>
      </w:r>
      <w:r>
        <w:t xml:space="preserve">control the codebase, settle the line-ending policy first.</w:t>
      </w:r>
    </w:p>
    <w:bookmarkEnd w:id="27"/>
    <w:bookmarkEnd w:id="28"/>
    <w:bookmarkStart w:id="29" w:name="the-predicate-is-the-actual-hard-part"/>
    <w:p>
      <w:pPr>
        <w:pStyle w:val="Heading2"/>
      </w:pPr>
      <w:r>
        <w:t xml:space="preserve">5. The predicate is the actual hard part</w:t>
      </w:r>
    </w:p>
    <w:p>
      <w:pPr>
        <w:pStyle w:val="FirstParagraph"/>
      </w:pPr>
      <w:r>
        <w:t xml:space="preserve">The skeleton above keys off</w:t>
      </w:r>
      <w:r>
        <w:t xml:space="preserve"> </w:t>
      </w:r>
      <w:r>
        <w:t xml:space="preserve">“</w:t>
      </w:r>
      <w:r>
        <w:t xml:space="preserve">method has the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annotation</w:t>
      </w:r>
      <w:r>
        <w:t xml:space="preserve">”</w:t>
      </w:r>
      <w:r>
        <w:t xml:space="preserve">. That part is mechanical. The real decisions: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Annotation on a method in an interface or abstract class?</w:t>
      </w:r>
      <w:r>
        <w:t xml:space="preserve"> </w:t>
      </w:r>
      <w:r>
        <w:t xml:space="preserve">Interfaces with default methods are valid; abstract methods are not</w:t>
      </w:r>
      <w:r>
        <w:t xml:space="preserve"> </w:t>
      </w:r>
      <w:r>
        <w:t xml:space="preserve">(no body to rewrite). Decide whether the migration covers default</w:t>
      </w:r>
      <w:r>
        <w:t xml:space="preserve"> </w:t>
      </w:r>
      <w:r>
        <w:t xml:space="preserve">methods on interfaces, or whether those are excluded as a separate</w:t>
      </w:r>
      <w:r>
        <w:t xml:space="preserve"> </w:t>
      </w:r>
      <w:r>
        <w:t xml:space="preserve">case.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 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SiteConfigurationService</w:t>
      </w:r>
      <w:r>
        <w:rPr>
          <w:bCs/>
          <w:b/>
        </w:rPr>
        <w:t xml:space="preserve"> </w:t>
      </w:r>
      <w:r>
        <w:rPr>
          <w:bCs/>
          <w:b/>
        </w:rPr>
        <w:t xml:space="preserve">injection.</w:t>
      </w:r>
      <w:r>
        <w:t xml:space="preserve"> </w:t>
      </w:r>
      <w:r>
        <w:t xml:space="preserve">Three options:</w:t>
      </w:r>
    </w:p>
    <w:p>
      <w:pPr>
        <w:numPr>
          <w:ilvl w:val="1"/>
          <w:numId w:val="1005"/>
        </w:numPr>
        <w:pStyle w:val="Compact"/>
      </w:pPr>
      <w:r>
        <w:t xml:space="preserve">the migration adds the field via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; (b) the migration</w:t>
      </w:r>
      <w:r>
        <w:t xml:space="preserve"> </w:t>
      </w:r>
      <w:r>
        <w:t xml:space="preserve">adds it as</w:t>
      </w:r>
      <w:r>
        <w:t xml:space="preserve"> </w:t>
      </w:r>
      <w:r>
        <w:rPr>
          <w:rStyle w:val="VerbatimChar"/>
        </w:rPr>
        <w:t xml:space="preserve">private final</w:t>
      </w:r>
      <w:r>
        <w:t xml:space="preserve"> </w:t>
      </w:r>
      <w:r>
        <w:t xml:space="preserve">and assumes Lombok</w:t>
      </w:r>
      <w:r>
        <w:t xml:space="preserve"> </w:t>
      </w: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regenerates the constructor; (c) the</w:t>
      </w:r>
      <w:r>
        <w:t xml:space="preserve"> </w:t>
      </w:r>
      <w:r>
        <w:t xml:space="preserve">migration logs and skips, leaving humans to handle. The current</w:t>
      </w:r>
      <w:r>
        <w:t xml:space="preserve"> </w:t>
      </w:r>
      <w:r>
        <w:t xml:space="preserve">implementation in</w:t>
      </w:r>
      <w:r>
        <w:t xml:space="preserve"> </w:t>
      </w:r>
      <w:r>
        <w:rPr>
          <w:rStyle w:val="VerbatimChar"/>
        </w:rPr>
        <w:t xml:space="preserve">ConfigLookupInliner.java</w:t>
      </w:r>
      <w:r>
        <w:t xml:space="preserve"> </w:t>
      </w:r>
      <w:r>
        <w:t xml:space="preserve">picks (a) — it’s the</w:t>
      </w:r>
      <w:r>
        <w:t xml:space="preserve"> </w:t>
      </w:r>
      <w:r>
        <w:t xml:space="preserve">least invasive and always compiles, at the cost of preferring field</w:t>
      </w:r>
      <w:r>
        <w:t xml:space="preserve"> </w:t>
      </w:r>
      <w:r>
        <w:t xml:space="preserve">injection over constructor injection. If your project’s convention</w:t>
      </w:r>
      <w:r>
        <w:t xml:space="preserve"> </w:t>
      </w:r>
      <w:r>
        <w:t xml:space="preserve">is constructor injection only, change</w:t>
      </w:r>
      <w:r>
        <w:t xml:space="preserve"> </w:t>
      </w:r>
      <w:r>
        <w:rPr>
          <w:rStyle w:val="VerbatimChar"/>
        </w:rPr>
        <w:t xml:space="preserve">ensureServiceField</w:t>
      </w:r>
      <w:r>
        <w:t xml:space="preserve"> </w:t>
      </w:r>
      <w:r>
        <w:t xml:space="preserve">to add</w:t>
      </w:r>
      <w:r>
        <w:t xml:space="preserve"> </w:t>
      </w:r>
      <w:r>
        <w:t xml:space="preserve">the field as</w:t>
      </w:r>
      <w:r>
        <w:t xml:space="preserve"> </w:t>
      </w:r>
      <w:r>
        <w:rPr>
          <w:rStyle w:val="VerbatimChar"/>
        </w:rPr>
        <w:t xml:space="preserve">private final</w:t>
      </w:r>
      <w:r>
        <w:t xml:space="preserve"> </w:t>
      </w:r>
      <w:r>
        <w:t xml:space="preserve">and run a separate Spotless pass to</w:t>
      </w:r>
      <w:r>
        <w:t xml:space="preserve"> </w:t>
      </w:r>
      <w:r>
        <w:t xml:space="preserve">reconcile the constructor.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Generated files?</w:t>
      </w:r>
      <w:r>
        <w:t xml:space="preserve"> </w:t>
      </w:r>
      <w:r>
        <w:t xml:space="preserve">Skip anything with</w:t>
      </w:r>
      <w:r>
        <w:t xml:space="preserve"> </w:t>
      </w:r>
      <w:r>
        <w:rPr>
          <w:rStyle w:val="VerbatimChar"/>
        </w:rPr>
        <w:t xml:space="preserve">@Generated</w:t>
      </w:r>
      <w:r>
        <w:t xml:space="preserve"> </w:t>
      </w:r>
      <w:r>
        <w:t xml:space="preserve">or under</w:t>
      </w:r>
      <w:r>
        <w:t xml:space="preserve"> </w:t>
      </w:r>
      <w:r>
        <w:rPr>
          <w:rStyle w:val="VerbatimChar"/>
        </w:rPr>
        <w:t xml:space="preserve">target/generated-sources/</w:t>
      </w:r>
      <w:r>
        <w:t xml:space="preserve">. The cheap pre-scan already filters most</w:t>
      </w:r>
      <w:r>
        <w:t xml:space="preserve"> </w:t>
      </w:r>
      <w:r>
        <w:t xml:space="preserve">of these out (they rarely contain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), but the safety</w:t>
      </w:r>
      <w:r>
        <w:t xml:space="preserve"> </w:t>
      </w:r>
      <w:r>
        <w:t xml:space="preserve">belt is worth keeping.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sources?</w:t>
      </w:r>
      <w:r>
        <w:t xml:space="preserve"> </w:t>
      </w:r>
      <w:r>
        <w:t xml:space="preserve">Test classes that use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usually do so</w:t>
      </w:r>
      <w:r>
        <w:t xml:space="preserve"> </w:t>
      </w:r>
      <w:r>
        <w:t xml:space="preserve">through a real Spring context. If your tests rely on the aspect</w:t>
      </w:r>
      <w:r>
        <w:t xml:space="preserve"> </w:t>
      </w:r>
      <w:r>
        <w:t xml:space="preserve">firing (e.g., AOP integration tests), exclude</w:t>
      </w:r>
      <w:r>
        <w:t xml:space="preserve"> </w:t>
      </w:r>
      <w:r>
        <w:rPr>
          <w:rStyle w:val="VerbatimChar"/>
        </w:rPr>
        <w:t xml:space="preserve">src/test/java/</w:t>
      </w:r>
      <w:r>
        <w:t xml:space="preserve"> </w:t>
      </w:r>
      <w:r>
        <w:t xml:space="preserve">from</w:t>
      </w:r>
      <w:r>
        <w:t xml:space="preserve"> </w:t>
      </w:r>
      <w:r>
        <w:t xml:space="preserve">the migration — those tests want to verify the aspect path, not</w:t>
      </w:r>
      <w:r>
        <w:t xml:space="preserve"> </w:t>
      </w:r>
      <w:r>
        <w:t xml:space="preserve">the inlined path.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Self-invocation usages elsewhere in the codebase.</w:t>
      </w:r>
      <w:r>
        <w:t xml:space="preserve"> </w:t>
      </w:r>
      <w:r>
        <w:t xml:space="preserve">If method X</w:t>
      </w:r>
      <w:r>
        <w:t xml:space="preserve"> </w:t>
      </w:r>
      <w:r>
        <w:t xml:space="preserve">was annotated with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and method Y on the</w:t>
      </w:r>
      <w:r>
        <w:t xml:space="preserve"> </w:t>
      </w:r>
      <w:r>
        <w:rPr>
          <w:iCs/>
          <w:i/>
        </w:rPr>
        <w:t xml:space="preserve">same class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this.x()</w:t>
      </w:r>
      <w:r>
        <w:t xml:space="preserve">, that call was previously a no-op (proxy bypass) —</w:t>
      </w:r>
      <w:r>
        <w:t xml:space="preserve"> </w:t>
      </w:r>
      <w:r>
        <w:t xml:space="preserve">it returned the method’s literal body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t xml:space="preserve">). After the</w:t>
      </w:r>
      <w:r>
        <w:t xml:space="preserve"> </w:t>
      </w:r>
      <w:r>
        <w:t xml:space="preserve">migration, that same call returns the real value.</w:t>
      </w:r>
      <w:r>
        <w:t xml:space="preserve"> </w:t>
      </w:r>
      <w:r>
        <w:rPr>
          <w:bCs/>
          <w:b/>
        </w:rPr>
        <w:t xml:space="preserve">This is a</w:t>
      </w:r>
      <w:r>
        <w:rPr>
          <w:bCs/>
          <w:b/>
        </w:rPr>
        <w:t xml:space="preserve"> </w:t>
      </w:r>
      <w:r>
        <w:rPr>
          <w:bCs/>
          <w:b/>
        </w:rPr>
        <w:t xml:space="preserve">behaviour change, not a bug</w:t>
      </w:r>
      <w:r>
        <w:t xml:space="preserve"> </w:t>
      </w:r>
      <w:r>
        <w:t xml:space="preserve">— but if anyone was depending on the</w:t>
      </w:r>
      <w:r>
        <w:t xml:space="preserve"> </w:t>
      </w:r>
      <w:r>
        <w:t xml:space="preserve">bypass, it’ll break them. Grep for self-calls to annotated methods</w:t>
      </w:r>
      <w:r>
        <w:t xml:space="preserve"> </w:t>
      </w:r>
      <w:r>
        <w:t xml:space="preserve">before running.</w:t>
      </w:r>
    </w:p>
    <w:p>
      <w:pPr>
        <w:pStyle w:val="FirstParagraph"/>
      </w:pPr>
      <w:r>
        <w:t xml:space="preserve">The predicate is also where most migration bugs hide. Print the count</w:t>
      </w:r>
      <w:r>
        <w:t xml:space="preserve"> </w:t>
      </w:r>
      <w:r>
        <w:t xml:space="preserve">of candidate methods before running the actual modification; verify by</w:t>
      </w:r>
      <w:r>
        <w:t xml:space="preserve"> </w:t>
      </w:r>
      <w:r>
        <w:t xml:space="preserve">eye that the number matches expectations.</w:t>
      </w:r>
    </w:p>
    <w:bookmarkEnd w:id="29"/>
    <w:bookmarkStart w:id="30" w:name="idempotency"/>
    <w:p>
      <w:pPr>
        <w:pStyle w:val="Heading2"/>
      </w:pPr>
      <w:r>
        <w:t xml:space="preserve">6. Idempotency</w:t>
      </w:r>
    </w:p>
    <w:p>
      <w:pPr>
        <w:pStyle w:val="FirstParagraph"/>
      </w:pPr>
      <w:r>
        <w:t xml:space="preserve">Your migration may not be a single atomic run:</w:t>
      </w:r>
    </w:p>
    <w:p>
      <w:pPr>
        <w:numPr>
          <w:ilvl w:val="0"/>
          <w:numId w:val="1006"/>
        </w:numPr>
        <w:pStyle w:val="Compact"/>
      </w:pPr>
      <w:r>
        <w:t xml:space="preserve">Run on a subset, review diffs, find a bug.</w:t>
      </w:r>
    </w:p>
    <w:p>
      <w:pPr>
        <w:numPr>
          <w:ilvl w:val="0"/>
          <w:numId w:val="1006"/>
        </w:numPr>
        <w:pStyle w:val="Compact"/>
      </w:pPr>
      <w:r>
        <w:t xml:space="preserve">Fix the bug.</w:t>
      </w:r>
    </w:p>
    <w:p>
      <w:pPr>
        <w:numPr>
          <w:ilvl w:val="0"/>
          <w:numId w:val="1006"/>
        </w:numPr>
        <w:pStyle w:val="Compact"/>
      </w:pPr>
      <w:r>
        <w:t xml:space="preserve">Run on the same files plus more files.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isAlreadyInlined()</w:t>
      </w:r>
      <w:r>
        <w:t xml:space="preserve"> </w:t>
      </w:r>
      <w:r>
        <w:t xml:space="preserve">check —</w:t>
      </w:r>
      <w:r>
        <w:t xml:space="preserve"> </w:t>
      </w:r>
      <w:r>
        <w:t xml:space="preserve">“</w:t>
      </w:r>
      <w:r>
        <w:t xml:space="preserve">does the body already mention</w:t>
      </w:r>
      <w:r>
        <w:t xml:space="preserve"> </w:t>
      </w:r>
      <w:r>
        <w:rPr>
          <w:rStyle w:val="VerbatimChar"/>
        </w:rPr>
        <w:t xml:space="preserve">siteConfigurationService.</w:t>
      </w:r>
      <w:r>
        <w:t xml:space="preserve">?</w:t>
      </w:r>
      <w:r>
        <w:t xml:space="preserve">”</w:t>
      </w:r>
      <w:r>
        <w:t xml:space="preserve"> </w:t>
      </w:r>
      <w:r>
        <w:t xml:space="preserve">— keeps the tool idempotent. A</w:t>
      </w:r>
      <w:r>
        <w:t xml:space="preserve"> </w:t>
      </w:r>
      <w:r>
        <w:t xml:space="preserve">hand-edited file that already calls the service is left alone (only the</w:t>
      </w:r>
      <w:r>
        <w:t xml:space="preserve"> </w:t>
      </w:r>
      <w:r>
        <w:t xml:space="preserve">stray annotation, if any, is stripped).</w:t>
      </w:r>
    </w:p>
    <w:p>
      <w:pPr>
        <w:pStyle w:val="BodyText"/>
      </w:pPr>
      <w:r>
        <w:t xml:space="preserve">You could also add a cheaper pre-parse short-circuit, which the example</w:t>
      </w:r>
      <w:r>
        <w:t xml:space="preserve"> </w:t>
      </w:r>
      <w:r>
        <w:t xml:space="preserve">already does: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"@ConfigLookup"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a heuristic, not a guarantee — a comment containing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would also be considered. But on a large codebase it</w:t>
      </w:r>
      <w:r>
        <w:t xml:space="preserve"> </w:t>
      </w:r>
      <w:r>
        <w:t xml:space="preserve">saves real parse time for the files that obviously have no candidate</w:t>
      </w:r>
      <w:r>
        <w:t xml:space="preserve"> </w:t>
      </w:r>
      <w:r>
        <w:t xml:space="preserve">methods.</w:t>
      </w:r>
    </w:p>
    <w:p>
      <w:pPr>
        <w:pStyle w:val="BodyText"/>
      </w:pPr>
      <w:r>
        <w:t xml:space="preserve">A deeper form of idempotency worth thinking about:</w:t>
      </w:r>
      <w:r>
        <w:t xml:space="preserve"> </w:t>
      </w:r>
      <w:r>
        <w:rPr>
          <w:bCs/>
          <w:b/>
        </w:rPr>
        <w:t xml:space="preserve">what if your team</w:t>
      </w:r>
      <w:r>
        <w:rPr>
          <w:bCs/>
          <w:b/>
        </w:rPr>
        <w:t xml:space="preserve"> </w:t>
      </w:r>
      <w:r>
        <w:rPr>
          <w:bCs/>
          <w:b/>
        </w:rPr>
        <w:t xml:space="preserve">hand-edits an inlined method later?</w:t>
      </w:r>
      <w:r>
        <w:t xml:space="preserve"> </w:t>
      </w:r>
      <w:r>
        <w:t xml:space="preserve">The migration runs again. The</w:t>
      </w:r>
      <w:r>
        <w:t xml:space="preserve"> </w:t>
      </w:r>
      <w:r>
        <w:t xml:space="preserve">hand-edit is preserved by</w:t>
      </w:r>
      <w:r>
        <w:t xml:space="preserve"> </w:t>
      </w:r>
      <w:r>
        <w:rPr>
          <w:rStyle w:val="VerbatimChar"/>
        </w:rPr>
        <w:t xml:space="preserve">isAlreadyInlined()</w:t>
      </w:r>
      <w:r>
        <w:t xml:space="preserve"> </w:t>
      </w:r>
      <w:r>
        <w:t xml:space="preserve">(the body now contains</w:t>
      </w:r>
      <w:r>
        <w:t xml:space="preserve"> </w:t>
      </w:r>
      <w:r>
        <w:t xml:space="preserve">the service field name), but the predicate also won’t normalize a</w:t>
      </w:r>
      <w:r>
        <w:t xml:space="preserve"> </w:t>
      </w:r>
      <w:r>
        <w:t xml:space="preserve">hand-edited body back to the canonical form. Decide whether the</w:t>
      </w:r>
      <w:r>
        <w:t xml:space="preserve"> </w:t>
      </w:r>
      <w:r>
        <w:t xml:space="preserve">migration’s role is</w:t>
      </w:r>
      <w:r>
        <w:t xml:space="preserve"> </w:t>
      </w:r>
      <w:r>
        <w:t xml:space="preserve">“</w:t>
      </w:r>
      <w:r>
        <w:t xml:space="preserve">ensure the body is inlined at all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ensure the</w:t>
      </w:r>
      <w:r>
        <w:t xml:space="preserve"> </w:t>
      </w:r>
      <w:r>
        <w:t xml:space="preserve">body matches a canonical inlined form</w:t>
      </w:r>
      <w:r>
        <w:t xml:space="preserve">”</w:t>
      </w:r>
      <w:r>
        <w:t xml:space="preserve">. The former is friendlier; the</w:t>
      </w:r>
      <w:r>
        <w:t xml:space="preserve"> </w:t>
      </w:r>
      <w:r>
        <w:t xml:space="preserve">latter is more opinionated.</w:t>
      </w:r>
    </w:p>
    <w:bookmarkEnd w:id="30"/>
    <w:bookmarkStart w:id="31" w:name="import-handling"/>
    <w:p>
      <w:pPr>
        <w:pStyle w:val="Heading2"/>
      </w:pPr>
      <w:r>
        <w:t xml:space="preserve">7. Import handling</w:t>
      </w:r>
    </w:p>
    <w:p>
      <w:pPr>
        <w:pStyle w:val="FirstParagraph"/>
      </w:pPr>
      <w:r>
        <w:t xml:space="preserve">Three imports are in play: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— add to every file that gets inlined.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ConfigKeyMissingException</w:t>
      </w:r>
      <w:r>
        <w:t xml:space="preserve"> </w:t>
      </w:r>
      <w:r>
        <w:t xml:space="preserve">— only needed when at least one method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required = true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. The example adds it</w:t>
      </w:r>
      <w:r>
        <w:t xml:space="preserve"> </w:t>
      </w:r>
      <w:r>
        <w:t xml:space="preserve">unconditionally; you can refine to add it only when actually used.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ConfigLookup</w:t>
      </w:r>
      <w:r>
        <w:t xml:space="preserve"> </w:t>
      </w:r>
      <w:r>
        <w:t xml:space="preserve">— remove once every method in the file has been</w:t>
      </w:r>
      <w:r>
        <w:t xml:space="preserve"> </w:t>
      </w:r>
      <w:r>
        <w:t xml:space="preserve">migrated. The example removes it whenever the file was modified;</w:t>
      </w:r>
      <w:r>
        <w:t xml:space="preserve"> </w:t>
      </w:r>
      <w:r>
        <w:t xml:space="preserve">if a file has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methods that got migrated and</w:t>
      </w:r>
      <w:r>
        <w:t xml:space="preserve"> </w:t>
      </w:r>
      <w:r>
        <w:rPr>
          <w:iCs/>
          <w:i/>
        </w:rPr>
        <w:t xml:space="preserve">others</w:t>
      </w:r>
      <w:r>
        <w:t xml:space="preserve"> </w:t>
      </w:r>
      <w:r>
        <w:t xml:space="preserve">that didn’t (e.g., a predicate failure on one), the import</w:t>
      </w:r>
      <w:r>
        <w:t xml:space="preserve"> </w:t>
      </w:r>
      <w:r>
        <w:t xml:space="preserve">must stay. The current implementation does not detect that case —</w:t>
      </w:r>
      <w:r>
        <w:t xml:space="preserve"> </w:t>
      </w:r>
      <w:r>
        <w:t xml:space="preserve">it assumes whole-file migration. Refine if your predicate is</w:t>
      </w:r>
      <w:r>
        <w:t xml:space="preserve"> </w:t>
      </w:r>
      <w:r>
        <w:t xml:space="preserve">selective.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addImport</w:t>
      </w:r>
      <w:r>
        <w:t xml:space="preserve"> </w:t>
      </w:r>
      <w:r>
        <w:t xml:space="preserve">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Resolve conflicts</w:t>
      </w:r>
      <w:r>
        <w:t xml:space="preserve"> </w:t>
      </w:r>
      <w:r>
        <w:t xml:space="preserve">with an existing</w:t>
      </w:r>
      <w:r>
        <w:t xml:space="preserve"> </w:t>
      </w:r>
      <w:r>
        <w:rPr>
          <w:rStyle w:val="VerbatimChar"/>
        </w:rPr>
        <w:t xml:space="preserve">import com.somewhere.SiteConfigurationService;</w:t>
      </w:r>
      <w:r>
        <w:t xml:space="preserve"> </w:t>
      </w:r>
      <w:r>
        <w:t xml:space="preserve">from a different</w:t>
      </w:r>
      <w:r>
        <w:t xml:space="preserve"> </w:t>
      </w:r>
      <w:r>
        <w:t xml:space="preserve">package. You’d get two imports (a compile error), or the one already</w:t>
      </w:r>
      <w:r>
        <w:t xml:space="preserve"> </w:t>
      </w:r>
      <w:r>
        <w:t xml:space="preserve">present takes precedence (your migration silently uses the wrong</w:t>
      </w:r>
      <w:r>
        <w:t xml:space="preserve"> </w:t>
      </w:r>
      <w:r>
        <w:t xml:space="preserve">class).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Detect coverage via wildcards.</w:t>
      </w:r>
      <w:r>
        <w:t xml:space="preserve"> </w:t>
      </w:r>
      <w:r>
        <w:rPr>
          <w:rStyle w:val="VerbatimChar"/>
        </w:rPr>
        <w:t xml:space="preserve">import com.boeing.constcatalog.backend.service.*;</w:t>
      </w:r>
      <w:r>
        <w:t xml:space="preserve"> </w:t>
      </w:r>
      <w:r>
        <w:t xml:space="preserve">already brings in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cu.getImports()</w:t>
      </w:r>
      <w:r>
        <w:t xml:space="preserve"> </w:t>
      </w:r>
      <w:r>
        <w:t xml:space="preserve">won’t tell you that unless you look at wildcard imports explicitly.</w:t>
      </w:r>
    </w:p>
    <w:p>
      <w:pPr>
        <w:pStyle w:val="FirstParagraph"/>
      </w:pPr>
      <w:r>
        <w:t xml:space="preserve">If your codebase uses wildcard imports, use</w:t>
      </w:r>
      <w:r>
        <w:t xml:space="preserve"> </w:t>
      </w:r>
      <w:r>
        <w:rPr>
          <w:rStyle w:val="VerbatimChar"/>
        </w:rPr>
        <w:t xml:space="preserve">JavaSymbolSolver</w:t>
      </w:r>
      <w:r>
        <w:t xml:space="preserve"> </w:t>
      </w:r>
      <w:r>
        <w:t xml:space="preserve">to</w:t>
      </w:r>
      <w:r>
        <w:t xml:space="preserve"> </w:t>
      </w:r>
      <w:r>
        <w:t xml:space="preserve">actually resolve symbols. For a one-shot migration where you control</w:t>
      </w:r>
      <w:r>
        <w:t xml:space="preserve"> </w:t>
      </w:r>
      <w:r>
        <w:t xml:space="preserve">both sides, an FQCN-equality check is usually enough — and if it’s not,</w:t>
      </w:r>
      <w:r>
        <w:t xml:space="preserve"> </w:t>
      </w:r>
      <w:r>
        <w:t xml:space="preserve">you find out at compile time.</w:t>
      </w:r>
    </w:p>
    <w:p>
      <w:pPr>
        <w:pStyle w:val="BodyText"/>
      </w:pPr>
      <w:r>
        <w:t xml:space="preserve">A defensive enhancement worth adding if the migration ever crosses</w:t>
      </w:r>
      <w:r>
        <w:t xml:space="preserve"> </w:t>
      </w:r>
      <w:r>
        <w:t xml:space="preserve">package boundaries: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CompilationUnit 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fqcn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simpleName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fqcn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ImportDeclaration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getImports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isStatic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isAsterisk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isStatic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isAsterisk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getIdentifier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simpleName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conflict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simpleName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the tool blows up loudly on a file where another class also called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is already imported, instead of silently</w:t>
      </w:r>
      <w:r>
        <w:t xml:space="preserve"> </w:t>
      </w:r>
      <w:r>
        <w:t xml:space="preserve">producing broken code.</w:t>
      </w:r>
    </w:p>
    <w:bookmarkEnd w:id="31"/>
    <w:bookmarkStart w:id="32" w:name="do-you-need-the-symbol-solver"/>
    <w:p>
      <w:pPr>
        <w:pStyle w:val="Heading2"/>
      </w:pPr>
      <w:r>
        <w:t xml:space="preserve">8. Do you need the symbol solver?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iCs/>
          <w:i/>
        </w:rPr>
        <w:t xml:space="preserve">this specific transformation</w:t>
      </w:r>
      <w:r>
        <w:t xml:space="preserve">,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The transformation is</w:t>
      </w:r>
      <w:r>
        <w:t xml:space="preserve"> </w:t>
      </w:r>
      <w:r>
        <w:t xml:space="preserve">structural — you don’t need to resolve any types to rewrite a body or</w:t>
      </w:r>
      <w:r>
        <w:t xml:space="preserve"> </w:t>
      </w:r>
      <w:r>
        <w:t xml:space="preserve">strip an annotation. You’re inserting tokens whose shape is known from</w:t>
      </w:r>
      <w:r>
        <w:t xml:space="preserve"> </w:t>
      </w:r>
      <w:r>
        <w:t xml:space="preserve">the annotation’s attributes.</w:t>
      </w:r>
    </w:p>
    <w:p>
      <w:pPr>
        <w:pStyle w:val="BodyText"/>
      </w:pPr>
      <w:r>
        <w:t xml:space="preserve">You’d reach for</w:t>
      </w:r>
      <w:r>
        <w:t xml:space="preserve"> </w:t>
      </w:r>
      <w:r>
        <w:rPr>
          <w:rStyle w:val="VerbatimChar"/>
        </w:rPr>
        <w:t xml:space="preserve">JavaSymbolSolver</w:t>
      </w:r>
      <w:r>
        <w:t xml:space="preserve"> </w:t>
      </w:r>
      <w:r>
        <w:t xml:space="preserve">if you wanted to:</w:t>
      </w:r>
    </w:p>
    <w:p>
      <w:pPr>
        <w:numPr>
          <w:ilvl w:val="0"/>
          <w:numId w:val="1009"/>
        </w:numPr>
        <w:pStyle w:val="Compact"/>
      </w:pPr>
      <w:r>
        <w:t xml:space="preserve">Find every caller of methods you’re about to inline (to flag</w:t>
      </w:r>
      <w:r>
        <w:t xml:space="preserve"> </w:t>
      </w:r>
      <w:r>
        <w:t xml:space="preserve">self-invocation behaviour changes — see §5).</w:t>
      </w:r>
    </w:p>
    <w:p>
      <w:pPr>
        <w:numPr>
          <w:ilvl w:val="0"/>
          <w:numId w:val="1009"/>
        </w:numPr>
        <w:pStyle w:val="Compact"/>
      </w:pPr>
      <w:r>
        <w:t xml:space="preserve">Verify that the existing method’s return type is really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</w:t>
      </w:r>
      <w:r>
        <w:t xml:space="preserve"> </w:t>
      </w:r>
      <w:r>
        <w:t xml:space="preserve">not a custom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shadowing.</w:t>
      </w:r>
    </w:p>
    <w:p>
      <w:pPr>
        <w:numPr>
          <w:ilvl w:val="0"/>
          <w:numId w:val="1009"/>
        </w:numPr>
        <w:pStyle w:val="Compact"/>
      </w:pPr>
      <w:r>
        <w:t xml:space="preserve">Resolve wildcard imports to verify no conflict.</w:t>
      </w:r>
    </w:p>
    <w:p>
      <w:pPr>
        <w:pStyle w:val="FirstParagraph"/>
      </w:pPr>
      <w:r>
        <w:t xml:space="preserve">For the migration as described,</w:t>
      </w:r>
      <w:r>
        <w:t xml:space="preserve"> </w:t>
      </w:r>
      <w:r>
        <w:rPr>
          <w:bCs/>
          <w:b/>
        </w:rPr>
        <w:t xml:space="preserve">skip it.</w:t>
      </w:r>
      <w:r>
        <w:t xml:space="preserve"> </w:t>
      </w:r>
      <w:r>
        <w:t xml:space="preserve">It adds setup complexity</w:t>
      </w:r>
      <w:r>
        <w:t xml:space="preserve"> </w:t>
      </w:r>
      <w:r>
        <w:t xml:space="preserve">(configuring source roots, classpath, JAR roots) and significant</w:t>
      </w:r>
      <w:r>
        <w:t xml:space="preserve"> </w:t>
      </w:r>
      <w:r>
        <w:t xml:space="preserve">parse-time cost. JavaParser without the symbol solver runs at thousands</w:t>
      </w:r>
      <w:r>
        <w:t xml:space="preserve"> </w:t>
      </w:r>
      <w:r>
        <w:t xml:space="preserve">of files per minute; with it, you’re in the hundreds, sometimes the</w:t>
      </w:r>
      <w:r>
        <w:t xml:space="preserve"> </w:t>
      </w:r>
      <w:r>
        <w:t xml:space="preserve">tens.</w:t>
      </w:r>
    </w:p>
    <w:bookmarkEnd w:id="32"/>
    <w:bookmarkStart w:id="35" w:name="openrewrite-the-higher-level-alternative"/>
    <w:p>
      <w:pPr>
        <w:pStyle w:val="Heading2"/>
      </w:pPr>
      <w:r>
        <w:t xml:space="preserve">9. OpenRewrite — the higher-level alternative</w:t>
      </w:r>
    </w:p>
    <w:p>
      <w:pPr>
        <w:pStyle w:val="FirstParagraph"/>
      </w:pPr>
      <w:r>
        <w:t xml:space="preserve">There’s a tool purpose-built for this category of task:</w:t>
      </w:r>
      <w:r>
        <w:t xml:space="preserve"> </w:t>
      </w:r>
      <w:r>
        <w:rPr>
          <w:bCs/>
          <w:b/>
        </w:rPr>
        <w:t xml:space="preserve">OpenRewrite</w:t>
      </w:r>
      <w:r>
        <w:t xml:space="preserve"> </w:t>
      </w:r>
      <w:r>
        <w:t xml:space="preserve">from Moderne. It’s a higher-level alternative to JavaParser for</w:t>
      </w:r>
      <w:r>
        <w:t xml:space="preserve"> </w:t>
      </w:r>
      <w:r>
        <w:t xml:space="preserve">source-to-source refactoring, with several advantages for migrations</w:t>
      </w:r>
      <w:r>
        <w:t xml:space="preserve"> </w:t>
      </w:r>
      <w:r>
        <w:t xml:space="preserve">of this shape: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Built-in recipes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AddImport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RemoveAnnotation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ChangeMethodName</w:t>
      </w:r>
      <w:r>
        <w:t xml:space="preserve">, etc. You compose them rather</w:t>
      </w:r>
      <w:r>
        <w:t xml:space="preserve"> </w:t>
      </w:r>
      <w:r>
        <w:t xml:space="preserve">than writing AST manipulation by hand. There isn’t a built-in</w:t>
      </w:r>
      <w:r>
        <w:t xml:space="preserve"> </w:t>
      </w:r>
      <w:r>
        <w:t xml:space="preserve">“</w:t>
      </w:r>
      <w:r>
        <w:t xml:space="preserve">inline-an-annotated-method-body</w:t>
      </w:r>
      <w:r>
        <w:t xml:space="preserve">”</w:t>
      </w:r>
      <w:r>
        <w:t xml:space="preserve"> </w:t>
      </w:r>
      <w:r>
        <w:t xml:space="preserve">recipe, but the building blocks</w:t>
      </w:r>
      <w:r>
        <w:t xml:space="preserve"> </w:t>
      </w:r>
      <w:r>
        <w:t xml:space="preserve">are there.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Round-trip fidelity is its design centre</w:t>
      </w:r>
      <w:r>
        <w:t xml:space="preserve"> </w:t>
      </w:r>
      <w:r>
        <w:t xml:space="preserve">— generally cleaner</w:t>
      </w:r>
      <w:r>
        <w:t xml:space="preserve"> </w:t>
      </w:r>
      <w:r>
        <w:t xml:space="preserve">than JavaParser’s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, because the LST</w:t>
      </w:r>
      <w:r>
        <w:t xml:space="preserve"> </w:t>
      </w:r>
      <w:r>
        <w:t xml:space="preserve">(Lossless Semantic Tree) is built around the invariant that</w:t>
      </w:r>
      <w:r>
        <w:t xml:space="preserve"> </w:t>
      </w:r>
      <w:r>
        <w:t xml:space="preserve">unchanged code emits byte-identical output.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Maven/Gradle integration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mvn rewrite:run</w:t>
      </w:r>
      <w:r>
        <w:t xml:space="preserve"> </w:t>
      </w:r>
      <w:r>
        <w:t xml:space="preserve">applies recipes to</w:t>
      </w:r>
      <w:r>
        <w:t xml:space="preserve"> </w:t>
      </w:r>
      <w:r>
        <w:t xml:space="preserve">your project. No separate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to wire up.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Recipes are reusable artifacts</w:t>
      </w:r>
      <w:r>
        <w:t xml:space="preserve"> </w:t>
      </w:r>
      <w:r>
        <w:t xml:space="preserve">— write one, run it here, run it</w:t>
      </w:r>
      <w:r>
        <w:t xml:space="preserve"> </w:t>
      </w:r>
      <w:r>
        <w:t xml:space="preserve">on another codebase later, publish it for the community.</w:t>
      </w:r>
    </w:p>
    <w:bookmarkStart w:id="33" w:name="trade-offs-1"/>
    <w:p>
      <w:pPr>
        <w:pStyle w:val="Heading3"/>
      </w:pPr>
      <w:r>
        <w:t xml:space="preserve">Trade-offs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More to learn.</w:t>
      </w:r>
      <w:r>
        <w:t xml:space="preserve"> </w:t>
      </w:r>
      <w:r>
        <w:t xml:space="preserve">Recipes, visitors, the LST model — a small but</w:t>
      </w:r>
      <w:r>
        <w:t xml:space="preserve"> </w:t>
      </w:r>
      <w:r>
        <w:t xml:space="preserve">real conceptual surface area.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More dependencies.</w:t>
      </w:r>
      <w:r>
        <w:t xml:space="preserve"> </w:t>
      </w:r>
      <w:r>
        <w:t xml:space="preserve">Heavier toolkit; significant classpath</w:t>
      </w:r>
      <w:r>
        <w:t xml:space="preserve"> </w:t>
      </w:r>
      <w:r>
        <w:t xml:space="preserve">additions.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ecosystem skews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common refactorings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“</w:t>
      </w:r>
      <w:r>
        <w:t xml:space="preserve">Replace a</w:t>
      </w:r>
      <w:r>
        <w:t xml:space="preserve"> </w:t>
      </w:r>
      <w:r>
        <w:t xml:space="preserve">custom-annotated method body with an inlined service call</w:t>
      </w:r>
      <w:r>
        <w:t xml:space="preserve">”</w:t>
      </w:r>
      <w:r>
        <w:t xml:space="preserve"> </w:t>
      </w:r>
      <w:r>
        <w:t xml:space="preserve">is on</w:t>
      </w:r>
      <w:r>
        <w:t xml:space="preserve"> </w:t>
      </w:r>
      <w:r>
        <w:t xml:space="preserve">the niche end and you’d be writing a custom recipe anyway.</w:t>
      </w:r>
    </w:p>
    <w:bookmarkEnd w:id="33"/>
    <w:bookmarkStart w:id="34" w:name="when-to-pick-which"/>
    <w:p>
      <w:pPr>
        <w:pStyle w:val="Heading3"/>
      </w:pPr>
      <w:r>
        <w:t xml:space="preserve">When to pick which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JavaParser</w:t>
      </w:r>
      <w:r>
        <w:t xml:space="preserve"> </w:t>
      </w:r>
      <w:r>
        <w:t xml:space="preserve">for a one-shot where you’ll write the migration logic</w:t>
      </w:r>
      <w:r>
        <w:t xml:space="preserve"> </w:t>
      </w:r>
      <w:r>
        <w:t xml:space="preserve">once and throw it away. Less ceremony; you control everything. The</w:t>
      </w:r>
      <w:r>
        <w:t xml:space="preserve"> </w:t>
      </w:r>
      <w:r>
        <w:t xml:space="preserve">code in §3 is most of what you need.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OpenRewrite</w:t>
      </w:r>
      <w:r>
        <w:t xml:space="preserve"> </w:t>
      </w:r>
      <w:r>
        <w:t xml:space="preserve">for a team that’s going to do many such migrations —</w:t>
      </w:r>
      <w:r>
        <w:t xml:space="preserve"> </w:t>
      </w:r>
      <w:r>
        <w:t xml:space="preserve">deprecation campaigns, library upgrades, security backfills. The</w:t>
      </w:r>
      <w:r>
        <w:t xml:space="preserve"> </w:t>
      </w:r>
      <w:r>
        <w:t xml:space="preserve">upfront investment pays off across the second, third, and fourth</w:t>
      </w:r>
      <w:r>
        <w:t xml:space="preserve"> </w:t>
      </w:r>
      <w:r>
        <w:t xml:space="preserve">migration.</w:t>
      </w:r>
    </w:p>
    <w:p>
      <w:pPr>
        <w:pStyle w:val="FirstParagraph"/>
      </w:pPr>
      <w:r>
        <w:t xml:space="preserve">For a single annotation retirement,</w:t>
      </w:r>
      <w:r>
        <w:t xml:space="preserve"> </w:t>
      </w:r>
      <w:r>
        <w:rPr>
          <w:bCs/>
          <w:b/>
        </w:rPr>
        <w:t xml:space="preserve">JavaParser is probably the right</w:t>
      </w:r>
      <w:r>
        <w:rPr>
          <w:bCs/>
          <w:b/>
        </w:rPr>
        <w:t xml:space="preserve"> </w:t>
      </w:r>
      <w:r>
        <w:rPr>
          <w:bCs/>
          <w:b/>
        </w:rPr>
        <w:t xml:space="preserve">call.</w:t>
      </w:r>
    </w:p>
    <w:bookmarkEnd w:id="34"/>
    <w:bookmarkEnd w:id="35"/>
    <w:bookmarkStart w:id="37" w:name="a-sanity-check-pipeline"/>
    <w:p>
      <w:pPr>
        <w:pStyle w:val="Heading2"/>
      </w:pPr>
      <w:r>
        <w:t xml:space="preserve">10. A sanity-check pipeline</w:t>
      </w:r>
    </w:p>
    <w:p>
      <w:pPr>
        <w:pStyle w:val="FirstParagraph"/>
      </w:pPr>
      <w:r>
        <w:t xml:space="preserve">Run the migration in escalating stages: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Dry run on a single file.</w:t>
      </w:r>
      <w:r>
        <w:t xml:space="preserve"> </w:t>
      </w:r>
      <w:r>
        <w:t xml:space="preserve">Pick one with a representative mix of</w:t>
      </w:r>
      <w:r>
        <w:t xml:space="preserve"> </w:t>
      </w:r>
      <w:r>
        <w:rPr>
          <w:rStyle w:val="VerbatimChar"/>
        </w:rPr>
        <w:t xml:space="preserve">@ConfigLookup</w:t>
      </w:r>
      <w:r>
        <w:t xml:space="preserve"> </w:t>
      </w:r>
      <w:r>
        <w:t xml:space="preserve">variants: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return, typed return with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 = true</w:t>
      </w:r>
      <w:r>
        <w:t xml:space="preserve">, namespaced. Run with output to</w:t>
      </w:r>
      <w:r>
        <w:t xml:space="preserve"> </w:t>
      </w:r>
      <w:r>
        <w:t xml:space="preserve">stdout instead of disk. Eyeball the diff.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Dry run on 10 files.</w:t>
      </w:r>
      <w:r>
        <w:t xml:space="preserve"> </w:t>
      </w:r>
      <w:r>
        <w:t xml:space="preserve">Make sure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doesn’t mangle anything weird — files with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line endings,</w:t>
      </w:r>
      <w:r>
        <w:t xml:space="preserve"> </w:t>
      </w:r>
      <w:r>
        <w:t xml:space="preserve">tabs, unusual annotation placement, methods that already have</w:t>
      </w:r>
      <w:r>
        <w:t xml:space="preserve"> </w:t>
      </w:r>
      <w:r>
        <w:t xml:space="preserve">Javadoc.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Apply to a single package.</w:t>
      </w:r>
      <w:r>
        <w:t xml:space="preserve"> </w:t>
      </w:r>
      <w:r>
        <w:t xml:space="preserve">Commit to a feature branch. Run</w:t>
      </w:r>
      <w:r>
        <w:t xml:space="preserve"> </w:t>
      </w:r>
      <w:r>
        <w:rPr>
          <w:rStyle w:val="VerbatimChar"/>
        </w:rPr>
        <w:t xml:space="preserve">mvn compile</w:t>
      </w:r>
      <w:r>
        <w:t xml:space="preserve">. This catches:</w:t>
      </w:r>
    </w:p>
    <w:p>
      <w:pPr>
        <w:numPr>
          <w:ilvl w:val="1"/>
          <w:numId w:val="1014"/>
        </w:numPr>
        <w:pStyle w:val="Compact"/>
      </w:pPr>
      <w:r>
        <w:t xml:space="preserve">Import conflicts (two classes with the same simple name).</w:t>
      </w:r>
    </w:p>
    <w:p>
      <w:pPr>
        <w:numPr>
          <w:ilvl w:val="1"/>
          <w:numId w:val="1014"/>
        </w:numPr>
        <w:pStyle w:val="Compact"/>
      </w:pPr>
      <w:r>
        <w:t xml:space="preserve">Classes where the migration’s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field clashed with an</w:t>
      </w:r>
      <w:r>
        <w:t xml:space="preserve"> </w:t>
      </w:r>
      <w:r>
        <w:t xml:space="preserve">existing field of the same name and different type.</w:t>
      </w:r>
    </w:p>
    <w:p>
      <w:pPr>
        <w:numPr>
          <w:ilvl w:val="1"/>
          <w:numId w:val="1014"/>
        </w:numPr>
        <w:pStyle w:val="Compact"/>
      </w:pPr>
      <w:r>
        <w:t xml:space="preserve">Files that parsed successfully but produced invalid output (rare,</w:t>
      </w:r>
      <w:r>
        <w:t xml:space="preserve"> </w:t>
      </w:r>
      <w:r>
        <w:t xml:space="preserve">but happens — JavaParser can accept edge cases that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rejects).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Apply to all candidates.</w:t>
      </w:r>
      <w:r>
        <w:t xml:space="preserve"> </w:t>
      </w:r>
      <w:r>
        <w:t xml:space="preserve">Single commit, big diff, review by</w:t>
      </w:r>
      <w:r>
        <w:t xml:space="preserve"> </w:t>
      </w:r>
      <w:r>
        <w:t xml:space="preserve">directory.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Compile, run the full test suite.</w:t>
      </w:r>
      <w:r>
        <w:t xml:space="preserve"> </w:t>
      </w:r>
      <w:r>
        <w:t xml:space="preserve">Pay particular attention to</w:t>
      </w:r>
      <w:r>
        <w:t xml:space="preserve"> </w:t>
      </w:r>
      <w:r>
        <w:t xml:space="preserve">any test that previously exercised self-invocation through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on an annotated method — that path now returns a real value rather</w:t>
      </w:r>
      <w:r>
        <w:t xml:space="preserve"> </w:t>
      </w:r>
      <w:r>
        <w:t xml:space="preserve">than the placeholder.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compile after applying</w:t>
      </w:r>
      <w:r>
        <w:t xml:space="preserve">”</w:t>
      </w:r>
      <w:r>
        <w:t xml:space="preserve"> </w:t>
      </w:r>
      <w:r>
        <w:t xml:space="preserve">step usually catches the small number of</w:t>
      </w:r>
      <w:r>
        <w:t xml:space="preserve"> </w:t>
      </w:r>
      <w:r>
        <w:t xml:space="preserve">files where the migration goes wrong. Those are then either fixed</w:t>
      </w:r>
      <w:r>
        <w:t xml:space="preserve"> </w:t>
      </w:r>
      <w:r>
        <w:t xml:space="preserve">manually or by refining the predicate and re-running.</w:t>
      </w:r>
    </w:p>
    <w:bookmarkStart w:id="36" w:name="logging-to-plan-for"/>
    <w:p>
      <w:pPr>
        <w:pStyle w:val="Heading3"/>
      </w:pPr>
      <w:r>
        <w:t xml:space="preserve">Logging to plan for</w:t>
      </w:r>
    </w:p>
    <w:p>
      <w:pPr>
        <w:pStyle w:val="FirstParagraph"/>
      </w:pPr>
      <w:r>
        <w:t xml:space="preserve">The migration tool should log enough that you can audit it after the</w:t>
      </w:r>
      <w:r>
        <w:t xml:space="preserve"> </w:t>
      </w:r>
      <w:r>
        <w:t xml:space="preserve">fact: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Files considered</w:t>
      </w:r>
      <w:r>
        <w:t xml:space="preserve"> </w:t>
      </w:r>
      <w:r>
        <w:t xml:space="preserve">(post-pre-scan filter).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Files modified</w:t>
      </w:r>
      <w:r>
        <w:t xml:space="preserve"> </w:t>
      </w:r>
      <w:r>
        <w:t xml:space="preserve">(the ones that actually had methods rewritten).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Methods rewritten per file</w:t>
      </w:r>
      <w:r>
        <w:t xml:space="preserve"> </w:t>
      </w:r>
      <w:r>
        <w:t xml:space="preserve">(one line each: class + method +</w:t>
      </w:r>
      <w:r>
        <w:t xml:space="preserve"> </w:t>
      </w:r>
      <w:r>
        <w:t xml:space="preserve">variant).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Files skipped because already inlined</w:t>
      </w:r>
      <w:r>
        <w:t xml:space="preserve"> </w:t>
      </w:r>
      <w:r>
        <w:t xml:space="preserve">(the idempotency path).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Files that failed to parse or threw.</w:t>
      </w:r>
    </w:p>
    <w:p>
      <w:pPr>
        <w:pStyle w:val="FirstParagraph"/>
      </w:pPr>
      <w:r>
        <w:t xml:space="preserve">A summary line at the end (</w:t>
      </w:r>
      <w:r>
        <w:t xml:space="preserve">“</w:t>
      </w:r>
      <w:r>
        <w:t xml:space="preserve">Modified 142 of 156 candidate files; 14</w:t>
      </w:r>
      <w:r>
        <w:t xml:space="preserve"> </w:t>
      </w:r>
      <w:r>
        <w:t xml:space="preserve">skipped as already-inlined; 0 errors; 218 methods inlined</w:t>
      </w:r>
      <w:r>
        <w:t xml:space="preserve">”</w:t>
      </w:r>
      <w:r>
        <w:t xml:space="preserve">) gives you</w:t>
      </w:r>
      <w:r>
        <w:t xml:space="preserve"> </w:t>
      </w:r>
      <w:r>
        <w:t xml:space="preserve">the confidence to merge.</w:t>
      </w:r>
    </w:p>
    <w:bookmarkEnd w:id="36"/>
    <w:bookmarkEnd w:id="37"/>
    <w:bookmarkStart w:id="38" w:name="a-nudge-on-the-inlined-body-shape"/>
    <w:p>
      <w:pPr>
        <w:pStyle w:val="Heading2"/>
      </w:pPr>
      <w:r>
        <w:t xml:space="preserve">11. A nudge on the inlined-body shape</w:t>
      </w:r>
    </w:p>
    <w:p>
      <w:pPr>
        <w:pStyle w:val="FirstParagraph"/>
      </w:pPr>
      <w:r>
        <w:t xml:space="preserve">There are four orthogonal axes for the inlined body: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Return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falls through to</w:t>
      </w:r>
      <w:r>
        <w:t xml:space="preserve"> </w:t>
      </w:r>
      <w:r>
        <w:rPr>
          <w:rStyle w:val="VerbatimChar"/>
        </w:rPr>
        <w:t xml:space="preserve">lookup(key)</w:t>
      </w:r>
      <w:r>
        <w:t xml:space="preserve">; numeric</w:t>
      </w:r>
      <w:r>
        <w:t xml:space="preserve"> </w:t>
      </w:r>
      <w:r>
        <w:t xml:space="preserve">and boolean types have typed convenience methods on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lookupInt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lookupDouble</w:t>
      </w:r>
      <w:r>
        <w:t xml:space="preserve">) but they only exist in the form</w:t>
      </w:r>
      <w:r>
        <w:t xml:space="preserve"> </w:t>
      </w:r>
      <w:r>
        <w:rPr>
          <w:rStyle w:val="VerbatimChar"/>
        </w:rPr>
        <w:t xml:space="preserve">(key, defaultValue)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lookupInt(key)</w:t>
      </w:r>
      <w:r>
        <w:t xml:space="preserve"> </w:t>
      </w:r>
      <w:r>
        <w:t xml:space="preserve">with no</w:t>
      </w:r>
      <w:r>
        <w:t xml:space="preserve"> </w:t>
      </w:r>
      <w:r>
        <w:t xml:space="preserve">default. So if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 </w:t>
      </w:r>
      <w:r>
        <w:t xml:space="preserve">is empty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return type is</w:t>
      </w:r>
      <w:r>
        <w:t xml:space="preserve"> </w:t>
      </w:r>
      <w:r>
        <w:t xml:space="preserve">primitive, you fall back to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Integer.parseInt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defaultValue</w:t>
      </w:r>
      <w:r>
        <w:rPr>
          <w:bCs/>
          <w:b/>
        </w:rPr>
        <w:t xml:space="preserve"> </w:t>
      </w:r>
      <w:r>
        <w:rPr>
          <w:bCs/>
          <w:b/>
        </w:rPr>
        <w:t xml:space="preserve">present</w:t>
      </w:r>
      <w:r>
        <w:t xml:space="preserve"> </w:t>
      </w:r>
      <w:r>
        <w:t xml:space="preserve">— use the typed convenience method when</w:t>
      </w:r>
      <w:r>
        <w:t xml:space="preserve"> </w:t>
      </w:r>
      <w:r>
        <w:t xml:space="preserve">available; otherwise emit a null-check that returns the parsed</w:t>
      </w:r>
      <w:r>
        <w:t xml:space="preserve"> </w:t>
      </w:r>
      <w:r>
        <w:t xml:space="preserve">default.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required = true</w:t>
      </w:r>
      <w:r>
        <w:t xml:space="preserve"> </w:t>
      </w:r>
      <w:r>
        <w:t xml:space="preserve">— emit a null-check that throws</w:t>
      </w:r>
      <w:r>
        <w:t xml:space="preserve"> </w:t>
      </w:r>
      <w:r>
        <w:rPr>
          <w:rStyle w:val="VerbatimChar"/>
        </w:rPr>
        <w:t xml:space="preserve">ConfigKeyMissingException(key, namespace)</w:t>
      </w:r>
      <w:r>
        <w:t xml:space="preserve">. The exception type is</w:t>
      </w:r>
      <w:r>
        <w:t xml:space="preserve"> </w:t>
      </w:r>
      <w:r>
        <w:t xml:space="preserve">already in the codebase; just import it.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namespace</w:t>
      </w:r>
      <w:r>
        <w:rPr>
          <w:bCs/>
          <w:b/>
        </w:rP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— switch from</w:t>
      </w:r>
      <w:r>
        <w:t xml:space="preserve"> </w:t>
      </w:r>
      <w:r>
        <w:rPr>
          <w:rStyle w:val="VerbatimChar"/>
        </w:rPr>
        <w:t xml:space="preserve">lookup(...)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lookupNamespaced(...)</w:t>
      </w:r>
      <w:r>
        <w:t xml:space="preserve">. (Note: the aspect calls</w:t>
      </w:r>
      <w:r>
        <w:t xml:space="preserve"> </w:t>
      </w:r>
      <w:r>
        <w:rPr>
          <w:rStyle w:val="VerbatimChar"/>
        </w:rPr>
        <w:t xml:space="preserve">configurationService.lookup(namespace, key)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has no such overload — the correct</w:t>
      </w:r>
      <w:r>
        <w:t xml:space="preserve"> </w:t>
      </w:r>
      <w:r>
        <w:t xml:space="preserve">method name is</w:t>
      </w:r>
      <w:r>
        <w:t xml:space="preserve"> </w:t>
      </w:r>
      <w:r>
        <w:rPr>
          <w:rStyle w:val="VerbatimChar"/>
        </w:rPr>
        <w:t xml:space="preserve">lookupNamespaced</w:t>
      </w:r>
      <w:r>
        <w:t xml:space="preserve">. The aspect as currently written</w:t>
      </w:r>
      <w:r>
        <w:t xml:space="preserve"> </w:t>
      </w:r>
      <w:r>
        <w:t xml:space="preserve">wouldn’t compile against the real service; the migration emits the</w:t>
      </w:r>
      <w:r>
        <w:t xml:space="preserve"> </w:t>
      </w:r>
      <w:r>
        <w:t xml:space="preserve">right call regardless.)</w:t>
      </w:r>
    </w:p>
    <w:p>
      <w:pPr>
        <w:pStyle w:val="FirstParagraph"/>
      </w:pPr>
      <w:r>
        <w:t xml:space="preserve">The eight combinations collapse into two body templates:</w:t>
      </w:r>
    </w:p>
    <w:p>
      <w:pPr>
        <w:pStyle w:val="BodyText"/>
      </w:pPr>
      <w:r>
        <w:rPr>
          <w:bCs/>
          <w:b/>
        </w:rPr>
        <w:t xml:space="preserve">Typed convenience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/</w:t>
      </w:r>
      <w:r>
        <w:rPr>
          <w:rStyle w:val="VerbatimChar"/>
        </w:rPr>
        <w:t xml:space="preserve">long</w:t>
      </w:r>
      <w:r>
        <w:t xml:space="preserve">/</w:t>
      </w:r>
      <w:r>
        <w:rPr>
          <w:rStyle w:val="VerbatimChar"/>
        </w:rPr>
        <w:t xml:space="preserve">boolean</w:t>
      </w:r>
      <w:r>
        <w:t xml:space="preserve">/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siteConfigurationService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or, namespaced: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siteConfigurationService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Generic path</w:t>
      </w:r>
      <w:r>
        <w:t xml:space="preserve"> </w:t>
      </w:r>
      <w:r>
        <w:t xml:space="preserve">(everything else —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no-default primitives,</w:t>
      </w:r>
      <w:r>
        <w:t xml:space="preserve"> </w:t>
      </w:r>
      <w:r>
        <w:rPr>
          <w:rStyle w:val="VerbatimChar"/>
        </w:rPr>
        <w:t xml:space="preserve">required = true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siteConfigurationService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"db.password"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ConfigKeyMissingException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Whatever you put in those bodies is going to live in the codebase as</w:t>
      </w:r>
      <w:r>
        <w:t xml:space="preserve"> </w:t>
      </w:r>
      <w:r>
        <w:t xml:space="preserve">the canonical example of</w:t>
      </w:r>
      <w:r>
        <w:t xml:space="preserve"> </w:t>
      </w:r>
      <w:r>
        <w:t xml:space="preserve">“</w:t>
      </w:r>
      <w:r>
        <w:t xml:space="preserve">how do I read a config value?</w:t>
      </w:r>
      <w:r>
        <w:t xml:space="preserve">”</w:t>
      </w:r>
      <w:r>
        <w:t xml:space="preserve"> </w:t>
      </w:r>
      <w:r>
        <w:t xml:space="preserve">for a long</w:t>
      </w:r>
      <w:r>
        <w:t xml:space="preserve"> </w:t>
      </w:r>
      <w:r>
        <w:t xml:space="preserve">time. Be deliberate about it:</w:t>
      </w:r>
    </w:p>
    <w:p>
      <w:pPr>
        <w:numPr>
          <w:ilvl w:val="0"/>
          <w:numId w:val="1017"/>
        </w:numPr>
        <w:pStyle w:val="Compact"/>
      </w:pPr>
      <w:r>
        <w:t xml:space="preserve">Variable name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is fine, but it appears in many files — pick</w:t>
      </w:r>
      <w:r>
        <w:t xml:space="preserve"> </w:t>
      </w:r>
      <w:r>
        <w:t xml:space="preserve">something self-explanatory at a glance.</w:t>
      </w:r>
    </w:p>
    <w:p>
      <w:pPr>
        <w:numPr>
          <w:ilvl w:val="0"/>
          <w:numId w:val="1017"/>
        </w:numPr>
        <w:pStyle w:val="Compact"/>
      </w:pPr>
      <w:r>
        <w:t xml:space="preserve">Don’t smuggle in extra responsibilities (logging, caching, fallback</w:t>
      </w:r>
      <w:r>
        <w:t xml:space="preserve"> </w:t>
      </w:r>
      <w:r>
        <w:t xml:space="preserve">chains). The point of the migration is that the new body reads like</w:t>
      </w:r>
      <w:r>
        <w:t xml:space="preserve"> </w:t>
      </w:r>
      <w:r>
        <w:t xml:space="preserve">hand-written code; if it grows beyond a few lines, your team will</w:t>
      </w:r>
      <w:r>
        <w:t xml:space="preserve"> </w:t>
      </w:r>
      <w:r>
        <w:t xml:space="preserve">start hand-writing it differently and the canonical form decays.</w:t>
      </w:r>
    </w:p>
    <w:p>
      <w:pPr>
        <w:numPr>
          <w:ilvl w:val="0"/>
          <w:numId w:val="1017"/>
        </w:numPr>
        <w:pStyle w:val="Compact"/>
      </w:pPr>
      <w:r>
        <w:t xml:space="preserve">If you find you want to centralize the</w:t>
      </w:r>
      <w:r>
        <w:t xml:space="preserve"> </w:t>
      </w:r>
      <w:r>
        <w:t xml:space="preserve">“</w:t>
      </w:r>
      <w:r>
        <w:t xml:space="preserve">lookup-or-throw</w:t>
      </w:r>
      <w:r>
        <w:t xml:space="preserve">”</w:t>
      </w:r>
      <w:r>
        <w:t xml:space="preserve"> </w:t>
      </w:r>
      <w:r>
        <w:t xml:space="preserve">pattern,</w:t>
      </w:r>
      <w:r>
        <w:t xml:space="preserve"> </w:t>
      </w:r>
      <w:r>
        <w:t xml:space="preserve">put it on</w:t>
      </w:r>
      <w:r>
        <w:t xml:space="preserve"> </w:t>
      </w:r>
      <w:r>
        <w:rPr>
          <w:rStyle w:val="VerbatimChar"/>
        </w:rPr>
        <w:t xml:space="preserve">SiteConfigurationService</w:t>
      </w:r>
      <w:r>
        <w:t xml:space="preserve"> </w:t>
      </w:r>
      <w:r>
        <w:t xml:space="preserve">itself as</w:t>
      </w:r>
      <w:r>
        <w:t xml:space="preserve"> </w:t>
      </w:r>
      <w:r>
        <w:rPr>
          <w:rStyle w:val="VerbatimChar"/>
        </w:rPr>
        <w:t xml:space="preserve">lookupRequired(key)</w:t>
      </w:r>
      <w:r>
        <w:t xml:space="preserve"> </w:t>
      </w:r>
      <w:r>
        <w:t xml:space="preserve">and have the migration emit a call to that</w:t>
      </w:r>
      <w:r>
        <w:t xml:space="preserve"> </w:t>
      </w:r>
      <w:r>
        <w:t xml:space="preserve">instead. That’s a sharper boundary than burying the null-check in</w:t>
      </w:r>
      <w:r>
        <w:t xml:space="preserve"> </w:t>
      </w:r>
      <w:r>
        <w:t xml:space="preserve">every method.</w:t>
      </w:r>
    </w:p>
    <w:p>
      <w:pPr>
        <w:pStyle w:val="FirstParagraph"/>
      </w:pPr>
      <w:r>
        <w:rPr>
          <w:iCs/>
          <w:i/>
        </w:rPr>
        <w:t xml:space="preserve">End of guide.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2026-05-26T12:46:25Z</dcterms:created>
  <dcterms:modified xsi:type="dcterms:W3CDTF">2026-05-26T12:46:25Z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