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120" w:before="400"/>
      </w:pPr>
      <w:r>
        <w:rPr>
          <w:rFonts w:ascii="Calibri" w:cs="Calibri" w:eastAsia="Calibri" w:hAnsi="Calibri"/>
          <w:b/>
          <w:bCs/>
          <w:color w:val="000000"/>
          <w:sz w:val="32"/>
          <w:szCs w:val="32"/>
        </w:rPr>
        <w:t xml:space="preserve">BPC-157 — Subcutaneous Injection Instructions</w:t>
      </w:r>
    </w:p>
    <w:p>
      <w:pPr>
        <w:spacing w:after="60"/>
      </w:pPr>
    </w:p>
    <w:p>
      <w:pPr>
        <w:pBdr>
          <w:top w:val="single" w:color="8B6F47" w:sz="1"/>
          <w:bottom w:val="single" w:color="8B6F47" w:sz="1"/>
          <w:left w:val="single" w:color="8B6F47" w:sz="4"/>
          <w:right w:val="single" w:color="8B6F47" w:sz="1"/>
        </w:pBdr>
        <w:shd w:fill="FFF3CD" w:val="clear"/>
        <w:spacing w:after="200" w:before="200"/>
      </w:pPr>
      <w:r>
        <w:rPr>
          <w:rFonts w:ascii="Calibri" w:cs="Calibri" w:eastAsia="Calibri" w:hAnsi="Calibri"/>
          <w:i/>
          <w:iCs/>
          <w:color w:val="5A4A2A"/>
          <w:sz w:val="20"/>
          <w:szCs w:val="20"/>
        </w:rPr>
        <w:t xml:space="preserve">**NOT CURRENTLY OPERATIVE** — This protocol is a future-state document. Bloom Metabolics does not currently dispense BPC-157. This protocol becomes operative only after ALL of the following conditions are met: (1) LegitScript Healthcare Merchant Certification is obtained, (2) SP Bio Labs achieves 503A licensure for BPC-157 OR an alternative compliant compounding pharmacy partner is engaged, AND (3) the Covering Physician approves this protocol for clinical use. Until those conditions are satisfied, this document has no governing authority and no patient shall be provided BPC-157 or directed to these instructions.</w:t>
      </w:r>
    </w:p>
    <w:p>
      <w:pPr>
        <w:spacing w:after="60"/>
      </w:pPr>
    </w:p>
    <w:p>
      <w:pPr>
        <w:pBdr>
          <w:top w:val="single" w:color="8B6F47" w:sz="1"/>
          <w:bottom w:val="single" w:color="8B6F47" w:sz="1"/>
          <w:left w:val="single" w:color="8B6F47" w:sz="4"/>
          <w:right w:val="single" w:color="8B6F47" w:sz="1"/>
        </w:pBdr>
        <w:shd w:fill="FFF3CD" w:val="clear"/>
        <w:spacing w:after="200" w:before="200"/>
      </w:pPr>
      <w:r>
        <w:rPr>
          <w:rFonts w:ascii="Calibri" w:cs="Calibri" w:eastAsia="Calibri" w:hAnsi="Calibri"/>
          <w:i/>
          <w:iCs/>
          <w:color w:val="5A4A2A"/>
          <w:sz w:val="20"/>
          <w:szCs w:val="20"/>
        </w:rPr>
        <w:t xml:space="preserve">**PROVISIONAL CLINICAL CONTENT** — When this protocol becomes operative, it will enter Provisional status pending full clinical review within 180 days per SOP-001 §5.6. The clinical parameters below are drafted using current evidence-based defaults and are subject to Covering Physician modification.</w:t>
      </w:r>
    </w:p>
    <w:p>
      <w:pPr>
        <w:spacing w:after="60"/>
      </w:pPr>
    </w:p>
    <w:p>
      <w:pPr>
        <w:spacing w:after="80" w:line="276"/>
      </w:pPr>
      <w:r>
        <w:rPr>
          <w:rFonts w:ascii="Calibri" w:cs="Calibri" w:eastAsia="Calibri" w:hAnsi="Calibri"/>
          <w:b/>
          <w:bCs/>
          <w:color w:val="000000"/>
          <w:sz w:val="21"/>
          <w:szCs w:val="21"/>
        </w:rPr>
        <w:t xml:space="preserve">Protocol ID:</w:t>
      </w:r>
      <w:r>
        <w:rPr>
          <w:rFonts w:ascii="Calibri" w:cs="Calibri" w:eastAsia="Calibri" w:hAnsi="Calibri"/>
          <w:color w:val="000000"/>
          <w:sz w:val="21"/>
          <w:szCs w:val="21"/>
        </w:rPr>
        <w:t xml:space="preserve"> Protocol-004</w:t>
      </w:r>
    </w:p>
    <w:p>
      <w:pPr>
        <w:spacing w:after="80" w:line="276"/>
      </w:pPr>
      <w:r>
        <w:rPr>
          <w:rFonts w:ascii="Calibri" w:cs="Calibri" w:eastAsia="Calibri" w:hAnsi="Calibri"/>
          <w:b/>
          <w:bCs/>
          <w:color w:val="000000"/>
          <w:sz w:val="21"/>
          <w:szCs w:val="21"/>
        </w:rPr>
        <w:t xml:space="preserve">Medication:</w:t>
      </w:r>
      <w:r>
        <w:rPr>
          <w:rFonts w:ascii="Calibri" w:cs="Calibri" w:eastAsia="Calibri" w:hAnsi="Calibri"/>
          <w:color w:val="000000"/>
          <w:sz w:val="21"/>
          <w:szCs w:val="21"/>
        </w:rPr>
        <w:t xml:space="preserve"> BPC-157 (Body Protection Compound-157)</w:t>
      </w:r>
    </w:p>
    <w:p>
      <w:pPr>
        <w:spacing w:after="80" w:line="276"/>
      </w:pPr>
      <w:r>
        <w:rPr>
          <w:rFonts w:ascii="Calibri" w:cs="Calibri" w:eastAsia="Calibri" w:hAnsi="Calibri"/>
          <w:b/>
          <w:bCs/>
          <w:color w:val="000000"/>
          <w:sz w:val="21"/>
          <w:szCs w:val="21"/>
        </w:rPr>
        <w:t xml:space="preserve">Route:</w:t>
      </w:r>
      <w:r>
        <w:rPr>
          <w:rFonts w:ascii="Calibri" w:cs="Calibri" w:eastAsia="Calibri" w:hAnsi="Calibri"/>
          <w:color w:val="000000"/>
          <w:sz w:val="21"/>
          <w:szCs w:val="21"/>
        </w:rPr>
        <w:t xml:space="preserve"> Subcutaneous (SubQ)</w:t>
      </w:r>
    </w:p>
    <w:p>
      <w:pPr>
        <w:spacing w:after="80" w:line="276"/>
      </w:pPr>
      <w:r>
        <w:rPr>
          <w:rFonts w:ascii="Calibri" w:cs="Calibri" w:eastAsia="Calibri" w:hAnsi="Calibri"/>
          <w:b/>
          <w:bCs/>
          <w:color w:val="000000"/>
          <w:sz w:val="21"/>
          <w:szCs w:val="21"/>
        </w:rPr>
        <w:t xml:space="preserve">Version:</w:t>
      </w:r>
      <w:r>
        <w:rPr>
          <w:rFonts w:ascii="Calibri" w:cs="Calibri" w:eastAsia="Calibri" w:hAnsi="Calibri"/>
          <w:color w:val="000000"/>
          <w:sz w:val="21"/>
          <w:szCs w:val="21"/>
        </w:rPr>
        <w:t xml:space="preserve"> 0.1</w:t>
      </w:r>
    </w:p>
    <w:p>
      <w:pPr>
        <w:spacing w:after="80" w:line="276"/>
      </w:pPr>
      <w:r>
        <w:rPr>
          <w:rFonts w:ascii="Calibri" w:cs="Calibri" w:eastAsia="Calibri" w:hAnsi="Calibri"/>
          <w:b/>
          <w:bCs/>
          <w:color w:val="000000"/>
          <w:sz w:val="21"/>
          <w:szCs w:val="21"/>
        </w:rPr>
        <w:t xml:space="preserve">Effective Date:</w:t>
      </w:r>
      <w:r>
        <w:rPr>
          <w:rFonts w:ascii="Calibri" w:cs="Calibri" w:eastAsia="Calibri" w:hAnsi="Calibri"/>
          <w:color w:val="000000"/>
          <w:sz w:val="21"/>
          <w:szCs w:val="21"/>
        </w:rPr>
        <w:t xml:space="preserve"> TBD (post-LegitScript certification)</w:t>
      </w:r>
    </w:p>
    <w:p>
      <w:pPr>
        <w:spacing w:after="80" w:line="276"/>
      </w:pPr>
      <w:r>
        <w:rPr>
          <w:rFonts w:ascii="Calibri" w:cs="Calibri" w:eastAsia="Calibri" w:hAnsi="Calibri"/>
          <w:b/>
          <w:bCs/>
          <w:color w:val="000000"/>
          <w:sz w:val="21"/>
          <w:szCs w:val="21"/>
        </w:rPr>
        <w:t xml:space="preserve">Reviewed by:</w:t>
      </w:r>
      <w:r>
        <w:rPr>
          <w:rFonts w:ascii="Calibri" w:cs="Calibri" w:eastAsia="Calibri" w:hAnsi="Calibri"/>
          <w:color w:val="000000"/>
          <w:sz w:val="21"/>
          <w:szCs w:val="21"/>
        </w:rPr>
        <w:t xml:space="preserve"> Pending Covering Physician Review</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Regulatory Note</w:t>
      </w:r>
    </w:p>
    <w:p>
      <w:pPr>
        <w:spacing w:after="60"/>
      </w:pPr>
    </w:p>
    <w:p>
      <w:pPr>
        <w:spacing w:after="80" w:line="276"/>
      </w:pPr>
      <w:r>
        <w:rPr>
          <w:rFonts w:ascii="Calibri" w:cs="Calibri" w:eastAsia="Calibri" w:hAnsi="Calibri"/>
          <w:color w:val="000000"/>
          <w:sz w:val="21"/>
          <w:szCs w:val="21"/>
        </w:rPr>
        <w:t xml:space="preserve">The peptide therapy compounding regulatory landscape is evolving. BPC-157 is currently subject to FDA enforcement discretion regarding compounding eligibility. This protocol will be revised when:</w:t>
      </w:r>
    </w:p>
    <w:p>
      <w:pPr>
        <w:spacing w:after="60"/>
      </w:pPr>
    </w:p>
    <w:p>
      <w:pPr>
        <w:spacing w:after="40" w:line="276"/>
        <w:ind w:left="360"/>
      </w:pPr>
      <w:r>
        <w:rPr>
          <w:rFonts w:ascii="Calibri" w:cs="Calibri" w:eastAsia="Calibri" w:hAnsi="Calibri"/>
          <w:color w:val="000000"/>
          <w:sz w:val="21"/>
          <w:szCs w:val="21"/>
        </w:rPr>
        <w:t xml:space="preserve">• SP Bio Labs obtains 503A licensure specifically covering BPC-157 compounding, OR</w:t>
      </w:r>
    </w:p>
    <w:p>
      <w:pPr>
        <w:spacing w:after="40" w:line="276"/>
        <w:ind w:left="360"/>
      </w:pPr>
      <w:r>
        <w:rPr>
          <w:rFonts w:ascii="Calibri" w:cs="Calibri" w:eastAsia="Calibri" w:hAnsi="Calibri"/>
          <w:color w:val="000000"/>
          <w:sz w:val="21"/>
          <w:szCs w:val="21"/>
        </w:rPr>
        <w:t xml:space="preserve">• An alternative FDA-registered compounding pharmacy partner capable of legally compounding BPC-157 is engaged</w:t>
      </w:r>
    </w:p>
    <w:p>
      <w:pPr>
        <w:spacing w:after="40" w:line="276"/>
        <w:ind w:left="360"/>
      </w:pPr>
      <w:r>
        <w:rPr>
          <w:rFonts w:ascii="Calibri" w:cs="Calibri" w:eastAsia="Calibri" w:hAnsi="Calibri"/>
          <w:color w:val="000000"/>
          <w:sz w:val="21"/>
          <w:szCs w:val="21"/>
        </w:rPr>
        <w:t xml:space="preserve">• LegitScript Healthcare Merchant Certification is obtained for Bloom Metabolics</w:t>
      </w:r>
    </w:p>
    <w:p>
      <w:pPr>
        <w:spacing w:after="40" w:line="276"/>
        <w:ind w:left="360"/>
      </w:pPr>
      <w:r>
        <w:rPr>
          <w:rFonts w:ascii="Calibri" w:cs="Calibri" w:eastAsia="Calibri" w:hAnsi="Calibri"/>
          <w:color w:val="000000"/>
          <w:sz w:val="21"/>
          <w:szCs w:val="21"/>
        </w:rPr>
        <w:t xml:space="preserve">• The Covering Physician reviews and approves the clinical content of this protocol</w:t>
      </w:r>
    </w:p>
    <w:p>
      <w:pPr>
        <w:spacing w:after="60"/>
      </w:pPr>
    </w:p>
    <w:p>
      <w:pPr>
        <w:spacing w:after="80" w:line="276"/>
      </w:pPr>
      <w:r>
        <w:rPr>
          <w:rFonts w:ascii="Calibri" w:cs="Calibri" w:eastAsia="Calibri" w:hAnsi="Calibri"/>
          <w:color w:val="000000"/>
          <w:sz w:val="21"/>
          <w:szCs w:val="21"/>
        </w:rPr>
        <w:t xml:space="preserve">The MSO Owner monitors the regulatory environment and will initiate protocol activation when all prerequisites are met.</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Before You Begin</w:t>
      </w:r>
    </w:p>
    <w:p>
      <w:pPr>
        <w:spacing w:after="60"/>
      </w:pPr>
    </w:p>
    <w:p>
      <w:pPr>
        <w:spacing w:after="80" w:line="276"/>
      </w:pPr>
      <w:r>
        <w:rPr>
          <w:rFonts w:ascii="Calibri" w:cs="Calibri" w:eastAsia="Calibri" w:hAnsi="Calibri"/>
          <w:color w:val="000000"/>
          <w:sz w:val="21"/>
          <w:szCs w:val="21"/>
        </w:rPr>
        <w:t xml:space="preserve">Gather the following supplies before starting:</w:t>
      </w:r>
    </w:p>
    <w:p>
      <w:pPr>
        <w:spacing w:after="60"/>
      </w:pPr>
    </w:p>
    <w:p>
      <w:pPr>
        <w:spacing w:after="40" w:line="276"/>
        <w:ind w:left="360"/>
      </w:pPr>
      <w:r>
        <w:rPr>
          <w:rFonts w:ascii="Calibri" w:cs="Calibri" w:eastAsia="Calibri" w:hAnsi="Calibri"/>
          <w:color w:val="000000"/>
          <w:sz w:val="21"/>
          <w:szCs w:val="21"/>
        </w:rPr>
        <w:t xml:space="preserve">☐ BPC-157 vial (reconstituted — check expiration date and reconstitution date)</w:t>
      </w:r>
    </w:p>
    <w:p>
      <w:pPr>
        <w:spacing w:after="40" w:line="276"/>
        <w:ind w:left="360"/>
      </w:pPr>
      <w:r>
        <w:rPr>
          <w:rFonts w:ascii="Calibri" w:cs="Calibri" w:eastAsia="Calibri" w:hAnsi="Calibri"/>
          <w:color w:val="000000"/>
          <w:sz w:val="21"/>
          <w:szCs w:val="21"/>
        </w:rPr>
        <w:t xml:space="preserve">☐ Insulin syringe: **29-gauge to 31-gauge, 5/16" (8mm), 0.5mL or 1mL barrel**</w:t>
      </w:r>
    </w:p>
    <w:p>
      <w:pPr>
        <w:spacing w:after="40" w:line="276"/>
        <w:ind w:left="360"/>
      </w:pPr>
      <w:r>
        <w:rPr>
          <w:rFonts w:ascii="Calibri" w:cs="Calibri" w:eastAsia="Calibri" w:hAnsi="Calibri"/>
          <w:color w:val="000000"/>
          <w:sz w:val="21"/>
          <w:szCs w:val="21"/>
        </w:rPr>
        <w:t xml:space="preserve">☐ Alcohol swabs (2 — one for the vial top, one for the injection site)</w:t>
      </w:r>
    </w:p>
    <w:p>
      <w:pPr>
        <w:spacing w:after="40" w:line="276"/>
        <w:ind w:left="360"/>
      </w:pPr>
      <w:r>
        <w:rPr>
          <w:rFonts w:ascii="Calibri" w:cs="Calibri" w:eastAsia="Calibri" w:hAnsi="Calibri"/>
          <w:color w:val="000000"/>
          <w:sz w:val="21"/>
          <w:szCs w:val="21"/>
        </w:rPr>
        <w:t xml:space="preserve">☐ Sterile gauze pad</w:t>
      </w:r>
    </w:p>
    <w:p>
      <w:pPr>
        <w:spacing w:after="40" w:line="276"/>
        <w:ind w:left="360"/>
      </w:pPr>
      <w:r>
        <w:rPr>
          <w:rFonts w:ascii="Calibri" w:cs="Calibri" w:eastAsia="Calibri" w:hAnsi="Calibri"/>
          <w:color w:val="000000"/>
          <w:sz w:val="21"/>
          <w:szCs w:val="21"/>
        </w:rPr>
        <w:t xml:space="preserve">☐ FDA-cleared sharps container</w:t>
      </w:r>
    </w:p>
    <w:p>
      <w:pPr>
        <w:spacing w:after="40" w:line="276"/>
        <w:ind w:left="360"/>
      </w:pPr>
      <w:r>
        <w:rPr>
          <w:rFonts w:ascii="Calibri" w:cs="Calibri" w:eastAsia="Calibri" w:hAnsi="Calibri"/>
          <w:color w:val="000000"/>
          <w:sz w:val="21"/>
          <w:szCs w:val="21"/>
        </w:rPr>
        <w:t xml:space="preserve">☐ Clean, flat surface with good lighting</w:t>
      </w:r>
    </w:p>
    <w:p>
      <w:pPr>
        <w:spacing w:after="60"/>
      </w:pPr>
    </w:p>
    <w:p>
      <w:pPr>
        <w:spacing w:after="80" w:line="276"/>
      </w:pPr>
      <w:r>
        <w:rPr>
          <w:rFonts w:ascii="Calibri" w:cs="Calibri" w:eastAsia="Calibri" w:hAnsi="Calibri"/>
          <w:b/>
          <w:bCs/>
          <w:color w:val="000000"/>
          <w:sz w:val="21"/>
          <w:szCs w:val="21"/>
        </w:rPr>
        <w:t xml:space="preserve">Before every injection:</w:t>
      </w:r>
    </w:p>
    <w:p>
      <w:pPr>
        <w:spacing w:after="60"/>
      </w:pPr>
    </w:p>
    <w:p>
      <w:pPr>
        <w:spacing w:after="40" w:line="276"/>
        <w:ind w:left="360"/>
      </w:pPr>
      <w:r>
        <w:rPr>
          <w:rFonts w:ascii="Calibri" w:cs="Calibri" w:eastAsia="Calibri" w:hAnsi="Calibri"/>
          <w:color w:val="000000"/>
          <w:sz w:val="21"/>
          <w:szCs w:val="21"/>
        </w:rPr>
        <w:t xml:space="preserve">1. Wash your hands thoroughly with soap and water for at least 20 seconds</w:t>
      </w:r>
    </w:p>
    <w:p>
      <w:pPr>
        <w:spacing w:after="40" w:line="276"/>
        <w:ind w:left="360"/>
      </w:pPr>
      <w:r>
        <w:rPr>
          <w:rFonts w:ascii="Calibri" w:cs="Calibri" w:eastAsia="Calibri" w:hAnsi="Calibri"/>
          <w:color w:val="000000"/>
          <w:sz w:val="21"/>
          <w:szCs w:val="21"/>
        </w:rPr>
        <w:t xml:space="preserve">2. Inspect the vial — the reconstituted solution should be clear and colorless</w:t>
      </w:r>
    </w:p>
    <w:p>
      <w:pPr>
        <w:spacing w:after="40" w:line="276"/>
        <w:ind w:left="360"/>
      </w:pPr>
      <w:r>
        <w:rPr>
          <w:rFonts w:ascii="Calibri" w:cs="Calibri" w:eastAsia="Calibri" w:hAnsi="Calibri"/>
          <w:color w:val="000000"/>
          <w:sz w:val="21"/>
          <w:szCs w:val="21"/>
        </w:rPr>
        <w:t xml:space="preserve">3. Check the expiration date and reconstitution date on the vial</w:t>
      </w:r>
    </w:p>
    <w:p>
      <w:pPr>
        <w:spacing w:after="40" w:line="276"/>
        <w:ind w:left="360"/>
      </w:pPr>
      <w:r>
        <w:rPr>
          <w:rFonts w:ascii="Calibri" w:cs="Calibri" w:eastAsia="Calibri" w:hAnsi="Calibri"/>
          <w:color w:val="000000"/>
          <w:sz w:val="21"/>
          <w:szCs w:val="21"/>
        </w:rPr>
        <w:t xml:space="preserve">4. If the medication has been stored in the refrigerator, it may be injected cold or allowed to reach room temperature</w:t>
      </w:r>
    </w:p>
    <w:p>
      <w:pPr>
        <w:spacing w:after="60"/>
      </w:pPr>
    </w:p>
    <w:p>
      <w:pPr>
        <w:spacing w:after="80" w:line="276"/>
      </w:pPr>
      <w:r>
        <w:rPr>
          <w:rFonts w:ascii="Calibri" w:cs="Calibri" w:eastAsia="Calibri" w:hAnsi="Calibri"/>
          <w:b/>
          <w:bCs/>
          <w:color w:val="000000"/>
          <w:sz w:val="21"/>
          <w:szCs w:val="21"/>
        </w:rPr>
        <w:t xml:space="preserve">If something does not look right, do not inject.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Reconstitution</w:t>
      </w:r>
    </w:p>
    <w:p>
      <w:pPr>
        <w:spacing w:after="60"/>
      </w:pPr>
    </w:p>
    <w:p>
      <w:pPr>
        <w:spacing w:after="80" w:line="276"/>
      </w:pPr>
      <w:r>
        <w:rPr>
          <w:rFonts w:ascii="Calibri" w:cs="Calibri" w:eastAsia="Calibri" w:hAnsi="Calibri"/>
          <w:color w:val="000000"/>
          <w:sz w:val="21"/>
          <w:szCs w:val="21"/>
        </w:rPr>
        <w:t xml:space="preserve">BPC-157 is typically supplied as a lyophilized (freeze-dried) powder requiring reconstitution with bacteriostatic water:</w:t>
      </w:r>
    </w:p>
    <w:p>
      <w:pPr>
        <w:spacing w:after="60"/>
      </w:pPr>
    </w:p>
    <w:p>
      <w:pPr>
        <w:spacing w:after="40" w:line="276"/>
        <w:ind w:left="360"/>
      </w:pPr>
      <w:r>
        <w:rPr>
          <w:rFonts w:ascii="Calibri" w:cs="Calibri" w:eastAsia="Calibri" w:hAnsi="Calibri"/>
          <w:color w:val="000000"/>
          <w:sz w:val="21"/>
          <w:szCs w:val="21"/>
        </w:rPr>
        <w:t xml:space="preserve">1. Clean the tops of both vials (BPC-157 powder and bacteriostatic water) with alcohol swabs</w:t>
      </w:r>
    </w:p>
    <w:p>
      <w:pPr>
        <w:spacing w:after="40" w:line="276"/>
        <w:ind w:left="360"/>
      </w:pPr>
      <w:r>
        <w:rPr>
          <w:rFonts w:ascii="Calibri" w:cs="Calibri" w:eastAsia="Calibri" w:hAnsi="Calibri"/>
          <w:color w:val="000000"/>
          <w:sz w:val="21"/>
          <w:szCs w:val="21"/>
        </w:rPr>
        <w:t xml:space="preserve">2. Using a syringe, draw the volume of bacteriostatic water specified by your compounding pharmacy</w:t>
      </w:r>
    </w:p>
    <w:p>
      <w:pPr>
        <w:spacing w:after="40" w:line="276"/>
        <w:ind w:left="360"/>
      </w:pPr>
      <w:r>
        <w:rPr>
          <w:rFonts w:ascii="Calibri" w:cs="Calibri" w:eastAsia="Calibri" w:hAnsi="Calibri"/>
          <w:color w:val="000000"/>
          <w:sz w:val="21"/>
          <w:szCs w:val="21"/>
        </w:rPr>
        <w:t xml:space="preserve">3. Inject the bacteriostatic water slowly into the BPC-157 vial, directing the stream against the glass wall</w:t>
      </w:r>
    </w:p>
    <w:p>
      <w:pPr>
        <w:spacing w:after="40" w:line="276"/>
        <w:ind w:left="360"/>
      </w:pPr>
      <w:r>
        <w:rPr>
          <w:rFonts w:ascii="Calibri" w:cs="Calibri" w:eastAsia="Calibri" w:hAnsi="Calibri"/>
          <w:color w:val="000000"/>
          <w:sz w:val="21"/>
          <w:szCs w:val="21"/>
        </w:rPr>
        <w:t xml:space="preserve">4. **Gently swirl** until fully dissolved. **Do not shake.**</w:t>
      </w:r>
    </w:p>
    <w:p>
      <w:pPr>
        <w:spacing w:after="40" w:line="276"/>
        <w:ind w:left="360"/>
      </w:pPr>
      <w:r>
        <w:rPr>
          <w:rFonts w:ascii="Calibri" w:cs="Calibri" w:eastAsia="Calibri" w:hAnsi="Calibri"/>
          <w:color w:val="000000"/>
          <w:sz w:val="21"/>
          <w:szCs w:val="21"/>
        </w:rPr>
        <w:t xml:space="preserve">5. The solution should be clear and colorless. If cloudy or particulate, do not use.</w:t>
      </w:r>
    </w:p>
    <w:p>
      <w:pPr>
        <w:spacing w:after="40" w:line="276"/>
        <w:ind w:left="360"/>
      </w:pPr>
      <w:r>
        <w:rPr>
          <w:rFonts w:ascii="Calibri" w:cs="Calibri" w:eastAsia="Calibri" w:hAnsi="Calibri"/>
          <w:color w:val="000000"/>
          <w:sz w:val="21"/>
          <w:szCs w:val="21"/>
        </w:rPr>
        <w:t xml:space="preserve">6. Write the reconstitution date on the vial label</w:t>
      </w:r>
    </w:p>
    <w:p>
      <w:pPr>
        <w:spacing w:after="40" w:line="276"/>
        <w:ind w:left="360"/>
      </w:pPr>
      <w:r>
        <w:rPr>
          <w:rFonts w:ascii="Calibri" w:cs="Calibri" w:eastAsia="Calibri" w:hAnsi="Calibri"/>
          <w:color w:val="000000"/>
          <w:sz w:val="21"/>
          <w:szCs w:val="21"/>
        </w:rPr>
        <w:t xml:space="preserve">7. Refrigerate immediately after reconstitution</w:t>
      </w:r>
    </w:p>
    <w:p>
      <w:pPr>
        <w:spacing w:after="40" w:line="276"/>
        <w:ind w:left="360"/>
      </w:pPr>
      <w:r>
        <w:rPr>
          <w:rFonts w:ascii="Calibri" w:cs="Calibri" w:eastAsia="Calibri" w:hAnsi="Calibri"/>
          <w:color w:val="000000"/>
          <w:sz w:val="21"/>
          <w:szCs w:val="21"/>
        </w:rPr>
        <w:t xml:space="preserve">8. Use within the timeframe specified by your compounding pharmacy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Identifying Your Syringe</w:t>
      </w:r>
    </w:p>
    <w:p>
      <w:pPr>
        <w:spacing w:after="60"/>
      </w:pPr>
    </w:p>
    <w:p>
      <w:pPr>
        <w:spacing w:after="80" w:line="276"/>
      </w:pPr>
      <w:r>
        <w:rPr>
          <w:rFonts w:ascii="Calibri" w:cs="Calibri" w:eastAsia="Calibri" w:hAnsi="Calibri"/>
          <w:b/>
          <w:bCs/>
          <w:color w:val="000000"/>
          <w:sz w:val="21"/>
          <w:szCs w:val="21"/>
        </w:rPr>
        <w:t xml:space="preserve">This protocol uses an insulin syringe.</w:t>
      </w:r>
      <w:r>
        <w:rPr>
          <w:rFonts w:ascii="Calibri" w:cs="Calibri" w:eastAsia="Calibri" w:hAnsi="Calibri"/>
          <w:color w:val="000000"/>
          <w:sz w:val="21"/>
          <w:szCs w:val="21"/>
        </w:rPr>
        <w:t xml:space="preserve"> This is a small syringe with a fixed, very thin needle.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E8DA" w:val="clear"/>
          </w:tcPr>
          <w:p>
            <w:r>
              <w:rPr>
                <w:rFonts w:ascii="Calibri" w:cs="Calibri" w:eastAsia="Calibri" w:hAnsi="Calibri"/>
                <w:b/>
                <w:bCs/>
                <w:color w:val="000000"/>
                <w:sz w:val="18"/>
                <w:szCs w:val="18"/>
              </w:rPr>
              <w:t xml:space="preserve">Feature</w:t>
            </w:r>
          </w:p>
        </w:tc>
        <w:tc>
          <w:tcPr>
            <w:shd w:fill="F0E8DA" w:val="clear"/>
          </w:tcPr>
          <w:p>
            <w:r>
              <w:rPr>
                <w:rFonts w:ascii="Calibri" w:cs="Calibri" w:eastAsia="Calibri" w:hAnsi="Calibri"/>
                <w:b/>
                <w:bCs/>
                <w:color w:val="000000"/>
                <w:sz w:val="18"/>
                <w:szCs w:val="18"/>
              </w:rPr>
              <w:t xml:space="preserve">Insulin Syringe (USE THIS)</w:t>
            </w:r>
          </w:p>
        </w:tc>
        <w:tc>
          <w:tcPr>
            <w:shd w:fill="F0E8DA" w:val="clear"/>
          </w:tcPr>
          <w:p>
            <w:r>
              <w:rPr>
                <w:rFonts w:ascii="Calibri" w:cs="Calibri" w:eastAsia="Calibri" w:hAnsi="Calibri"/>
                <w:b/>
                <w:bCs/>
                <w:color w:val="000000"/>
                <w:sz w:val="18"/>
                <w:szCs w:val="18"/>
              </w:rPr>
              <w:t xml:space="preserve">Intramuscular Syringe (DO NOT USE)</w:t>
            </w:r>
          </w:p>
        </w:tc>
      </w:tr>
      <w:tr>
        <w:tc>
          <w:p>
            <w:r>
              <w:rPr>
                <w:rFonts w:ascii="Calibri" w:cs="Calibri" w:eastAsia="Calibri" w:hAnsi="Calibri"/>
                <w:color w:val="000000"/>
                <w:sz w:val="18"/>
                <w:szCs w:val="18"/>
              </w:rPr>
              <w:t xml:space="preserve">Barrel size</w:t>
            </w:r>
          </w:p>
        </w:tc>
        <w:tc>
          <w:p>
            <w:r>
              <w:rPr>
                <w:rFonts w:ascii="Calibri" w:cs="Calibri" w:eastAsia="Calibri" w:hAnsi="Calibri"/>
                <w:color w:val="000000"/>
                <w:sz w:val="18"/>
                <w:szCs w:val="18"/>
              </w:rPr>
              <w:t xml:space="preserve">0.5mL or 1mL</w:t>
            </w:r>
          </w:p>
        </w:tc>
        <w:tc>
          <w:p>
            <w:r>
              <w:rPr>
                <w:rFonts w:ascii="Calibri" w:cs="Calibri" w:eastAsia="Calibri" w:hAnsi="Calibri"/>
                <w:color w:val="000000"/>
                <w:sz w:val="18"/>
                <w:szCs w:val="18"/>
              </w:rPr>
              <w:t xml:space="preserve">1mL or 3mL</w:t>
            </w:r>
          </w:p>
        </w:tc>
      </w:tr>
      <w:tr>
        <w:tc>
          <w:p>
            <w:r>
              <w:rPr>
                <w:rFonts w:ascii="Calibri" w:cs="Calibri" w:eastAsia="Calibri" w:hAnsi="Calibri"/>
                <w:color w:val="000000"/>
                <w:sz w:val="18"/>
                <w:szCs w:val="18"/>
              </w:rPr>
              <w:t xml:space="preserve">Needle</w:t>
            </w:r>
          </w:p>
        </w:tc>
        <w:tc>
          <w:p>
            <w:r>
              <w:rPr>
                <w:rFonts w:ascii="Calibri" w:cs="Calibri" w:eastAsia="Calibri" w:hAnsi="Calibri"/>
                <w:color w:val="000000"/>
                <w:sz w:val="18"/>
                <w:szCs w:val="18"/>
              </w:rPr>
              <w:t xml:space="preserve">Fixed, 29g–31g, short (5/16")</w:t>
            </w:r>
          </w:p>
        </w:tc>
        <w:tc>
          <w:p>
            <w:r>
              <w:rPr>
                <w:rFonts w:ascii="Calibri" w:cs="Calibri" w:eastAsia="Calibri" w:hAnsi="Calibri"/>
                <w:color w:val="000000"/>
                <w:sz w:val="18"/>
                <w:szCs w:val="18"/>
              </w:rPr>
              <w:t xml:space="preserve">Detachable, 23g–25g, longer (1 inch)</w:t>
            </w:r>
          </w:p>
        </w:tc>
      </w:tr>
    </w:tbl>
    <w:p>
      <w:pPr>
        <w:spacing w:after="60"/>
      </w:pPr>
    </w:p>
    <w:p>
      <w:pPr>
        <w:spacing w:after="80" w:line="276"/>
      </w:pPr>
      <w:r>
        <w:rPr>
          <w:rFonts w:ascii="Calibri" w:cs="Calibri" w:eastAsia="Calibri" w:hAnsi="Calibri"/>
          <w:b/>
          <w:bCs/>
          <w:color w:val="000000"/>
          <w:sz w:val="21"/>
          <w:szCs w:val="21"/>
        </w:rPr>
        <w:t xml:space="preserve">If your shipment contains intramuscular syringes, do not use them for BPC-157.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Injection Sites</w:t>
      </w:r>
    </w:p>
    <w:p>
      <w:pPr>
        <w:spacing w:after="60"/>
      </w:pPr>
    </w:p>
    <w:p>
      <w:pPr>
        <w:pStyle w:val="Heading3"/>
        <w:spacing w:after="120" w:before="300"/>
      </w:pPr>
      <w:r>
        <w:rPr>
          <w:rFonts w:ascii="Calibri" w:cs="Calibri" w:eastAsia="Calibri" w:hAnsi="Calibri"/>
          <w:b w:val="false"/>
          <w:bCs w:val="false"/>
          <w:color w:val="000000"/>
          <w:sz w:val="22"/>
          <w:szCs w:val="22"/>
        </w:rPr>
        <w:t xml:space="preserve">Recommended Sites</w:t>
      </w:r>
    </w:p>
    <w:p>
      <w:pPr>
        <w:spacing w:after="60"/>
      </w:pPr>
    </w:p>
    <w:p>
      <w:pPr>
        <w:spacing w:after="80" w:line="276"/>
      </w:pPr>
      <w:r>
        <w:rPr>
          <w:rFonts w:ascii="Calibri" w:cs="Calibri" w:eastAsia="Calibri" w:hAnsi="Calibri"/>
          <w:b/>
          <w:bCs/>
          <w:color w:val="000000"/>
          <w:sz w:val="21"/>
          <w:szCs w:val="21"/>
        </w:rPr>
        <w:t xml:space="preserve">Abdomen</w:t>
      </w:r>
    </w:p>
    <w:p>
      <w:pPr>
        <w:spacing w:after="80" w:line="276"/>
      </w:pPr>
      <w:r>
        <w:rPr>
          <w:rFonts w:ascii="Calibri" w:cs="Calibri" w:eastAsia="Calibri" w:hAnsi="Calibri"/>
          <w:color w:val="000000"/>
          <w:sz w:val="21"/>
          <w:szCs w:val="21"/>
        </w:rPr>
        <w:t xml:space="preserve">The fatty tissue of the abdomen, at least 2 inches from the navel. Rotate within the abdominal region.</w:t>
      </w:r>
    </w:p>
    <w:p>
      <w:pPr>
        <w:spacing w:after="60"/>
      </w:pPr>
    </w:p>
    <w:p>
      <w:pPr>
        <w:spacing w:after="80" w:line="276"/>
      </w:pPr>
      <w:r>
        <w:rPr>
          <w:rFonts w:ascii="Calibri" w:cs="Calibri" w:eastAsia="Calibri" w:hAnsi="Calibri"/>
          <w:b/>
          <w:bCs/>
          <w:color w:val="000000"/>
          <w:sz w:val="21"/>
          <w:szCs w:val="21"/>
        </w:rPr>
        <w:t xml:space="preserve">Anterior Thigh</w:t>
      </w:r>
    </w:p>
    <w:p>
      <w:pPr>
        <w:spacing w:after="80" w:line="276"/>
      </w:pPr>
      <w:r>
        <w:rPr>
          <w:rFonts w:ascii="Calibri" w:cs="Calibri" w:eastAsia="Calibri" w:hAnsi="Calibri"/>
          <w:color w:val="000000"/>
          <w:sz w:val="21"/>
          <w:szCs w:val="21"/>
        </w:rPr>
        <w:t xml:space="preserve">The front of the thigh, middle third between the knee and hip.</w:t>
      </w:r>
    </w:p>
    <w:p>
      <w:pPr>
        <w:spacing w:after="60"/>
      </w:pPr>
    </w:p>
    <w:p>
      <w:pPr>
        <w:spacing w:after="80" w:line="276"/>
      </w:pPr>
      <w:r>
        <w:rPr>
          <w:rFonts w:ascii="Calibri" w:cs="Calibri" w:eastAsia="Calibri" w:hAnsi="Calibri"/>
          <w:b/>
          <w:bCs/>
          <w:color w:val="000000"/>
          <w:sz w:val="21"/>
          <w:szCs w:val="21"/>
        </w:rPr>
        <w:t xml:space="preserve">Upper Arm</w:t>
      </w:r>
    </w:p>
    <w:p>
      <w:pPr>
        <w:spacing w:after="80" w:line="276"/>
      </w:pPr>
      <w:r>
        <w:rPr>
          <w:rFonts w:ascii="Calibri" w:cs="Calibri" w:eastAsia="Calibri" w:hAnsi="Calibri"/>
          <w:color w:val="000000"/>
          <w:sz w:val="21"/>
          <w:szCs w:val="21"/>
        </w:rPr>
        <w:t xml:space="preserve">The back of the upper arm, between the shoulder and elbow. May require assistance.</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Site Rotation Schedule</w:t>
      </w:r>
    </w:p>
    <w:p>
      <w:pPr>
        <w:spacing w:after="60"/>
      </w:pPr>
    </w:p>
    <w:p>
      <w:pPr>
        <w:spacing w:after="80" w:line="276"/>
      </w:pPr>
      <w:r>
        <w:rPr>
          <w:rFonts w:ascii="Calibri" w:cs="Calibri" w:eastAsia="Calibri" w:hAnsi="Calibri"/>
          <w:color w:val="000000"/>
          <w:sz w:val="21"/>
          <w:szCs w:val="21"/>
        </w:rPr>
        <w:t xml:space="preserve">Rotate injection sites with each administration. Alternate sides and locations.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E8DA" w:val="clear"/>
          </w:tcPr>
          <w:p>
            <w:r>
              <w:rPr>
                <w:rFonts w:ascii="Calibri" w:cs="Calibri" w:eastAsia="Calibri" w:hAnsi="Calibri"/>
                <w:b/>
                <w:bCs/>
                <w:color w:val="000000"/>
                <w:sz w:val="18"/>
                <w:szCs w:val="18"/>
              </w:rPr>
              <w:t xml:space="preserve">Week</w:t>
            </w:r>
          </w:p>
        </w:tc>
        <w:tc>
          <w:tcPr>
            <w:shd w:fill="F0E8DA" w:val="clear"/>
          </w:tcPr>
          <w:p>
            <w:r>
              <w:rPr>
                <w:rFonts w:ascii="Calibri" w:cs="Calibri" w:eastAsia="Calibri" w:hAnsi="Calibri"/>
                <w:b/>
                <w:bCs/>
                <w:color w:val="000000"/>
                <w:sz w:val="18"/>
                <w:szCs w:val="18"/>
              </w:rPr>
              <w:t xml:space="preserve">Site</w:t>
            </w:r>
          </w:p>
        </w:tc>
        <w:tc>
          <w:tcPr>
            <w:shd w:fill="F0E8DA" w:val="clear"/>
          </w:tcPr>
          <w:p>
            <w:r>
              <w:rPr>
                <w:rFonts w:ascii="Calibri" w:cs="Calibri" w:eastAsia="Calibri" w:hAnsi="Calibri"/>
                <w:b/>
                <w:bCs/>
                <w:color w:val="000000"/>
                <w:sz w:val="18"/>
                <w:szCs w:val="18"/>
              </w:rPr>
              <w:t xml:space="preserve">Side</w:t>
            </w:r>
          </w:p>
        </w:tc>
        <w:tc>
          <w:tcPr>
            <w:shd w:fill="F0E8DA" w:val="clear"/>
          </w:tcPr>
          <w:p>
            <w:r>
              <w:rPr>
                <w:rFonts w:ascii="Calibri" w:cs="Calibri" w:eastAsia="Calibri" w:hAnsi="Calibri"/>
                <w:b/>
                <w:bCs/>
                <w:color w:val="000000"/>
                <w:sz w:val="18"/>
                <w:szCs w:val="18"/>
              </w:rPr>
              <w:t xml:space="preserve">Date</w:t>
            </w:r>
          </w:p>
        </w:tc>
        <w:tc>
          <w:tcPr>
            <w:shd w:fill="F0E8DA" w:val="clear"/>
          </w:tcPr>
          <w:p>
            <w:r>
              <w:rPr>
                <w:rFonts w:ascii="Calibri" w:cs="Calibri" w:eastAsia="Calibri" w:hAnsi="Calibri"/>
                <w:b/>
                <w:bCs/>
                <w:color w:val="000000"/>
                <w:sz w:val="18"/>
                <w:szCs w:val="18"/>
              </w:rPr>
              <w:t xml:space="preserve">Notes</w:t>
            </w:r>
          </w:p>
        </w:tc>
      </w:tr>
      <w:tr>
        <w:tc>
          <w:p>
            <w:r>
              <w:rPr>
                <w:rFonts w:ascii="Calibri" w:cs="Calibri" w:eastAsia="Calibri" w:hAnsi="Calibri"/>
                <w:color w:val="000000"/>
                <w:sz w:val="18"/>
                <w:szCs w:val="18"/>
              </w:rPr>
              <w:t xml:space="preserve">1</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2</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3</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4</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bl>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Step-by-Step Injection Technique</w:t>
      </w:r>
    </w:p>
    <w:p>
      <w:pPr>
        <w:spacing w:after="60"/>
      </w:pPr>
    </w:p>
    <w:p>
      <w:pPr>
        <w:pStyle w:val="Heading3"/>
        <w:spacing w:after="120" w:before="300"/>
      </w:pPr>
      <w:r>
        <w:rPr>
          <w:rFonts w:ascii="Calibri" w:cs="Calibri" w:eastAsia="Calibri" w:hAnsi="Calibri"/>
          <w:b w:val="false"/>
          <w:bCs w:val="false"/>
          <w:color w:val="000000"/>
          <w:sz w:val="22"/>
          <w:szCs w:val="22"/>
        </w:rPr>
        <w:t xml:space="preserve">Drawing Medication</w:t>
      </w:r>
    </w:p>
    <w:p>
      <w:pPr>
        <w:spacing w:after="60"/>
      </w:pPr>
    </w:p>
    <w:p>
      <w:pPr>
        <w:spacing w:after="40" w:line="276"/>
        <w:ind w:left="360"/>
      </w:pPr>
      <w:r>
        <w:rPr>
          <w:rFonts w:ascii="Calibri" w:cs="Calibri" w:eastAsia="Calibri" w:hAnsi="Calibri"/>
          <w:color w:val="000000"/>
          <w:sz w:val="21"/>
          <w:szCs w:val="21"/>
        </w:rPr>
        <w:t xml:space="preserve">1. Clean the vial top with an alcohol swab</w:t>
      </w:r>
    </w:p>
    <w:p>
      <w:pPr>
        <w:spacing w:after="40" w:line="276"/>
        <w:ind w:left="360"/>
      </w:pPr>
      <w:r>
        <w:rPr>
          <w:rFonts w:ascii="Calibri" w:cs="Calibri" w:eastAsia="Calibri" w:hAnsi="Calibri"/>
          <w:color w:val="000000"/>
          <w:sz w:val="21"/>
          <w:szCs w:val="21"/>
        </w:rPr>
        <w:t xml:space="preserve">2. Draw air equal to your prescribed dose volume into the syringe</w:t>
      </w:r>
    </w:p>
    <w:p>
      <w:pPr>
        <w:spacing w:after="40" w:line="276"/>
        <w:ind w:left="360"/>
      </w:pPr>
      <w:r>
        <w:rPr>
          <w:rFonts w:ascii="Calibri" w:cs="Calibri" w:eastAsia="Calibri" w:hAnsi="Calibri"/>
          <w:color w:val="000000"/>
          <w:sz w:val="21"/>
          <w:szCs w:val="21"/>
        </w:rPr>
        <w:t xml:space="preserve">3. Insert needle into vial, inject air, invert vial</w:t>
      </w:r>
    </w:p>
    <w:p>
      <w:pPr>
        <w:spacing w:after="40" w:line="276"/>
        <w:ind w:left="360"/>
      </w:pPr>
      <w:r>
        <w:rPr>
          <w:rFonts w:ascii="Calibri" w:cs="Calibri" w:eastAsia="Calibri" w:hAnsi="Calibri"/>
          <w:color w:val="000000"/>
          <w:sz w:val="21"/>
          <w:szCs w:val="21"/>
        </w:rPr>
        <w:t xml:space="preserve">4. Draw your prescribed dose</w:t>
      </w:r>
    </w:p>
    <w:p>
      <w:pPr>
        <w:spacing w:after="40" w:line="276"/>
        <w:ind w:left="360"/>
      </w:pPr>
      <w:r>
        <w:rPr>
          <w:rFonts w:ascii="Calibri" w:cs="Calibri" w:eastAsia="Calibri" w:hAnsi="Calibri"/>
          <w:color w:val="000000"/>
          <w:sz w:val="21"/>
          <w:szCs w:val="21"/>
        </w:rPr>
        <w:t xml:space="preserve">5. Check for and expel air bubbles</w:t>
      </w:r>
    </w:p>
    <w:p>
      <w:pPr>
        <w:spacing w:after="40" w:line="276"/>
        <w:ind w:left="360"/>
      </w:pPr>
      <w:r>
        <w:rPr>
          <w:rFonts w:ascii="Calibri" w:cs="Calibri" w:eastAsia="Calibri" w:hAnsi="Calibri"/>
          <w:color w:val="000000"/>
          <w:sz w:val="21"/>
          <w:szCs w:val="21"/>
        </w:rPr>
        <w:t xml:space="preserve">6. Remove needle from vial</w:t>
      </w:r>
    </w:p>
    <w:p>
      <w:pPr>
        <w:spacing w:after="60"/>
      </w:pPr>
    </w:p>
    <w:p>
      <w:pPr>
        <w:pStyle w:val="Heading3"/>
        <w:spacing w:after="120" w:before="300"/>
      </w:pPr>
      <w:r>
        <w:rPr>
          <w:rFonts w:ascii="Calibri" w:cs="Calibri" w:eastAsia="Calibri" w:hAnsi="Calibri"/>
          <w:b w:val="false"/>
          <w:bCs w:val="false"/>
          <w:color w:val="000000"/>
          <w:sz w:val="22"/>
          <w:szCs w:val="22"/>
        </w:rPr>
        <w:t xml:space="preserve">Injecting</w:t>
      </w:r>
    </w:p>
    <w:p>
      <w:pPr>
        <w:spacing w:after="60"/>
      </w:pPr>
    </w:p>
    <w:p>
      <w:pPr>
        <w:spacing w:after="40" w:line="276"/>
        <w:ind w:left="360"/>
      </w:pPr>
      <w:r>
        <w:rPr>
          <w:rFonts w:ascii="Calibri" w:cs="Calibri" w:eastAsia="Calibri" w:hAnsi="Calibri"/>
          <w:color w:val="000000"/>
          <w:sz w:val="21"/>
          <w:szCs w:val="21"/>
        </w:rPr>
        <w:t xml:space="preserve">1. Clean injection site with alcohol swab — allow to air dry</w:t>
      </w:r>
    </w:p>
    <w:p>
      <w:pPr>
        <w:spacing w:after="40" w:line="276"/>
        <w:ind w:left="360"/>
      </w:pPr>
      <w:r>
        <w:rPr>
          <w:rFonts w:ascii="Calibri" w:cs="Calibri" w:eastAsia="Calibri" w:hAnsi="Calibri"/>
          <w:color w:val="000000"/>
          <w:sz w:val="21"/>
          <w:szCs w:val="21"/>
        </w:rPr>
        <w:t xml:space="preserve">2. **Pinch a fold of skin** at the injection site</w:t>
      </w:r>
    </w:p>
    <w:p>
      <w:pPr>
        <w:spacing w:after="40" w:line="276"/>
        <w:ind w:left="360"/>
      </w:pPr>
      <w:r>
        <w:rPr>
          <w:rFonts w:ascii="Calibri" w:cs="Calibri" w:eastAsia="Calibri" w:hAnsi="Calibri"/>
          <w:color w:val="000000"/>
          <w:sz w:val="21"/>
          <w:szCs w:val="21"/>
        </w:rPr>
        <w:t xml:space="preserve">3. Insert needle at **90 degrees** into the pinched fold</w:t>
      </w:r>
    </w:p>
    <w:p>
      <w:pPr>
        <w:spacing w:after="40" w:line="276"/>
        <w:ind w:left="360"/>
      </w:pPr>
      <w:r>
        <w:rPr>
          <w:rFonts w:ascii="Calibri" w:cs="Calibri" w:eastAsia="Calibri" w:hAnsi="Calibri"/>
          <w:color w:val="000000"/>
          <w:sz w:val="21"/>
          <w:szCs w:val="21"/>
        </w:rPr>
        <w:t xml:space="preserve">4. Inject slowly over 5–10 seconds</w:t>
      </w:r>
    </w:p>
    <w:p>
      <w:pPr>
        <w:spacing w:after="40" w:line="276"/>
        <w:ind w:left="360"/>
      </w:pPr>
      <w:r>
        <w:rPr>
          <w:rFonts w:ascii="Calibri" w:cs="Calibri" w:eastAsia="Calibri" w:hAnsi="Calibri"/>
          <w:color w:val="000000"/>
          <w:sz w:val="21"/>
          <w:szCs w:val="21"/>
        </w:rPr>
        <w:t xml:space="preserve">5. Wait 5 seconds before withdrawing</w:t>
      </w:r>
    </w:p>
    <w:p>
      <w:pPr>
        <w:spacing w:after="40" w:line="276"/>
        <w:ind w:left="360"/>
      </w:pPr>
      <w:r>
        <w:rPr>
          <w:rFonts w:ascii="Calibri" w:cs="Calibri" w:eastAsia="Calibri" w:hAnsi="Calibri"/>
          <w:color w:val="000000"/>
          <w:sz w:val="21"/>
          <w:szCs w:val="21"/>
        </w:rPr>
        <w:t xml:space="preserve">6. Withdraw needle, release skin pinch</w:t>
      </w:r>
    </w:p>
    <w:p>
      <w:pPr>
        <w:spacing w:after="40" w:line="276"/>
        <w:ind w:left="360"/>
      </w:pPr>
      <w:r>
        <w:rPr>
          <w:rFonts w:ascii="Calibri" w:cs="Calibri" w:eastAsia="Calibri" w:hAnsi="Calibri"/>
          <w:color w:val="000000"/>
          <w:sz w:val="21"/>
          <w:szCs w:val="21"/>
        </w:rPr>
        <w:t xml:space="preserve">7. Apply gentle pressure with gauze — do not rub</w:t>
      </w:r>
    </w:p>
    <w:p>
      <w:pPr>
        <w:spacing w:after="60"/>
      </w:pPr>
    </w:p>
    <w:p>
      <w:pPr>
        <w:pStyle w:val="Heading3"/>
        <w:spacing w:after="120" w:before="300"/>
      </w:pPr>
      <w:r>
        <w:rPr>
          <w:rFonts w:ascii="Calibri" w:cs="Calibri" w:eastAsia="Calibri" w:hAnsi="Calibri"/>
          <w:b w:val="false"/>
          <w:bCs w:val="false"/>
          <w:color w:val="000000"/>
          <w:sz w:val="22"/>
          <w:szCs w:val="22"/>
        </w:rPr>
        <w:t xml:space="preserve">After Injection</w:t>
      </w:r>
    </w:p>
    <w:p>
      <w:pPr>
        <w:spacing w:after="60"/>
      </w:pPr>
    </w:p>
    <w:p>
      <w:pPr>
        <w:spacing w:after="40" w:line="276"/>
        <w:ind w:left="360"/>
      </w:pPr>
      <w:r>
        <w:rPr>
          <w:rFonts w:ascii="Calibri" w:cs="Calibri" w:eastAsia="Calibri" w:hAnsi="Calibri"/>
          <w:color w:val="000000"/>
          <w:sz w:val="21"/>
          <w:szCs w:val="21"/>
        </w:rPr>
        <w:t xml:space="preserve">1. Dispose of syringe in sharps container immediately</w:t>
      </w:r>
    </w:p>
    <w:p>
      <w:pPr>
        <w:spacing w:after="40" w:line="276"/>
        <w:ind w:left="360"/>
      </w:pPr>
      <w:r>
        <w:rPr>
          <w:rFonts w:ascii="Calibri" w:cs="Calibri" w:eastAsia="Calibri" w:hAnsi="Calibri"/>
          <w:color w:val="000000"/>
          <w:sz w:val="21"/>
          <w:szCs w:val="21"/>
        </w:rPr>
        <w:t xml:space="preserve">2. Record in rotation tracker</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What to Expect After Injection</w:t>
      </w:r>
    </w:p>
    <w:p>
      <w:pPr>
        <w:spacing w:after="60"/>
      </w:pPr>
    </w:p>
    <w:p>
      <w:pPr>
        <w:spacing w:after="80" w:line="276"/>
      </w:pPr>
      <w:r>
        <w:rPr>
          <w:rFonts w:ascii="Calibri" w:cs="Calibri" w:eastAsia="Calibri" w:hAnsi="Calibri"/>
          <w:b/>
          <w:bCs/>
          <w:color w:val="000000"/>
          <w:sz w:val="21"/>
          <w:szCs w:val="21"/>
        </w:rPr>
        <w:t xml:space="preserve">Normal:</w:t>
      </w:r>
      <w:r>
        <w:rPr>
          <w:rFonts w:ascii="Calibri" w:cs="Calibri" w:eastAsia="Calibri" w:hAnsi="Calibri"/>
          <w:color w:val="000000"/>
          <w:sz w:val="21"/>
          <w:szCs w:val="21"/>
        </w:rPr>
        <w:t xml:space="preserve"> Small drop of blood, slight redness, mild injection site firmness resolving within days.</w:t>
      </w:r>
    </w:p>
    <w:p>
      <w:pPr>
        <w:spacing w:after="60"/>
      </w:pPr>
    </w:p>
    <w:p>
      <w:pPr>
        <w:spacing w:after="80" w:line="276"/>
      </w:pPr>
      <w:r>
        <w:rPr>
          <w:rFonts w:ascii="Calibri" w:cs="Calibri" w:eastAsia="Calibri" w:hAnsi="Calibri"/>
          <w:b/>
          <w:bCs/>
          <w:color w:val="000000"/>
          <w:sz w:val="21"/>
          <w:szCs w:val="21"/>
        </w:rPr>
        <w:t xml:space="preserve">Contact your care team:</w:t>
      </w:r>
      <w:r>
        <w:rPr>
          <w:rFonts w:ascii="Calibri" w:cs="Calibri" w:eastAsia="Calibri" w:hAnsi="Calibri"/>
          <w:color w:val="000000"/>
          <w:sz w:val="21"/>
          <w:szCs w:val="21"/>
        </w:rPr>
        <w:t xml:space="preserve"> Worsening redness/swelling beyond 3 days, drainage, fever, allergic reaction symptoms.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Troubleshooting</w:t>
      </w:r>
    </w:p>
    <w:p>
      <w:pPr>
        <w:spacing w:after="60"/>
      </w:pPr>
    </w:p>
    <w:p>
      <w:pPr>
        <w:spacing w:after="80" w:line="276"/>
      </w:pPr>
      <w:r>
        <w:rPr>
          <w:rFonts w:ascii="Calibri" w:cs="Calibri" w:eastAsia="Calibri" w:hAnsi="Calibri"/>
          <w:b/>
          <w:bCs/>
          <w:color w:val="000000"/>
          <w:sz w:val="21"/>
          <w:szCs w:val="21"/>
        </w:rPr>
        <w:t xml:space="preserve">Blood after injection.</w:t>
      </w:r>
      <w:r>
        <w:rPr>
          <w:rFonts w:ascii="Calibri" w:cs="Calibri" w:eastAsia="Calibri" w:hAnsi="Calibri"/>
          <w:color w:val="000000"/>
          <w:sz w:val="21"/>
          <w:szCs w:val="21"/>
        </w:rPr>
        <w:t xml:space="preserve"> Normal — apply gentle pressure.</w:t>
      </w:r>
    </w:p>
    <w:p>
      <w:pPr>
        <w:spacing w:after="60"/>
      </w:pPr>
    </w:p>
    <w:p>
      <w:pPr>
        <w:spacing w:after="80" w:line="276"/>
      </w:pPr>
      <w:r>
        <w:rPr>
          <w:rFonts w:ascii="Calibri" w:cs="Calibri" w:eastAsia="Calibri" w:hAnsi="Calibri"/>
          <w:b/>
          <w:bCs/>
          <w:color w:val="000000"/>
          <w:sz w:val="21"/>
          <w:szCs w:val="21"/>
        </w:rPr>
        <w:t xml:space="preserve">Bent needle.</w:t>
      </w:r>
      <w:r>
        <w:rPr>
          <w:rFonts w:ascii="Calibri" w:cs="Calibri" w:eastAsia="Calibri" w:hAnsi="Calibri"/>
          <w:color w:val="000000"/>
          <w:sz w:val="21"/>
          <w:szCs w:val="21"/>
        </w:rPr>
        <w:t xml:space="preserve"> Discard and use new syringe.</w:t>
      </w:r>
    </w:p>
    <w:p>
      <w:pPr>
        <w:spacing w:after="60"/>
      </w:pPr>
    </w:p>
    <w:p>
      <w:pPr>
        <w:spacing w:after="80" w:line="276"/>
      </w:pPr>
      <w:r>
        <w:rPr>
          <w:rFonts w:ascii="Calibri" w:cs="Calibri" w:eastAsia="Calibri" w:hAnsi="Calibri"/>
          <w:b/>
          <w:bCs/>
          <w:color w:val="000000"/>
          <w:sz w:val="21"/>
          <w:szCs w:val="21"/>
        </w:rPr>
        <w:t xml:space="preserve">Missed dose.</w:t>
      </w:r>
      <w:r>
        <w:rPr>
          <w:rFonts w:ascii="Calibri" w:cs="Calibri" w:eastAsia="Calibri" w:hAnsi="Calibri"/>
          <w:color w:val="000000"/>
          <w:sz w:val="21"/>
          <w:szCs w:val="21"/>
        </w:rPr>
        <w:t xml:space="preserve"> Administer when remembered. Do not double dose. Contact care team if unsure.</w:t>
      </w:r>
    </w:p>
    <w:p>
      <w:pPr>
        <w:spacing w:after="60"/>
      </w:pPr>
    </w:p>
    <w:p>
      <w:pPr>
        <w:spacing w:after="80" w:line="276"/>
      </w:pPr>
      <w:r>
        <w:rPr>
          <w:rFonts w:ascii="Calibri" w:cs="Calibri" w:eastAsia="Calibri" w:hAnsi="Calibri"/>
          <w:b/>
          <w:bCs/>
          <w:color w:val="000000"/>
          <w:sz w:val="21"/>
          <w:szCs w:val="21"/>
        </w:rPr>
        <w:t xml:space="preserve">Site reaction beyond 3 days.</w:t>
      </w:r>
      <w:r>
        <w:rPr>
          <w:rFonts w:ascii="Calibri" w:cs="Calibri" w:eastAsia="Calibri" w:hAnsi="Calibri"/>
          <w:color w:val="000000"/>
          <w:sz w:val="21"/>
          <w:szCs w:val="21"/>
        </w:rPr>
        <w:t xml:space="preserve"> Contact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When to Contact Your Care Team</w:t>
      </w:r>
    </w:p>
    <w:p>
      <w:pPr>
        <w:spacing w:after="60"/>
      </w:pPr>
    </w:p>
    <w:p>
      <w:pPr>
        <w:spacing w:after="80" w:line="276"/>
      </w:pPr>
      <w:r>
        <w:rPr>
          <w:rFonts w:ascii="Calibri" w:cs="Calibri" w:eastAsia="Calibri" w:hAnsi="Calibri"/>
          <w:color w:val="000000"/>
          <w:sz w:val="21"/>
          <w:szCs w:val="21"/>
        </w:rPr>
        <w:t xml:space="preserve">Contact via the </w:t>
      </w:r>
      <w:r>
        <w:rPr>
          <w:rFonts w:ascii="Calibri" w:cs="Calibri" w:eastAsia="Calibri" w:hAnsi="Calibri"/>
          <w:b/>
          <w:bCs/>
          <w:color w:val="000000"/>
          <w:sz w:val="21"/>
          <w:szCs w:val="21"/>
        </w:rPr>
        <w:t xml:space="preserve">OptiMantra patient portal</w:t>
      </w:r>
      <w:r>
        <w:rPr>
          <w:rFonts w:ascii="Calibri" w:cs="Calibri" w:eastAsia="Calibri" w:hAnsi="Calibri"/>
          <w:color w:val="000000"/>
          <w:sz w:val="21"/>
          <w:szCs w:val="21"/>
        </w:rPr>
        <w:t xml:space="preserve"> for: injection site infection signs, allergic reaction, uncertainty about technique, any situation not covered here.</w:t>
      </w:r>
    </w:p>
    <w:p>
      <w:pPr>
        <w:spacing w:after="60"/>
      </w:pPr>
    </w:p>
    <w:p>
      <w:pPr>
        <w:spacing w:after="80" w:line="276"/>
      </w:pPr>
      <w:r>
        <w:rPr>
          <w:rFonts w:ascii="Calibri" w:cs="Calibri" w:eastAsia="Calibri" w:hAnsi="Calibri"/>
          <w:b/>
          <w:bCs/>
          <w:color w:val="000000"/>
          <w:sz w:val="21"/>
          <w:szCs w:val="21"/>
        </w:rPr>
        <w:t xml:space="preserve">Emergency:</w:t>
      </w:r>
      <w:r>
        <w:rPr>
          <w:rFonts w:ascii="Calibri" w:cs="Calibri" w:eastAsia="Calibri" w:hAnsi="Calibri"/>
          <w:color w:val="000000"/>
          <w:sz w:val="21"/>
          <w:szCs w:val="21"/>
        </w:rPr>
        <w:t xml:space="preserve"> Call </w:t>
      </w:r>
      <w:r>
        <w:rPr>
          <w:rFonts w:ascii="Calibri" w:cs="Calibri" w:eastAsia="Calibri" w:hAnsi="Calibri"/>
          <w:b/>
          <w:bCs/>
          <w:color w:val="000000"/>
          <w:sz w:val="21"/>
          <w:szCs w:val="21"/>
        </w:rPr>
        <w:t xml:space="preserve">911</w:t>
      </w:r>
      <w:r>
        <w:rPr>
          <w:rFonts w:ascii="Calibri" w:cs="Calibri" w:eastAsia="Calibri" w:hAnsi="Calibri"/>
          <w:color w:val="000000"/>
          <w:sz w:val="21"/>
          <w:szCs w:val="21"/>
        </w:rPr>
        <w:t xml:space="preserve"> immediately for difficulty breathing, severe allergic reaction, or loss of consciousness.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Storage and Disposal</w:t>
      </w:r>
    </w:p>
    <w:p>
      <w:pPr>
        <w:spacing w:after="60"/>
      </w:pPr>
    </w:p>
    <w:p>
      <w:pPr>
        <w:spacing w:after="40" w:line="276"/>
        <w:ind w:left="360"/>
      </w:pPr>
      <w:r>
        <w:rPr>
          <w:rFonts w:ascii="Calibri" w:cs="Calibri" w:eastAsia="Calibri" w:hAnsi="Calibri"/>
          <w:color w:val="000000"/>
          <w:sz w:val="21"/>
          <w:szCs w:val="21"/>
        </w:rPr>
        <w:t xml:space="preserve">• **Refrigerate after reconstitution** at 36–46°F (2–8°C)</w:t>
      </w:r>
    </w:p>
    <w:p>
      <w:pPr>
        <w:spacing w:after="40" w:line="276"/>
        <w:ind w:left="360"/>
      </w:pPr>
      <w:r>
        <w:rPr>
          <w:rFonts w:ascii="Calibri" w:cs="Calibri" w:eastAsia="Calibri" w:hAnsi="Calibri"/>
          <w:color w:val="000000"/>
          <w:sz w:val="21"/>
          <w:szCs w:val="21"/>
        </w:rPr>
        <w:t xml:space="preserve">• **Do not freeze**</w:t>
      </w:r>
    </w:p>
    <w:p>
      <w:pPr>
        <w:spacing w:after="40" w:line="276"/>
        <w:ind w:left="360"/>
      </w:pPr>
      <w:r>
        <w:rPr>
          <w:rFonts w:ascii="Calibri" w:cs="Calibri" w:eastAsia="Calibri" w:hAnsi="Calibri"/>
          <w:color w:val="000000"/>
          <w:sz w:val="21"/>
          <w:szCs w:val="21"/>
        </w:rPr>
        <w:t xml:space="preserve">• Use within the timeframe specified by your compounding pharmacy</w:t>
      </w:r>
    </w:p>
    <w:p>
      <w:pPr>
        <w:spacing w:after="40" w:line="276"/>
        <w:ind w:left="360"/>
      </w:pPr>
      <w:r>
        <w:rPr>
          <w:rFonts w:ascii="Calibri" w:cs="Calibri" w:eastAsia="Calibri" w:hAnsi="Calibri"/>
          <w:color w:val="000000"/>
          <w:sz w:val="21"/>
          <w:szCs w:val="21"/>
        </w:rPr>
        <w:t xml:space="preserve">• Protect from light</w:t>
      </w:r>
    </w:p>
    <w:p>
      <w:pPr>
        <w:spacing w:after="40" w:line="276"/>
        <w:ind w:left="360"/>
      </w:pPr>
      <w:r>
        <w:rPr>
          <w:rFonts w:ascii="Calibri" w:cs="Calibri" w:eastAsia="Calibri" w:hAnsi="Calibri"/>
          <w:color w:val="000000"/>
          <w:sz w:val="21"/>
          <w:szCs w:val="21"/>
        </w:rPr>
        <w:t xml:space="preserve">• Dispose of needles/syringes in FDA-cleared sharps container</w:t>
      </w:r>
    </w:p>
    <w:p>
      <w:pPr>
        <w:spacing w:after="40" w:line="276"/>
        <w:ind w:left="360"/>
      </w:pPr>
      <w:r>
        <w:rPr>
          <w:rFonts w:ascii="Calibri" w:cs="Calibri" w:eastAsia="Calibri" w:hAnsi="Calibri"/>
          <w:color w:val="000000"/>
          <w:sz w:val="21"/>
          <w:szCs w:val="21"/>
        </w:rPr>
        <w:t xml:space="preserve">• Return unused medication to pharmacy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Acknowledgment</w:t>
      </w:r>
    </w:p>
    <w:p>
      <w:pPr>
        <w:spacing w:after="60"/>
      </w:pPr>
    </w:p>
    <w:p>
      <w:pPr>
        <w:spacing w:after="80" w:line="276"/>
      </w:pPr>
      <w:r>
        <w:rPr>
          <w:rFonts w:ascii="Calibri" w:cs="Calibri" w:eastAsia="Calibri" w:hAnsi="Calibri"/>
          <w:color w:val="000000"/>
          <w:sz w:val="21"/>
          <w:szCs w:val="21"/>
        </w:rPr>
        <w:t xml:space="preserve">Before your first self-injection, you will acknowledge receipt and understanding of these instructions in the OptiMantra patient portal.</w:t>
      </w:r>
    </w:p>
    <w:p>
      <w:pPr>
        <w:spacing w:after="60"/>
      </w:pPr>
    </w:p>
    <w:p>
      <w:pPr>
        <w:spacing w:after="80" w:line="276"/>
      </w:pPr>
      <w:r>
        <w:rPr>
          <w:rFonts w:ascii="Calibri" w:cs="Calibri" w:eastAsia="Calibri" w:hAnsi="Calibri"/>
          <w:i/>
          <w:iCs/>
          <w:color w:val="666666"/>
          <w:sz w:val="20"/>
          <w:szCs w:val="20"/>
        </w:rPr>
        <w:t xml:space="preserve">"I have reviewed the injection instructions for BPC-157. I understand the technique, the injection sites, the rotation schedule, and the signs of complications. I will contact my Bloom Metabolics care team via the patient portal with any questions before injecting."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Clinical References</w:t>
      </w:r>
    </w:p>
    <w:p>
      <w:pPr>
        <w:spacing w:after="60"/>
      </w:pPr>
    </w:p>
    <w:p>
      <w:pPr>
        <w:spacing w:after="40" w:line="276"/>
        <w:ind w:left="360"/>
      </w:pPr>
      <w:r>
        <w:rPr>
          <w:rFonts w:ascii="Calibri" w:cs="Calibri" w:eastAsia="Calibri" w:hAnsi="Calibri"/>
          <w:color w:val="000000"/>
          <w:sz w:val="21"/>
          <w:szCs w:val="21"/>
        </w:rPr>
        <w:t xml:space="preserve">• Current peer-reviewed literature on BPC-157 peptide therapy (clinical evidence is emerging; no FDA-approved indication at time of drafting).</w:t>
      </w:r>
    </w:p>
    <w:p>
      <w:pPr>
        <w:spacing w:after="40" w:line="276"/>
        <w:ind w:left="360"/>
      </w:pPr>
      <w:r>
        <w:rPr>
          <w:rFonts w:ascii="Calibri" w:cs="Calibri" w:eastAsia="Calibri" w:hAnsi="Calibri"/>
          <w:color w:val="000000"/>
          <w:sz w:val="21"/>
          <w:szCs w:val="21"/>
        </w:rPr>
        <w:t xml:space="preserve">• CDC Guidelines: Injection Practices — Subcutaneous Injections (current).</w:t>
      </w:r>
    </w:p>
    <w:p>
      <w:pPr>
        <w:spacing w:after="40" w:line="276"/>
        <w:ind w:left="360"/>
      </w:pPr>
      <w:r>
        <w:rPr>
          <w:rFonts w:ascii="Calibri" w:cs="Calibri" w:eastAsia="Calibri" w:hAnsi="Calibri"/>
          <w:color w:val="000000"/>
          <w:sz w:val="21"/>
          <w:szCs w:val="21"/>
        </w:rPr>
        <w:t xml:space="preserve">• Compounding pharmacy-specific guidance for BPC-157 reconstitution and storage.</w:t>
      </w:r>
    </w:p>
    <w:p>
      <w:pPr>
        <w:spacing w:after="60"/>
      </w:pPr>
    </w:p>
    <w:p>
      <w:pPr>
        <w:spacing w:after="80" w:line="276"/>
      </w:pPr>
      <w:r>
        <w:rPr>
          <w:rFonts w:ascii="Calibri" w:cs="Calibri" w:eastAsia="Calibri" w:hAnsi="Calibri"/>
          <w:b/>
          <w:bCs/>
          <w:color w:val="000000"/>
          <w:sz w:val="21"/>
          <w:szCs w:val="21"/>
        </w:rPr>
        <w:t xml:space="preserve">Note:</w:t>
      </w:r>
      <w:r>
        <w:rPr>
          <w:rFonts w:ascii="Calibri" w:cs="Calibri" w:eastAsia="Calibri" w:hAnsi="Calibri"/>
          <w:color w:val="000000"/>
          <w:sz w:val="21"/>
          <w:szCs w:val="21"/>
        </w:rPr>
        <w:t xml:space="preserve"> BPC-157 does not have FDA-approved prescribing information. Clinical evidence is based on preclinical studies and emerging clinical literature. The Covering Physician assumes responsibility for the clinical decision to prescribe this peptide under their professional judgment.</w:t>
      </w:r>
    </w:p>
    <w:p>
      <w:pPr>
        <w:spacing w:after="60"/>
      </w:pPr>
    </w:p>
    <w:p>
      <w:pPr>
        <w:pBdr>
          <w:bottom w:val="single" w:color="8B6F47" w:sz="1"/>
        </w:pBdr>
        <w:spacing w:after="120" w:before="120"/>
      </w:pPr>
    </w:p>
    <w:p>
      <w:pPr>
        <w:spacing w:after="60"/>
      </w:pPr>
    </w:p>
    <w:p>
      <w:pPr>
        <w:spacing w:after="80" w:line="276"/>
      </w:pPr>
      <w:r>
        <w:rPr>
          <w:rFonts w:ascii="Calibri" w:cs="Calibri" w:eastAsia="Calibri" w:hAnsi="Calibri"/>
          <w:i/>
          <w:iCs/>
          <w:color w:val="666666"/>
          <w:sz w:val="20"/>
          <w:szCs w:val="20"/>
        </w:rPr>
        <w:t xml:space="preserve">This protocol is governed by [SOP-004 (Patient Self-Administration Injection Education)](../../SOP-004-injection-education.md).</w:t>
      </w:r>
    </w:p>
    <w:p>
      <w:pPr>
        <w:spacing w:after="80" w:line="276"/>
      </w:pPr>
      <w:r>
        <w:rPr>
          <w:rFonts w:ascii="Calibri" w:cs="Calibri" w:eastAsia="Calibri" w:hAnsi="Calibri"/>
          <w:i/>
          <w:iCs/>
          <w:color w:val="666666"/>
          <w:sz w:val="20"/>
          <w:szCs w:val="20"/>
        </w:rPr>
        <w:t xml:space="preserve">Protocol-004 · Version 0.1 · Generated 2026-05-03</w:t>
      </w:r>
    </w:p>
    <w:p>
      <w:pPr>
        <w:spacing w:after="80" w:line="276"/>
      </w:pPr>
      <w:r>
        <w:rPr>
          <w:rFonts w:ascii="Calibri" w:cs="Calibri" w:eastAsia="Calibri" w:hAnsi="Calibri"/>
          <w:i/>
          <w:iCs/>
          <w:color w:val="666666"/>
          <w:sz w:val="20"/>
          <w:szCs w:val="20"/>
        </w:rPr>
        <w:t xml:space="preserve">Bloom Metabolics — Confidential — FUTURE STATE — NOT CURRENTLY OPERATIVE</w:t>
      </w:r>
    </w:p>
    <w:p>
      <w:pPr>
        <w:spacing w:after="6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47" w:sz="1"/>
      </w:pBdr>
      <w:jc w:val="left"/>
    </w:pPr>
    <w:r>
      <w:rPr>
        <w:rFonts w:ascii="Calibri" w:cs="Calibri" w:eastAsia="Calibri" w:hAnsi="Calibri"/>
        <w:color w:val="666666"/>
        <w:sz w:val="16"/>
        <w:szCs w:val="16"/>
      </w:rPr>
      <w:t xml:space="preserve">BPC-157 — Subcutaneous Injection Instructions (FUTURE)</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1"/>
      </w:pBdr>
      <w:jc w:val="left"/>
    </w:pPr>
    <w:r>
      <w:rPr>
        <w:rFonts w:ascii="Calibri" w:cs="Calibri" w:eastAsia="Calibri" w:hAnsi="Calibri"/>
        <w:b/>
        <w:bCs/>
        <w:color w:val="8B6F47"/>
        <w:sz w:val="16"/>
        <w:szCs w:val="16"/>
      </w:rPr>
      <w:t xml:space="preserve">BLOOM METABOLICS</w:t>
    </w:r>
    <w:r>
      <w:rPr>
        <w:rFonts w:ascii="Calibri" w:cs="Calibri" w:eastAsia="Calibri" w:hAnsi="Calibri"/>
        <w:color w:val="666666"/>
        <w:sz w:val="16"/>
        <w:szCs w:val="16"/>
      </w:rPr>
      <w:t xml:space="preserve">          Confidential — Patient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2026-05-04T19:58:54.239Z</dcterms:created>
  <dcterms:modified xsi:type="dcterms:W3CDTF">2026-05-04T19:58:54.239Z</dcterms:modified>
</cp:coreProperties>
</file>

<file path=docProps/custom.xml><?xml version="1.0" encoding="utf-8"?>
<Properties xmlns="http://schemas.openxmlformats.org/officeDocument/2006/custom-properties" xmlns:vt="http://schemas.openxmlformats.org/officeDocument/2006/docPropsVTypes"/>
</file>