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2328"/>
          <w:sz w:val="40"/>
        </w:rPr>
        <w:t>Suspicious Matter Report</w:t>
      </w:r>
    </w:p>
    <w:p>
      <w:pPr>
        <w:pBdr>
          <w:bottom w:val="single" w:sz="12" w:space="4" w:color="5C6E10"/>
        </w:pBdr>
      </w:pPr>
      <w:r>
        <w:rPr>
          <w:b w:val="0"/>
          <w:i w:val="0"/>
          <w:color w:val="5F6770"/>
          <w:sz w:val="21"/>
        </w:rPr>
        <w:t>Draft prepared for lodgement through AUSTRAC Online</w:t>
      </w:r>
    </w:p>
    <w:p>
      <w:pPr>
        <w:spacing w:before="120"/>
      </w:pPr>
      <w:r>
        <w:rPr>
          <w:b/>
          <w:i w:val="0"/>
          <w:color w:val="1F2328"/>
          <w:sz w:val="21"/>
        </w:rPr>
        <w:t xml:space="preserve">Recommendation:  </w:t>
      </w:r>
      <w:r>
        <w:rPr>
          <w:b/>
          <w:i w:val="0"/>
          <w:color w:val="5C6E10"/>
          <w:sz w:val="21"/>
        </w:rPr>
        <w:t>Escalate to the MLRO  ·  score 57/100</w:t>
      </w:r>
    </w:p>
    <w:p>
      <w:pPr>
        <w:spacing w:before="240" w:after="80"/>
        <w:pBdr>
          <w:bottom w:val="single" w:sz="4" w:space="4" w:color="5C6E10"/>
        </w:pBdr>
      </w:pPr>
      <w:r>
        <w:rPr>
          <w:b/>
          <w:i w:val="0"/>
          <w:color w:val="5C6E10"/>
          <w:sz w:val="24"/>
        </w:rPr>
        <w:t xml:space="preserve">1  </w:t>
      </w:r>
      <w:r>
        <w:rPr>
          <w:b/>
          <w:i w:val="0"/>
          <w:color w:val="1F2328"/>
          <w:sz w:val="24"/>
        </w:rPr>
        <w:t>Report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06"/>
      </w:tblGrid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Internal reference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SMR-2025196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Source alert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ALT-2025365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Suspected offence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Money laundering — Structuring / smurfing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Escalated to MLRO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04 September 2025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Suspicion formed / draft date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04 September 2025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Lodgement due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09 September 2025 (3 business days from suspicion)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Reporting entity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D'Agostino Legal (fictional) — Richmond office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Designated service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Trust account services</w:t>
            </w:r>
          </w:p>
        </w:tc>
      </w:tr>
    </w:tbl>
    <w:p>
      <w:pPr>
        <w:spacing w:before="240" w:after="80"/>
        <w:pBdr>
          <w:bottom w:val="single" w:sz="4" w:space="4" w:color="5C6E10"/>
        </w:pBdr>
      </w:pPr>
      <w:r>
        <w:rPr>
          <w:b/>
          <w:i w:val="0"/>
          <w:color w:val="5C6E10"/>
          <w:sz w:val="24"/>
        </w:rPr>
        <w:t xml:space="preserve">2  </w:t>
      </w:r>
      <w:r>
        <w:rPr>
          <w:b/>
          <w:i w:val="0"/>
          <w:color w:val="1F2328"/>
          <w:sz w:val="24"/>
        </w:rPr>
        <w:t>Person or organisation the suspicion relates 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06"/>
      </w:tblGrid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Name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Ethan Castellan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Client ID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CL-00169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Client type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Individual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State / territory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VIC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Delivery channel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Face-to-face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Foreign dimension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Domestic only</w:t>
            </w:r>
          </w:p>
        </w:tc>
      </w:tr>
      <w:tr>
        <w:tc>
          <w:tcPr>
            <w:tcW w:type="dxa" w:w="2948"/>
            <w:shd w:val="clear" w:color="auto" w:fill="F3F4F1"/>
          </w:tcPr>
          <w:p>
            <w:r/>
            <w:r>
              <w:rPr>
                <w:b/>
                <w:i w:val="0"/>
                <w:color w:val="5F6770"/>
                <w:sz w:val="18"/>
              </w:rPr>
              <w:t>Firm risk rating</w:t>
            </w:r>
          </w:p>
        </w:tc>
        <w:tc>
          <w:tcPr>
            <w:tcW w:type="dxa" w:w="6406"/>
          </w:tcPr>
          <w:p>
            <w:r>
              <w:rPr>
                <w:b w:val="0"/>
                <w:i w:val="0"/>
                <w:color w:val="1F2328"/>
                <w:sz w:val="19"/>
              </w:rPr>
              <w:t>Low (20/100, AUSTRAC 4-factor model)</w:t>
            </w:r>
          </w:p>
        </w:tc>
      </w:tr>
    </w:tbl>
    <w:p>
      <w:pPr>
        <w:spacing w:before="240" w:after="80"/>
        <w:pBdr>
          <w:bottom w:val="single" w:sz="4" w:space="4" w:color="5C6E10"/>
        </w:pBdr>
      </w:pPr>
      <w:r>
        <w:rPr>
          <w:b/>
          <w:i w:val="0"/>
          <w:color w:val="5C6E10"/>
          <w:sz w:val="24"/>
        </w:rPr>
        <w:t xml:space="preserve">3  </w:t>
      </w:r>
      <w:r>
        <w:rPr>
          <w:b/>
          <w:i w:val="0"/>
          <w:color w:val="1F2328"/>
          <w:sz w:val="24"/>
        </w:rPr>
        <w:t>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948"/>
        <w:gridCol w:w="1077"/>
        <w:gridCol w:w="2041"/>
        <w:gridCol w:w="1928"/>
      </w:tblGrid>
      <w:tr>
        <w:tc>
          <w:tcPr>
            <w:tcW w:type="dxa" w:w="1361"/>
            <w:shd w:val="clear" w:color="auto" w:fill="E8EDD2"/>
          </w:tcPr>
          <w:p>
            <w:r>
              <w:rPr>
                <w:b/>
                <w:i w:val="0"/>
                <w:color w:val="1F2328"/>
                <w:sz w:val="18"/>
              </w:rPr>
              <w:t>Date</w:t>
            </w:r>
          </w:p>
        </w:tc>
        <w:tc>
          <w:tcPr>
            <w:tcW w:type="dxa" w:w="2948"/>
            <w:shd w:val="clear" w:color="auto" w:fill="E8EDD2"/>
          </w:tcPr>
          <w:p>
            <w:r>
              <w:rPr>
                <w:b/>
                <w:i w:val="0"/>
                <w:color w:val="1F2328"/>
                <w:sz w:val="18"/>
              </w:rPr>
              <w:t>Transaction</w:t>
            </w:r>
          </w:p>
        </w:tc>
        <w:tc>
          <w:tcPr>
            <w:tcW w:type="dxa" w:w="1077"/>
            <w:shd w:val="clear" w:color="auto" w:fill="E8EDD2"/>
          </w:tcPr>
          <w:p>
            <w:r>
              <w:rPr>
                <w:b/>
                <w:i w:val="0"/>
                <w:color w:val="1F2328"/>
                <w:sz w:val="18"/>
              </w:rPr>
              <w:t>Direction</w:t>
            </w:r>
          </w:p>
        </w:tc>
        <w:tc>
          <w:tcPr>
            <w:tcW w:type="dxa" w:w="2041"/>
            <w:shd w:val="clear" w:color="auto" w:fill="E8EDD2"/>
          </w:tcPr>
          <w:p>
            <w:r>
              <w:rPr>
                <w:b/>
                <w:i w:val="0"/>
                <w:color w:val="1F2328"/>
                <w:sz w:val="18"/>
              </w:rPr>
              <w:t>Counterparty</w:t>
            </w:r>
          </w:p>
        </w:tc>
        <w:tc>
          <w:tcPr>
            <w:tcW w:type="dxa" w:w="1928"/>
            <w:shd w:val="clear" w:color="auto" w:fill="E8EDD2"/>
          </w:tcPr>
          <w:p>
            <w:r>
              <w:rPr>
                <w:b/>
                <w:i w:val="0"/>
                <w:color w:val="1F2328"/>
                <w:sz w:val="18"/>
              </w:rPr>
              <w:t>Amount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i w:val="0"/>
                <w:color w:val="1F2328"/>
                <w:sz w:val="18"/>
              </w:rPr>
              <w:t>22 Aug 2025</w:t>
            </w:r>
          </w:p>
        </w:tc>
        <w:tc>
          <w:tcPr>
            <w:tcW w:type="dxa" w:w="2948"/>
          </w:tcPr>
          <w:p>
            <w:r>
              <w:rPr>
                <w:b w:val="0"/>
                <w:i w:val="0"/>
                <w:color w:val="1F2328"/>
                <w:sz w:val="18"/>
              </w:rPr>
              <w:t>Cash deposit to trust</w:t>
            </w:r>
          </w:p>
        </w:tc>
        <w:tc>
          <w:tcPr>
            <w:tcW w:type="dxa" w:w="1077"/>
          </w:tcPr>
          <w:p>
            <w:r>
              <w:rPr>
                <w:b w:val="0"/>
                <w:i w:val="0"/>
                <w:color w:val="1F2328"/>
                <w:sz w:val="18"/>
              </w:rPr>
              <w:t>In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  <w:color w:val="1F2328"/>
                <w:sz w:val="18"/>
              </w:rPr>
              <w:t>Branch counter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b w:val="0"/>
                <w:i w:val="0"/>
                <w:color w:val="1F2328"/>
                <w:sz w:val="18"/>
              </w:rPr>
              <w:t>AUD 9,750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i w:val="0"/>
                <w:color w:val="1F2328"/>
                <w:sz w:val="18"/>
              </w:rPr>
              <w:t>27 Aug 2025</w:t>
            </w:r>
          </w:p>
        </w:tc>
        <w:tc>
          <w:tcPr>
            <w:tcW w:type="dxa" w:w="2948"/>
          </w:tcPr>
          <w:p>
            <w:r>
              <w:rPr>
                <w:b w:val="0"/>
                <w:i w:val="0"/>
                <w:color w:val="1F2328"/>
                <w:sz w:val="18"/>
              </w:rPr>
              <w:t>Cash deposit to trust</w:t>
            </w:r>
          </w:p>
        </w:tc>
        <w:tc>
          <w:tcPr>
            <w:tcW w:type="dxa" w:w="1077"/>
          </w:tcPr>
          <w:p>
            <w:r>
              <w:rPr>
                <w:b w:val="0"/>
                <w:i w:val="0"/>
                <w:color w:val="1F2328"/>
                <w:sz w:val="18"/>
              </w:rPr>
              <w:t>In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  <w:color w:val="1F2328"/>
                <w:sz w:val="18"/>
              </w:rPr>
              <w:t>Branch counter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b w:val="0"/>
                <w:i w:val="0"/>
                <w:color w:val="1F2328"/>
                <w:sz w:val="18"/>
              </w:rPr>
              <w:t>AUD 9,098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i w:val="0"/>
                <w:color w:val="1F2328"/>
                <w:sz w:val="18"/>
              </w:rPr>
              <w:t>28 Aug 2025</w:t>
            </w:r>
          </w:p>
        </w:tc>
        <w:tc>
          <w:tcPr>
            <w:tcW w:type="dxa" w:w="2948"/>
          </w:tcPr>
          <w:p>
            <w:r>
              <w:rPr>
                <w:b w:val="0"/>
                <w:i w:val="0"/>
                <w:color w:val="1F2328"/>
                <w:sz w:val="18"/>
              </w:rPr>
              <w:t>Cash deposit to trust</w:t>
            </w:r>
          </w:p>
        </w:tc>
        <w:tc>
          <w:tcPr>
            <w:tcW w:type="dxa" w:w="1077"/>
          </w:tcPr>
          <w:p>
            <w:r>
              <w:rPr>
                <w:b w:val="0"/>
                <w:i w:val="0"/>
                <w:color w:val="1F2328"/>
                <w:sz w:val="18"/>
              </w:rPr>
              <w:t>In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  <w:color w:val="1F2328"/>
                <w:sz w:val="18"/>
              </w:rPr>
              <w:t>Branch counter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b w:val="0"/>
                <w:i w:val="0"/>
                <w:color w:val="1F2328"/>
                <w:sz w:val="18"/>
              </w:rPr>
              <w:t>AUD 9,075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i w:val="0"/>
                <w:color w:val="1F2328"/>
                <w:sz w:val="18"/>
              </w:rPr>
              <w:t>28 Aug 2025</w:t>
            </w:r>
          </w:p>
        </w:tc>
        <w:tc>
          <w:tcPr>
            <w:tcW w:type="dxa" w:w="2948"/>
          </w:tcPr>
          <w:p>
            <w:r>
              <w:rPr>
                <w:b w:val="0"/>
                <w:i w:val="0"/>
                <w:color w:val="1F2328"/>
                <w:sz w:val="18"/>
              </w:rPr>
              <w:t>Cash deposit to trust</w:t>
            </w:r>
          </w:p>
        </w:tc>
        <w:tc>
          <w:tcPr>
            <w:tcW w:type="dxa" w:w="1077"/>
          </w:tcPr>
          <w:p>
            <w:r>
              <w:rPr>
                <w:b w:val="0"/>
                <w:i w:val="0"/>
                <w:color w:val="1F2328"/>
                <w:sz w:val="18"/>
              </w:rPr>
              <w:t>In</w:t>
            </w:r>
          </w:p>
        </w:tc>
        <w:tc>
          <w:tcPr>
            <w:tcW w:type="dxa" w:w="2041"/>
          </w:tcPr>
          <w:p>
            <w:r>
              <w:rPr>
                <w:b w:val="0"/>
                <w:i w:val="0"/>
                <w:color w:val="1F2328"/>
                <w:sz w:val="18"/>
              </w:rPr>
              <w:t>Branch counter</w:t>
            </w:r>
          </w:p>
        </w:tc>
        <w:tc>
          <w:tcPr>
            <w:tcW w:type="dxa" w:w="1928"/>
          </w:tcPr>
          <w:p>
            <w:pPr>
              <w:jc w:val="right"/>
            </w:pPr>
            <w:r>
              <w:rPr>
                <w:b w:val="0"/>
                <w:i w:val="0"/>
                <w:color w:val="1F2328"/>
                <w:sz w:val="18"/>
              </w:rPr>
              <w:t>AUD 9,425</w:t>
            </w:r>
          </w:p>
        </w:tc>
      </w:tr>
    </w:tbl>
    <w:p>
      <w:pPr>
        <w:spacing w:before="80"/>
      </w:pPr>
      <w:r>
        <w:rPr>
          <w:b/>
          <w:i w:val="0"/>
          <w:color w:val="1F2328"/>
          <w:sz w:val="19"/>
        </w:rPr>
        <w:t>Total: AUD 37,348 across 4 transaction(s).</w:t>
      </w:r>
    </w:p>
    <w:p>
      <w:pPr>
        <w:spacing w:before="240" w:after="80"/>
        <w:pBdr>
          <w:bottom w:val="single" w:sz="4" w:space="4" w:color="5C6E10"/>
        </w:pBdr>
      </w:pPr>
      <w:r>
        <w:rPr>
          <w:b/>
          <w:i w:val="0"/>
          <w:color w:val="5C6E10"/>
          <w:sz w:val="24"/>
        </w:rPr>
        <w:t xml:space="preserve">4  </w:t>
      </w:r>
      <w:r>
        <w:rPr>
          <w:b/>
          <w:i w:val="0"/>
          <w:color w:val="1F2328"/>
          <w:sz w:val="24"/>
        </w:rPr>
        <w:t>Grounds for suspicion</w:t>
      </w:r>
    </w:p>
    <w:p>
      <w:r>
        <w:rPr>
          <w:b w:val="0"/>
          <w:i/>
          <w:color w:val="5F6770"/>
          <w:sz w:val="17"/>
        </w:rPr>
        <w:t>First draft generated from the case facts — the analyst and MLRO must review and edit before lodgement.</w:t>
      </w:r>
    </w:p>
    <w:p>
      <w:pPr>
        <w:spacing w:after="120"/>
      </w:pPr>
      <w:r>
        <w:rPr>
          <w:b w:val="0"/>
          <w:i w:val="0"/>
          <w:color w:val="1F2328"/>
          <w:sz w:val="21"/>
        </w:rPr>
        <w:t>Between 22 August 2025 and 28 August 2025, 4 transaction(s) totalling AUD 37,348 passed through the firm's trust account in connection with Ethan Castellan's trust account services matter.</w:t>
      </w:r>
    </w:p>
    <w:p>
      <w:pPr>
        <w:spacing w:after="120"/>
      </w:pPr>
      <w:r>
        <w:rPr>
          <w:b w:val="0"/>
          <w:i w:val="0"/>
          <w:color w:val="1F2328"/>
          <w:sz w:val="21"/>
        </w:rPr>
        <w:t>The following indicators were observed: several cash or cash-equivalent payments just under AUD 10,000; adverse media linking the client or an owner to crime; client reluctant to give ID, source-of-funds or ownership details.</w:t>
      </w:r>
    </w:p>
    <w:p>
      <w:pPr>
        <w:spacing w:after="120"/>
      </w:pPr>
      <w:r>
        <w:rPr>
          <w:b w:val="0"/>
          <w:i w:val="0"/>
          <w:color w:val="1F2328"/>
          <w:sz w:val="21"/>
        </w:rPr>
        <w:t>At the time of this report the firm has not been able to confirm the following: source of funds verified with documents; clear commercial rationale documented; all beneficial owners identified and verified; source of wealth explained.</w:t>
      </w:r>
    </w:p>
    <w:p>
      <w:pPr>
        <w:spacing w:after="120"/>
      </w:pPr>
      <w:r>
        <w:rPr>
          <w:b w:val="0"/>
          <w:i w:val="0"/>
          <w:color w:val="1F2328"/>
          <w:sz w:val="21"/>
        </w:rPr>
        <w:t>The client is rated Low risk under the firm's AUSTRAC 4-factor model (individual, face-to-face, domestic only foreign dimension). Taken together, the activity has no apparent lawful commercial purpose that the firm has been able to establish.</w:t>
      </w:r>
    </w:p>
    <w:p>
      <w:r>
        <w:rPr>
          <w:b/>
          <w:i w:val="0"/>
          <w:color w:val="1F2328"/>
          <w:sz w:val="21"/>
        </w:rPr>
        <w:t xml:space="preserve">Analyst's note: </w:t>
      </w:r>
      <w:r>
        <w:rPr>
          <w:b w:val="0"/>
          <w:i w:val="0"/>
          <w:color w:val="1F2328"/>
          <w:sz w:val="21"/>
        </w:rPr>
        <w:t>Client could not explain why the deposits were split across four days.</w:t>
      </w:r>
    </w:p>
    <w:p>
      <w:r>
        <w:rPr>
          <w:b/>
          <w:i w:val="0"/>
          <w:color w:val="1F2328"/>
          <w:sz w:val="20"/>
        </w:rPr>
        <w:t xml:space="preserve">Monitoring rule triggered: </w:t>
      </w:r>
      <w:r>
        <w:rPr>
          <w:b w:val="0"/>
          <w:i w:val="0"/>
          <w:color w:val="5F6770"/>
          <w:sz w:val="20"/>
        </w:rPr>
        <w:t>Structuring / smurfing — Multiple transactions kept just under the AUD 10,000 reporting threshold.</w:t>
      </w:r>
    </w:p>
    <w:p>
      <w:pPr>
        <w:spacing w:before="240" w:after="80"/>
        <w:pBdr>
          <w:bottom w:val="single" w:sz="4" w:space="4" w:color="5C6E10"/>
        </w:pBdr>
      </w:pPr>
      <w:r>
        <w:rPr>
          <w:b/>
          <w:i w:val="0"/>
          <w:color w:val="5C6E10"/>
          <w:sz w:val="24"/>
        </w:rPr>
        <w:t xml:space="preserve">5  </w:t>
      </w:r>
      <w:r>
        <w:rPr>
          <w:b/>
          <w:i w:val="0"/>
          <w:color w:val="1F2328"/>
          <w:sz w:val="24"/>
        </w:rPr>
        <w:t>Indicators and verification</w:t>
      </w:r>
    </w:p>
    <w:p>
      <w:r>
        <w:rPr>
          <w:b/>
          <w:i w:val="0"/>
          <w:color w:val="1F2328"/>
          <w:sz w:val="20"/>
        </w:rPr>
        <w:t>Red flags observed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0"/>
        </w:rPr>
        <w:t>Several cash or cash-equivalent payments just under AUD 10,000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0"/>
        </w:rPr>
        <w:t>Adverse media linking the client or an owner to crime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0"/>
        </w:rPr>
        <w:t>Client reluctant to give ID, source-of-funds or ownership details</w:t>
      </w:r>
    </w:p>
    <w:p>
      <w:r>
        <w:rPr>
          <w:b/>
          <w:i w:val="0"/>
          <w:color w:val="1F2328"/>
          <w:sz w:val="20"/>
        </w:rPr>
        <w:t>Verification obtained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0"/>
        </w:rPr>
        <w:t>None — no mitigating evidence obtained</w:t>
      </w:r>
    </w:p>
    <w:p>
      <w:r>
        <w:rPr>
          <w:b/>
          <w:i w:val="0"/>
          <w:color w:val="1F2328"/>
          <w:sz w:val="20"/>
        </w:rPr>
        <w:t>Outstanding</w:t>
      </w:r>
    </w:p>
    <w:p>
      <w:pPr>
        <w:pStyle w:val="ListBullet"/>
        <w:spacing w:after="40"/>
      </w:pPr>
      <w:r>
        <w:rPr>
          <w:b w:val="0"/>
          <w:i w:val="0"/>
          <w:color w:val="5F6770"/>
          <w:sz w:val="20"/>
        </w:rPr>
        <w:t>Source of funds verified with documents</w:t>
      </w:r>
    </w:p>
    <w:p>
      <w:pPr>
        <w:pStyle w:val="ListBullet"/>
        <w:spacing w:after="40"/>
      </w:pPr>
      <w:r>
        <w:rPr>
          <w:b w:val="0"/>
          <w:i w:val="0"/>
          <w:color w:val="5F6770"/>
          <w:sz w:val="20"/>
        </w:rPr>
        <w:t>Clear commercial rationale documented</w:t>
      </w:r>
    </w:p>
    <w:p>
      <w:pPr>
        <w:pStyle w:val="ListBullet"/>
        <w:spacing w:after="40"/>
      </w:pPr>
      <w:r>
        <w:rPr>
          <w:b w:val="0"/>
          <w:i w:val="0"/>
          <w:color w:val="5F6770"/>
          <w:sz w:val="20"/>
        </w:rPr>
        <w:t>All beneficial owners identified and verified</w:t>
      </w:r>
    </w:p>
    <w:p>
      <w:pPr>
        <w:pStyle w:val="ListBullet"/>
        <w:spacing w:after="40"/>
      </w:pPr>
      <w:r>
        <w:rPr>
          <w:b w:val="0"/>
          <w:i w:val="0"/>
          <w:color w:val="5F6770"/>
          <w:sz w:val="20"/>
        </w:rPr>
        <w:t>Source of wealth explained</w:t>
      </w:r>
    </w:p>
    <w:p>
      <w:pPr>
        <w:spacing w:before="240" w:after="80"/>
        <w:pBdr>
          <w:bottom w:val="single" w:sz="4" w:space="4" w:color="5C6E10"/>
        </w:pBdr>
      </w:pPr>
      <w:r>
        <w:rPr>
          <w:b/>
          <w:i w:val="0"/>
          <w:color w:val="5C6E10"/>
          <w:sz w:val="24"/>
        </w:rPr>
        <w:t xml:space="preserve">6  </w:t>
      </w:r>
      <w:r>
        <w:rPr>
          <w:b/>
          <w:i w:val="0"/>
          <w:color w:val="1F2328"/>
          <w:sz w:val="24"/>
        </w:rPr>
        <w:t>Action taken by the reporting entity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0"/>
        </w:rPr>
        <w:t>Alert ALT-2025365 raised by the transaction-monitoring rule 'Structuring / smurfing' and reviewed by the analyst.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0"/>
        </w:rPr>
        <w:t>Escalated to the MLRO (Sofia Marchetti) on 04 September 2025.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0"/>
        </w:rPr>
        <w:t>Matter placed on hold; no trust money released pending the MLRO's decision.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0"/>
        </w:rPr>
        <w:t>Enhanced customer due diligence requested: source of funds verified with documents, clear commercial rationale documented, all beneficial owners identified and verified, source of wealth explained.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0"/>
        </w:rPr>
        <w:t>Client not informed of the review or of any report (tipping-off prohibition, s123).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0"/>
        </w:rPr>
        <w:t>Case file and transaction records retained for 7 years.</w:t>
      </w:r>
    </w:p>
    <w:p>
      <w:pPr>
        <w:spacing w:before="240" w:after="80"/>
        <w:pBdr>
          <w:bottom w:val="single" w:sz="4" w:space="4" w:color="5C6E10"/>
        </w:pBdr>
      </w:pPr>
      <w:r>
        <w:rPr>
          <w:b/>
          <w:i w:val="0"/>
          <w:color w:val="5C6E10"/>
          <w:sz w:val="24"/>
        </w:rPr>
        <w:t xml:space="preserve">7  </w:t>
      </w:r>
      <w:r>
        <w:rPr>
          <w:b/>
          <w:i w:val="0"/>
          <w:color w:val="1F2328"/>
          <w:sz w:val="24"/>
        </w:rPr>
        <w:t>Review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</w:tcPr>
          <w:p>
            <w:r>
              <w:rPr>
                <w:b/>
                <w:i w:val="0"/>
                <w:color w:val="5F6770"/>
                <w:sz w:val="18"/>
              </w:rPr>
              <w:t>Prepared by — AML/CTF Compliance Analyst</w:t>
            </w:r>
          </w:p>
          <w:p>
            <w:r>
              <w:rPr>
                <w:b w:val="0"/>
                <w:i w:val="0"/>
                <w:color w:val="1F2328"/>
                <w:sz w:val="20"/>
              </w:rPr>
              <w:t>Lin, G.</w:t>
            </w:r>
          </w:p>
          <w:p>
            <w:r>
              <w:rPr>
                <w:b w:val="0"/>
                <w:i w:val="0"/>
                <w:color w:val="1F2328"/>
                <w:sz w:val="20"/>
              </w:rPr>
              <w:t>Signature: ______________________</w:t>
            </w:r>
          </w:p>
          <w:p>
            <w:r>
              <w:rPr>
                <w:b w:val="0"/>
                <w:i w:val="0"/>
                <w:color w:val="1F2328"/>
                <w:sz w:val="20"/>
              </w:rPr>
              <w:t>Date: ____ / ____ / ________</w:t>
            </w:r>
          </w:p>
        </w:tc>
        <w:tc>
          <w:tcPr>
            <w:tcW w:type="dxa" w:w="4677"/>
          </w:tcPr>
          <w:p>
            <w:r>
              <w:rPr>
                <w:b/>
                <w:i w:val="0"/>
                <w:color w:val="5F6770"/>
                <w:sz w:val="18"/>
              </w:rPr>
              <w:t>Reviewed by — MLRO</w:t>
            </w:r>
          </w:p>
          <w:p>
            <w:r>
              <w:rPr>
                <w:b w:val="0"/>
                <w:i w:val="0"/>
                <w:color w:val="1F2328"/>
                <w:sz w:val="20"/>
              </w:rPr>
              <w:t>Sofia Marchetti</w:t>
            </w:r>
          </w:p>
          <w:p>
            <w:r>
              <w:rPr>
                <w:b w:val="0"/>
                <w:i w:val="0"/>
                <w:color w:val="1F2328"/>
                <w:sz w:val="20"/>
              </w:rPr>
              <w:t>Signature: ______________________</w:t>
            </w:r>
          </w:p>
          <w:p>
            <w:r>
              <w:rPr>
                <w:b w:val="0"/>
                <w:i w:val="0"/>
                <w:color w:val="1F2328"/>
                <w:sz w:val="20"/>
              </w:rPr>
              <w:t>Date: ____ / ____ / ________</w:t>
            </w:r>
          </w:p>
        </w:tc>
      </w:tr>
    </w:tbl>
    <w:p>
      <w:pPr>
        <w:spacing w:before="160"/>
      </w:pPr>
      <w:r>
        <w:rPr>
          <w:b w:val="0"/>
          <w:i w:val="0"/>
          <w:color w:val="1F2328"/>
          <w:sz w:val="20"/>
        </w:rPr>
        <w:t>MLRO decision:  ☐ Suspicion formed — lodge SMR     ☐ Return for further information     ☐ No suspicion — close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/>
        <w:color w:val="5F6770"/>
        <w:sz w:val="15"/>
      </w:rPr>
      <w:t>Tipping off is prohibited (AML/CTF Act s123): do not disclose to the client or any third party that an SMR has been or may be lodged. Synthetic data generated for a portfolio project — not a real report.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i w:val="0"/>
        <w:color w:val="B42D24"/>
        <w:sz w:val="16"/>
      </w:rPr>
      <w:t>CONFIDENTIAL — DRAFT FOR MLRO REVIEW</w:t>
    </w:r>
    <w:r>
      <w:rPr>
        <w:b w:val="0"/>
        <w:i w:val="0"/>
        <w:color w:val="5F6770"/>
        <w:sz w:val="16"/>
      </w:rPr>
      <w:t xml:space="preserve">   ·   D'Agostino Legal (fictional) · AML/CTF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