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9DE2" w14:textId="4B8F3F29" w:rsidR="00302E34" w:rsidRPr="00343B6D" w:rsidRDefault="00302E34" w:rsidP="00302E34">
      <w:pPr>
        <w:spacing w:before="100" w:beforeAutospacing="1" w:after="100" w:afterAutospacing="1"/>
        <w:outlineLvl w:val="0"/>
        <w:rPr>
          <w:kern w:val="36"/>
          <w:sz w:val="32"/>
          <w:szCs w:val="32"/>
        </w:rPr>
      </w:pPr>
      <w:r w:rsidRPr="00302E34">
        <w:rPr>
          <w:kern w:val="36"/>
          <w:sz w:val="32"/>
          <w:szCs w:val="32"/>
        </w:rPr>
        <w:t>Journal Club Pre-Session Handout</w:t>
      </w:r>
    </w:p>
    <w:p w14:paraId="286A8360" w14:textId="70C9807E" w:rsidR="00302E34" w:rsidRPr="002E73F4" w:rsidRDefault="00302E34" w:rsidP="00302E34">
      <w:pPr>
        <w:spacing w:before="40" w:after="40"/>
        <w:outlineLvl w:val="0"/>
        <w:rPr>
          <w:b/>
          <w:bCs/>
          <w:kern w:val="36"/>
          <w:sz w:val="22"/>
          <w:szCs w:val="22"/>
        </w:rPr>
      </w:pPr>
      <w:r w:rsidRPr="002E73F4">
        <w:rPr>
          <w:b/>
          <w:bCs/>
          <w:kern w:val="36"/>
          <w:sz w:val="22"/>
          <w:szCs w:val="22"/>
        </w:rPr>
        <w:t>Date: September 9, 2025, 3-4 pm</w:t>
      </w:r>
    </w:p>
    <w:p w14:paraId="5F6EDAE0" w14:textId="77777777" w:rsidR="00302E34" w:rsidRPr="002E73F4" w:rsidRDefault="00302E34" w:rsidP="00302E34">
      <w:pPr>
        <w:spacing w:before="40" w:after="40"/>
        <w:rPr>
          <w:sz w:val="22"/>
          <w:szCs w:val="22"/>
        </w:rPr>
      </w:pPr>
      <w:r w:rsidRPr="00302E34">
        <w:rPr>
          <w:b/>
          <w:bCs/>
          <w:sz w:val="22"/>
          <w:szCs w:val="22"/>
        </w:rPr>
        <w:t>Topic:</w:t>
      </w:r>
      <w:r w:rsidRPr="00302E34">
        <w:rPr>
          <w:sz w:val="22"/>
          <w:szCs w:val="22"/>
        </w:rPr>
        <w:t xml:space="preserve"> Spinal vs General Anesthesia in Hip Arthroplasty (Hip Fracture vs Elective THA)</w:t>
      </w:r>
    </w:p>
    <w:p w14:paraId="65BEAFE5" w14:textId="7A6D6925" w:rsidR="00302E34" w:rsidRDefault="00343B6D" w:rsidP="00302E34">
      <w:pPr>
        <w:spacing w:before="40" w:after="40"/>
        <w:outlineLvl w:val="0"/>
        <w:rPr>
          <w:color w:val="000000"/>
          <w:sz w:val="22"/>
          <w:szCs w:val="22"/>
        </w:rPr>
      </w:pPr>
      <w:r>
        <w:rPr>
          <w:b/>
          <w:bCs/>
          <w:kern w:val="36"/>
          <w:sz w:val="22"/>
          <w:szCs w:val="22"/>
        </w:rPr>
        <w:t xml:space="preserve">Resident </w:t>
      </w:r>
      <w:r w:rsidR="00302E34" w:rsidRPr="002E73F4">
        <w:rPr>
          <w:b/>
          <w:bCs/>
          <w:kern w:val="36"/>
          <w:sz w:val="22"/>
          <w:szCs w:val="22"/>
        </w:rPr>
        <w:t xml:space="preserve">Leads: </w:t>
      </w:r>
      <w:r w:rsidR="00302E34" w:rsidRPr="002E73F4">
        <w:rPr>
          <w:rStyle w:val="apple-converted-space"/>
          <w:rFonts w:eastAsiaTheme="majorEastAsia"/>
          <w:color w:val="000000"/>
          <w:sz w:val="22"/>
          <w:szCs w:val="22"/>
        </w:rPr>
        <w:t> </w:t>
      </w:r>
      <w:r w:rsidR="00302E34" w:rsidRPr="002E73F4">
        <w:rPr>
          <w:color w:val="000000"/>
          <w:sz w:val="22"/>
          <w:szCs w:val="22"/>
        </w:rPr>
        <w:t>Derron Yu, MD and David Lester, MD</w:t>
      </w:r>
    </w:p>
    <w:p w14:paraId="58C85369" w14:textId="129871DD" w:rsidR="00343B6D" w:rsidRPr="002E73F4" w:rsidRDefault="00343B6D" w:rsidP="00302E34">
      <w:pPr>
        <w:spacing w:before="40" w:after="40"/>
        <w:outlineLvl w:val="0"/>
        <w:rPr>
          <w:b/>
          <w:bCs/>
          <w:kern w:val="36"/>
          <w:sz w:val="22"/>
          <w:szCs w:val="22"/>
        </w:rPr>
      </w:pPr>
      <w:r>
        <w:rPr>
          <w:b/>
          <w:bCs/>
          <w:kern w:val="36"/>
          <w:sz w:val="22"/>
          <w:szCs w:val="22"/>
        </w:rPr>
        <w:t xml:space="preserve">Faculty </w:t>
      </w:r>
      <w:r w:rsidRPr="002E73F4">
        <w:rPr>
          <w:b/>
          <w:bCs/>
          <w:kern w:val="36"/>
          <w:sz w:val="22"/>
          <w:szCs w:val="22"/>
        </w:rPr>
        <w:t xml:space="preserve">Leads: </w:t>
      </w:r>
      <w:r w:rsidRPr="002E73F4">
        <w:rPr>
          <w:rStyle w:val="apple-converted-space"/>
          <w:rFonts w:eastAsiaTheme="majorEastAsia"/>
          <w:color w:val="000000"/>
          <w:sz w:val="22"/>
          <w:szCs w:val="22"/>
        </w:rPr>
        <w:t> </w:t>
      </w:r>
      <w:r>
        <w:rPr>
          <w:rStyle w:val="apple-converted-space"/>
          <w:color w:val="000000"/>
          <w:sz w:val="22"/>
          <w:szCs w:val="22"/>
        </w:rPr>
        <w:t xml:space="preserve">Brian Pitts, </w:t>
      </w:r>
      <w:proofErr w:type="gramStart"/>
      <w:r>
        <w:rPr>
          <w:rStyle w:val="apple-converted-space"/>
          <w:color w:val="000000"/>
          <w:sz w:val="22"/>
          <w:szCs w:val="22"/>
        </w:rPr>
        <w:t>MD,MS</w:t>
      </w:r>
      <w:proofErr w:type="gramEnd"/>
      <w:r>
        <w:rPr>
          <w:rStyle w:val="apple-converted-space"/>
          <w:color w:val="000000"/>
          <w:sz w:val="22"/>
          <w:szCs w:val="22"/>
        </w:rPr>
        <w:t>,MEHP and Ken Furukawa, MD</w:t>
      </w:r>
    </w:p>
    <w:p w14:paraId="5E2ACBAB" w14:textId="77777777" w:rsidR="00343B6D" w:rsidRDefault="006E4625" w:rsidP="00343B6D">
      <w:pPr>
        <w:pStyle w:val="p2"/>
        <w:spacing w:after="80" w:afterAutospacing="0"/>
        <w:rPr>
          <w:b/>
          <w:bCs/>
          <w:color w:val="C00000"/>
          <w:sz w:val="22"/>
          <w:szCs w:val="22"/>
        </w:rPr>
      </w:pPr>
      <w:r w:rsidRPr="00B50F37">
        <w:rPr>
          <w:b/>
          <w:bCs/>
          <w:color w:val="C00000"/>
          <w:sz w:val="22"/>
          <w:szCs w:val="22"/>
        </w:rPr>
        <w:t>Purpose</w:t>
      </w:r>
    </w:p>
    <w:p w14:paraId="5F0C246F" w14:textId="0271ADF2" w:rsidR="00302E34" w:rsidRPr="002E73F4" w:rsidRDefault="00302E34" w:rsidP="00343B6D">
      <w:pPr>
        <w:pStyle w:val="p2"/>
        <w:spacing w:before="0" w:beforeAutospacing="0"/>
        <w:rPr>
          <w:sz w:val="22"/>
          <w:szCs w:val="22"/>
        </w:rPr>
      </w:pPr>
      <w:r w:rsidRPr="002E73F4">
        <w:rPr>
          <w:sz w:val="22"/>
          <w:szCs w:val="22"/>
        </w:rPr>
        <w:t xml:space="preserve">This journal club session focuses on evidence from the REGAIN trials comparing </w:t>
      </w:r>
      <w:r w:rsidRPr="002E73F4">
        <w:rPr>
          <w:rStyle w:val="s1"/>
          <w:rFonts w:eastAsiaTheme="majorEastAsia"/>
          <w:i/>
          <w:iCs/>
          <w:sz w:val="22"/>
          <w:szCs w:val="22"/>
        </w:rPr>
        <w:t>spinal vs general anesthesia</w:t>
      </w:r>
      <w:r w:rsidRPr="002E73F4">
        <w:rPr>
          <w:rStyle w:val="s1"/>
          <w:rFonts w:eastAsiaTheme="majorEastAsia"/>
          <w:sz w:val="22"/>
          <w:szCs w:val="22"/>
        </w:rPr>
        <w:t xml:space="preserve"> in elderly patients undergoing hip fracture surgery</w:t>
      </w:r>
      <w:r w:rsidRPr="002E73F4">
        <w:rPr>
          <w:sz w:val="22"/>
          <w:szCs w:val="22"/>
        </w:rPr>
        <w:t xml:space="preserve">. It contrasts these findings with best practice recommendations for </w:t>
      </w:r>
      <w:r w:rsidRPr="002E73F4">
        <w:rPr>
          <w:rStyle w:val="s1"/>
          <w:rFonts w:eastAsiaTheme="majorEastAsia"/>
          <w:sz w:val="22"/>
          <w:szCs w:val="22"/>
        </w:rPr>
        <w:t>elective total hip arthroplasty (THA)</w:t>
      </w:r>
      <w:r w:rsidRPr="002E73F4">
        <w:rPr>
          <w:sz w:val="22"/>
          <w:szCs w:val="22"/>
        </w:rPr>
        <w:t>.</w:t>
      </w:r>
    </w:p>
    <w:p w14:paraId="1DFE4842" w14:textId="77777777" w:rsidR="00343B6D" w:rsidRDefault="00302E34" w:rsidP="00343B6D">
      <w:pPr>
        <w:spacing w:before="100" w:beforeAutospacing="1" w:after="80"/>
        <w:rPr>
          <w:b/>
          <w:bCs/>
          <w:color w:val="C00000"/>
          <w:sz w:val="22"/>
          <w:szCs w:val="22"/>
        </w:rPr>
      </w:pPr>
      <w:r w:rsidRPr="00302E34">
        <w:rPr>
          <w:b/>
          <w:bCs/>
          <w:color w:val="C00000"/>
          <w:sz w:val="22"/>
          <w:szCs w:val="22"/>
        </w:rPr>
        <w:t>Topic</w:t>
      </w:r>
    </w:p>
    <w:p w14:paraId="7C9FC18B" w14:textId="35A1DF3F" w:rsidR="00302E34" w:rsidRPr="002E73F4" w:rsidRDefault="00302E34" w:rsidP="00343B6D">
      <w:pPr>
        <w:spacing w:after="100" w:afterAutospacing="1"/>
        <w:rPr>
          <w:sz w:val="22"/>
          <w:szCs w:val="22"/>
        </w:rPr>
      </w:pPr>
      <w:r w:rsidRPr="00302E34">
        <w:rPr>
          <w:sz w:val="22"/>
          <w:szCs w:val="22"/>
        </w:rPr>
        <w:t>Spinal vs General Anesthesia in Hip Arthroplasty (Hip Fracture vs Elective THA)</w:t>
      </w:r>
    </w:p>
    <w:p w14:paraId="6FDE95C8" w14:textId="734823CC" w:rsidR="00302E34" w:rsidRPr="00B50F37" w:rsidRDefault="00302E34" w:rsidP="00343B6D">
      <w:pPr>
        <w:pStyle w:val="p2"/>
        <w:spacing w:after="80" w:afterAutospacing="0"/>
        <w:rPr>
          <w:b/>
          <w:bCs/>
          <w:color w:val="C00000"/>
          <w:sz w:val="22"/>
          <w:szCs w:val="22"/>
        </w:rPr>
      </w:pPr>
      <w:r w:rsidRPr="00B50F37">
        <w:rPr>
          <w:b/>
          <w:bCs/>
          <w:color w:val="C00000"/>
          <w:sz w:val="22"/>
          <w:szCs w:val="22"/>
        </w:rPr>
        <w:t>Objectives:</w:t>
      </w:r>
    </w:p>
    <w:p w14:paraId="4925033B" w14:textId="77777777" w:rsidR="00302E34" w:rsidRPr="00B50F37" w:rsidRDefault="00302E34" w:rsidP="00FF6B1B">
      <w:pPr>
        <w:pStyle w:val="p1"/>
        <w:numPr>
          <w:ilvl w:val="0"/>
          <w:numId w:val="9"/>
        </w:numPr>
        <w:spacing w:before="0" w:beforeAutospacing="0"/>
        <w:rPr>
          <w:sz w:val="22"/>
          <w:szCs w:val="22"/>
        </w:rPr>
      </w:pPr>
      <w:r w:rsidRPr="00B50F37">
        <w:rPr>
          <w:sz w:val="22"/>
          <w:szCs w:val="22"/>
        </w:rPr>
        <w:t xml:space="preserve">Practice </w:t>
      </w:r>
      <w:r w:rsidRPr="00B50F37">
        <w:rPr>
          <w:rStyle w:val="s1"/>
          <w:rFonts w:eastAsiaTheme="majorEastAsia"/>
          <w:b/>
          <w:bCs/>
          <w:sz w:val="22"/>
          <w:szCs w:val="22"/>
        </w:rPr>
        <w:t>critical appraisal skills</w:t>
      </w:r>
      <w:r w:rsidRPr="00B50F37">
        <w:rPr>
          <w:sz w:val="22"/>
          <w:szCs w:val="22"/>
        </w:rPr>
        <w:t xml:space="preserve"> using a structured checklist (validity, results, applicability).</w:t>
      </w:r>
    </w:p>
    <w:p w14:paraId="2BF9C5BA" w14:textId="77777777" w:rsidR="00302E34" w:rsidRPr="00B50F37" w:rsidRDefault="00302E34" w:rsidP="00FF6B1B">
      <w:pPr>
        <w:pStyle w:val="p1"/>
        <w:numPr>
          <w:ilvl w:val="0"/>
          <w:numId w:val="9"/>
        </w:numPr>
        <w:spacing w:before="0" w:beforeAutospacing="0"/>
        <w:rPr>
          <w:sz w:val="22"/>
          <w:szCs w:val="22"/>
        </w:rPr>
      </w:pPr>
      <w:r w:rsidRPr="00B50F37">
        <w:rPr>
          <w:rStyle w:val="s1"/>
          <w:rFonts w:eastAsiaTheme="majorEastAsia"/>
          <w:sz w:val="22"/>
          <w:szCs w:val="22"/>
        </w:rPr>
        <w:t xml:space="preserve">Interpret </w:t>
      </w:r>
      <w:r w:rsidRPr="00B50F37">
        <w:rPr>
          <w:b/>
          <w:bCs/>
          <w:sz w:val="22"/>
          <w:szCs w:val="22"/>
        </w:rPr>
        <w:t>effect sizes and confidence intervals</w:t>
      </w:r>
      <w:r w:rsidRPr="00B50F37">
        <w:rPr>
          <w:rStyle w:val="s1"/>
          <w:rFonts w:eastAsiaTheme="majorEastAsia"/>
          <w:sz w:val="22"/>
          <w:szCs w:val="22"/>
        </w:rPr>
        <w:t>, moving beyond p-values.</w:t>
      </w:r>
    </w:p>
    <w:p w14:paraId="28233B80" w14:textId="77777777" w:rsidR="00302E34" w:rsidRPr="00B50F37" w:rsidRDefault="00302E34" w:rsidP="00FF6B1B">
      <w:pPr>
        <w:pStyle w:val="p1"/>
        <w:numPr>
          <w:ilvl w:val="0"/>
          <w:numId w:val="9"/>
        </w:numPr>
        <w:spacing w:before="0" w:beforeAutospacing="0"/>
        <w:rPr>
          <w:sz w:val="22"/>
          <w:szCs w:val="22"/>
        </w:rPr>
      </w:pPr>
      <w:r w:rsidRPr="00B50F37">
        <w:rPr>
          <w:sz w:val="22"/>
          <w:szCs w:val="22"/>
        </w:rPr>
        <w:t xml:space="preserve">Apply findings to </w:t>
      </w:r>
      <w:r w:rsidRPr="00B50F37">
        <w:rPr>
          <w:rStyle w:val="s1"/>
          <w:rFonts w:eastAsiaTheme="majorEastAsia"/>
          <w:b/>
          <w:bCs/>
          <w:sz w:val="22"/>
          <w:szCs w:val="22"/>
        </w:rPr>
        <w:t>clinical vignettes</w:t>
      </w:r>
      <w:r w:rsidRPr="00B50F37">
        <w:rPr>
          <w:sz w:val="22"/>
          <w:szCs w:val="22"/>
        </w:rPr>
        <w:t xml:space="preserve"> relevant to anesthesia practice.</w:t>
      </w:r>
    </w:p>
    <w:p w14:paraId="40142E13" w14:textId="50788E64" w:rsidR="00302E34" w:rsidRPr="00B50F37" w:rsidRDefault="00302E34" w:rsidP="00FF6B1B">
      <w:pPr>
        <w:pStyle w:val="p1"/>
        <w:numPr>
          <w:ilvl w:val="0"/>
          <w:numId w:val="9"/>
        </w:numPr>
        <w:spacing w:before="0" w:beforeAutospacing="0"/>
        <w:rPr>
          <w:sz w:val="22"/>
          <w:szCs w:val="22"/>
        </w:rPr>
      </w:pPr>
      <w:r w:rsidRPr="00B50F37">
        <w:rPr>
          <w:sz w:val="22"/>
          <w:szCs w:val="22"/>
        </w:rPr>
        <w:t xml:space="preserve">Recognize limits of generalizing fracture trial data to elective THA, where </w:t>
      </w:r>
      <w:r w:rsidRPr="00B50F37">
        <w:rPr>
          <w:rStyle w:val="s1"/>
          <w:rFonts w:eastAsiaTheme="majorEastAsia"/>
          <w:b/>
          <w:bCs/>
          <w:sz w:val="22"/>
          <w:szCs w:val="22"/>
        </w:rPr>
        <w:t>ERAS pathways and regional techniques</w:t>
      </w:r>
      <w:r w:rsidRPr="00B50F37">
        <w:rPr>
          <w:sz w:val="22"/>
          <w:szCs w:val="22"/>
        </w:rPr>
        <w:t xml:space="preserve"> remain standard of care.</w:t>
      </w:r>
    </w:p>
    <w:p w14:paraId="71E371C0" w14:textId="213DCC25" w:rsidR="00302E34" w:rsidRPr="00302E34" w:rsidRDefault="002E73F4" w:rsidP="002E73F4">
      <w:pPr>
        <w:pStyle w:val="p2"/>
        <w:rPr>
          <w:sz w:val="22"/>
          <w:szCs w:val="22"/>
        </w:rPr>
      </w:pPr>
      <w:r w:rsidRPr="00B50F37">
        <w:rPr>
          <w:b/>
          <w:bCs/>
          <w:sz w:val="22"/>
          <w:szCs w:val="22"/>
        </w:rPr>
        <w:t>Note:</w:t>
      </w:r>
      <w:r w:rsidRPr="00B50F37">
        <w:rPr>
          <w:sz w:val="22"/>
          <w:szCs w:val="22"/>
        </w:rPr>
        <w:t xml:space="preserve"> </w:t>
      </w:r>
      <w:r w:rsidR="00302E34" w:rsidRPr="00B50F37">
        <w:rPr>
          <w:sz w:val="22"/>
          <w:szCs w:val="22"/>
        </w:rPr>
        <w:t xml:space="preserve">The session emphasizes </w:t>
      </w:r>
      <w:r w:rsidR="00302E34" w:rsidRPr="00B50F37">
        <w:rPr>
          <w:rStyle w:val="s1"/>
          <w:rFonts w:eastAsiaTheme="majorEastAsia"/>
          <w:b/>
          <w:bCs/>
          <w:sz w:val="22"/>
          <w:szCs w:val="22"/>
        </w:rPr>
        <w:t>active resident-led discussion</w:t>
      </w:r>
      <w:r w:rsidR="00302E34" w:rsidRPr="00B50F37">
        <w:rPr>
          <w:sz w:val="22"/>
          <w:szCs w:val="22"/>
        </w:rPr>
        <w:t xml:space="preserve"> rather than lecture, linking appraisal skills directly to </w:t>
      </w:r>
      <w:r w:rsidR="00302E34" w:rsidRPr="00B50F37">
        <w:rPr>
          <w:rStyle w:val="s1"/>
          <w:rFonts w:eastAsiaTheme="majorEastAsia"/>
          <w:b/>
          <w:bCs/>
          <w:sz w:val="22"/>
          <w:szCs w:val="22"/>
        </w:rPr>
        <w:t>PBLI milestones</w:t>
      </w:r>
      <w:r w:rsidRPr="00B50F37">
        <w:rPr>
          <w:rStyle w:val="s1"/>
          <w:rFonts w:eastAsiaTheme="majorEastAsia"/>
          <w:b/>
          <w:bCs/>
          <w:sz w:val="22"/>
          <w:szCs w:val="22"/>
        </w:rPr>
        <w:t xml:space="preserve"> (1)</w:t>
      </w:r>
      <w:r w:rsidR="00302E34" w:rsidRPr="00B50F37">
        <w:rPr>
          <w:sz w:val="22"/>
          <w:szCs w:val="22"/>
        </w:rPr>
        <w:t xml:space="preserve"> and clinical decision-making.</w:t>
      </w:r>
    </w:p>
    <w:p w14:paraId="3D8FCD8F" w14:textId="7E52D0D4" w:rsidR="00302E34" w:rsidRPr="00302E34" w:rsidRDefault="00302E34" w:rsidP="00343B6D">
      <w:pPr>
        <w:spacing w:before="100" w:beforeAutospacing="1" w:after="80"/>
        <w:outlineLvl w:val="1"/>
        <w:rPr>
          <w:b/>
          <w:bCs/>
          <w:color w:val="C00000"/>
          <w:sz w:val="22"/>
          <w:szCs w:val="22"/>
        </w:rPr>
      </w:pPr>
      <w:r w:rsidRPr="00302E34">
        <w:rPr>
          <w:b/>
          <w:bCs/>
          <w:color w:val="C00000"/>
          <w:sz w:val="22"/>
          <w:szCs w:val="22"/>
        </w:rPr>
        <w:t>Articles for Review</w:t>
      </w:r>
    </w:p>
    <w:p w14:paraId="50CDB5B3" w14:textId="77777777" w:rsidR="00302E34" w:rsidRPr="00302E34" w:rsidRDefault="00302E34" w:rsidP="00FF6B1B">
      <w:pPr>
        <w:numPr>
          <w:ilvl w:val="0"/>
          <w:numId w:val="2"/>
        </w:numPr>
        <w:spacing w:after="100" w:afterAutospacing="1"/>
        <w:rPr>
          <w:sz w:val="22"/>
          <w:szCs w:val="22"/>
        </w:rPr>
      </w:pPr>
      <w:r w:rsidRPr="00302E34">
        <w:rPr>
          <w:b/>
          <w:bCs/>
          <w:sz w:val="22"/>
          <w:szCs w:val="22"/>
        </w:rPr>
        <w:t>Vail et al., Anesthesiology 2024</w:t>
      </w:r>
      <w:r w:rsidRPr="00302E34">
        <w:rPr>
          <w:sz w:val="22"/>
          <w:szCs w:val="22"/>
        </w:rPr>
        <w:t xml:space="preserve"> — REGAIN Long-Term Outcomes (1-year survival &amp; ambulation)</w:t>
      </w:r>
    </w:p>
    <w:p w14:paraId="7EC06A31" w14:textId="77777777" w:rsidR="00302E34" w:rsidRPr="00302E34" w:rsidRDefault="00302E34" w:rsidP="00FF6B1B">
      <w:pPr>
        <w:numPr>
          <w:ilvl w:val="0"/>
          <w:numId w:val="2"/>
        </w:numPr>
        <w:spacing w:after="100" w:afterAutospacing="1"/>
        <w:rPr>
          <w:sz w:val="22"/>
          <w:szCs w:val="22"/>
        </w:rPr>
      </w:pPr>
      <w:r w:rsidRPr="00302E34">
        <w:rPr>
          <w:b/>
          <w:bCs/>
          <w:sz w:val="22"/>
          <w:szCs w:val="22"/>
        </w:rPr>
        <w:t>Ritz et al., Ann Intern Med 2022</w:t>
      </w:r>
      <w:r w:rsidRPr="00302E34">
        <w:rPr>
          <w:sz w:val="22"/>
          <w:szCs w:val="22"/>
        </w:rPr>
        <w:t xml:space="preserve"> — REGAIN Pain, Analgesic Use, and Satisfaction</w:t>
      </w:r>
    </w:p>
    <w:p w14:paraId="1F2F719D" w14:textId="3125D4E2" w:rsidR="00302E34" w:rsidRPr="00302E34" w:rsidRDefault="00302E34" w:rsidP="00FF6B1B">
      <w:pPr>
        <w:numPr>
          <w:ilvl w:val="0"/>
          <w:numId w:val="2"/>
        </w:numPr>
        <w:spacing w:after="100" w:afterAutospacing="1"/>
        <w:rPr>
          <w:sz w:val="22"/>
          <w:szCs w:val="22"/>
        </w:rPr>
      </w:pPr>
      <w:r w:rsidRPr="00302E34">
        <w:rPr>
          <w:b/>
          <w:bCs/>
          <w:sz w:val="22"/>
          <w:szCs w:val="22"/>
        </w:rPr>
        <w:t>Haslam et al., BJA Education 2024</w:t>
      </w:r>
      <w:r w:rsidRPr="00302E34">
        <w:rPr>
          <w:sz w:val="22"/>
          <w:szCs w:val="22"/>
        </w:rPr>
        <w:t xml:space="preserve"> — Perioperative Best Practice for Primary Elective THA</w:t>
      </w:r>
    </w:p>
    <w:p w14:paraId="2BDF83C0" w14:textId="490CEB69" w:rsidR="00302E34" w:rsidRPr="00302E34" w:rsidRDefault="00302E34" w:rsidP="00343B6D">
      <w:pPr>
        <w:spacing w:before="100" w:beforeAutospacing="1" w:after="80"/>
        <w:outlineLvl w:val="1"/>
        <w:rPr>
          <w:b/>
          <w:bCs/>
          <w:color w:val="C00000"/>
          <w:sz w:val="22"/>
          <w:szCs w:val="22"/>
        </w:rPr>
      </w:pPr>
      <w:r w:rsidRPr="00302E34">
        <w:rPr>
          <w:b/>
          <w:bCs/>
          <w:color w:val="C00000"/>
          <w:sz w:val="22"/>
          <w:szCs w:val="22"/>
        </w:rPr>
        <w:t>Pre-Work Instructions</w:t>
      </w:r>
    </w:p>
    <w:p w14:paraId="38CE3564" w14:textId="01FB1872" w:rsidR="00302E34" w:rsidRPr="00302E34" w:rsidRDefault="00B50F37" w:rsidP="00B50F37">
      <w:pPr>
        <w:ind w:left="360"/>
        <w:rPr>
          <w:b/>
          <w:bCs/>
          <w:sz w:val="22"/>
          <w:szCs w:val="22"/>
        </w:rPr>
      </w:pPr>
      <w:r>
        <w:rPr>
          <w:b/>
          <w:bCs/>
          <w:sz w:val="22"/>
          <w:szCs w:val="22"/>
        </w:rPr>
        <w:t xml:space="preserve">1. </w:t>
      </w:r>
      <w:r w:rsidR="00302E34" w:rsidRPr="00302E34">
        <w:rPr>
          <w:b/>
          <w:bCs/>
          <w:sz w:val="22"/>
          <w:szCs w:val="22"/>
        </w:rPr>
        <w:t>Before the session:</w:t>
      </w:r>
    </w:p>
    <w:p w14:paraId="59E31298" w14:textId="77777777" w:rsidR="00302E34" w:rsidRPr="00302E34" w:rsidRDefault="00302E34" w:rsidP="00B50F37">
      <w:pPr>
        <w:numPr>
          <w:ilvl w:val="0"/>
          <w:numId w:val="3"/>
        </w:numPr>
        <w:tabs>
          <w:tab w:val="clear" w:pos="720"/>
          <w:tab w:val="num" w:pos="1080"/>
        </w:tabs>
        <w:spacing w:after="100" w:afterAutospacing="1"/>
        <w:ind w:left="1080"/>
        <w:rPr>
          <w:sz w:val="22"/>
          <w:szCs w:val="22"/>
        </w:rPr>
      </w:pPr>
      <w:r w:rsidRPr="00302E34">
        <w:rPr>
          <w:sz w:val="22"/>
          <w:szCs w:val="22"/>
        </w:rPr>
        <w:t>Read all three articles.</w:t>
      </w:r>
    </w:p>
    <w:p w14:paraId="774D462E" w14:textId="77777777" w:rsidR="00302E34" w:rsidRPr="00302E34" w:rsidRDefault="00302E34" w:rsidP="00B50F37">
      <w:pPr>
        <w:numPr>
          <w:ilvl w:val="0"/>
          <w:numId w:val="3"/>
        </w:numPr>
        <w:tabs>
          <w:tab w:val="clear" w:pos="720"/>
          <w:tab w:val="num" w:pos="1080"/>
        </w:tabs>
        <w:spacing w:after="100" w:afterAutospacing="1"/>
        <w:ind w:left="1080"/>
        <w:rPr>
          <w:sz w:val="22"/>
          <w:szCs w:val="22"/>
        </w:rPr>
      </w:pPr>
      <w:r w:rsidRPr="00302E34">
        <w:rPr>
          <w:sz w:val="22"/>
          <w:szCs w:val="22"/>
        </w:rPr>
        <w:t xml:space="preserve">Complete the </w:t>
      </w:r>
      <w:r w:rsidRPr="00302E34">
        <w:rPr>
          <w:b/>
          <w:bCs/>
          <w:sz w:val="22"/>
          <w:szCs w:val="22"/>
        </w:rPr>
        <w:t>Critical Appraisal Checklist</w:t>
      </w:r>
      <w:r w:rsidRPr="00302E34">
        <w:rPr>
          <w:sz w:val="22"/>
          <w:szCs w:val="22"/>
        </w:rPr>
        <w:t xml:space="preserve"> (1–2 bullet points per question).</w:t>
      </w:r>
    </w:p>
    <w:p w14:paraId="6A8A414E" w14:textId="77777777" w:rsidR="00302E34" w:rsidRPr="00302E34" w:rsidRDefault="00302E34" w:rsidP="00B50F37">
      <w:pPr>
        <w:numPr>
          <w:ilvl w:val="0"/>
          <w:numId w:val="3"/>
        </w:numPr>
        <w:tabs>
          <w:tab w:val="clear" w:pos="720"/>
          <w:tab w:val="num" w:pos="1080"/>
        </w:tabs>
        <w:spacing w:after="100" w:afterAutospacing="1"/>
        <w:ind w:left="1080"/>
        <w:rPr>
          <w:sz w:val="22"/>
          <w:szCs w:val="22"/>
        </w:rPr>
      </w:pPr>
      <w:r w:rsidRPr="00302E34">
        <w:rPr>
          <w:sz w:val="22"/>
          <w:szCs w:val="22"/>
        </w:rPr>
        <w:t xml:space="preserve">Prepare a </w:t>
      </w:r>
      <w:r w:rsidRPr="00302E34">
        <w:rPr>
          <w:b/>
          <w:bCs/>
          <w:sz w:val="22"/>
          <w:szCs w:val="22"/>
        </w:rPr>
        <w:t>BLUF statement</w:t>
      </w:r>
      <w:r w:rsidRPr="00302E34">
        <w:rPr>
          <w:sz w:val="22"/>
          <w:szCs w:val="22"/>
        </w:rPr>
        <w:t xml:space="preserve"> (Bottom Line Up Front: one-sentence summary) for your assigned article.</w:t>
      </w:r>
    </w:p>
    <w:p w14:paraId="4F99344B" w14:textId="744D3F58" w:rsidR="00302E34" w:rsidRPr="00B50F37" w:rsidRDefault="00302E34" w:rsidP="00B50F37">
      <w:pPr>
        <w:numPr>
          <w:ilvl w:val="0"/>
          <w:numId w:val="3"/>
        </w:numPr>
        <w:tabs>
          <w:tab w:val="clear" w:pos="720"/>
          <w:tab w:val="num" w:pos="1080"/>
        </w:tabs>
        <w:spacing w:after="100" w:afterAutospacing="1"/>
        <w:ind w:left="1080"/>
        <w:rPr>
          <w:sz w:val="22"/>
          <w:szCs w:val="22"/>
        </w:rPr>
      </w:pPr>
      <w:r w:rsidRPr="00302E34">
        <w:rPr>
          <w:sz w:val="22"/>
          <w:szCs w:val="22"/>
        </w:rPr>
        <w:t>Bring notes to guide group discussion.</w:t>
      </w:r>
    </w:p>
    <w:p w14:paraId="6D237106" w14:textId="354A9F44" w:rsidR="007A47C9" w:rsidRPr="00302E34" w:rsidRDefault="00B50F37" w:rsidP="00B50F37">
      <w:pPr>
        <w:spacing w:before="100" w:beforeAutospacing="1"/>
        <w:ind w:left="360"/>
        <w:outlineLvl w:val="1"/>
        <w:rPr>
          <w:b/>
          <w:bCs/>
          <w:sz w:val="22"/>
          <w:szCs w:val="22"/>
        </w:rPr>
      </w:pPr>
      <w:r>
        <w:rPr>
          <w:b/>
          <w:bCs/>
          <w:sz w:val="22"/>
          <w:szCs w:val="22"/>
        </w:rPr>
        <w:t xml:space="preserve">2. </w:t>
      </w:r>
      <w:r w:rsidR="007A47C9" w:rsidRPr="00302E34">
        <w:rPr>
          <w:b/>
          <w:bCs/>
          <w:sz w:val="22"/>
          <w:szCs w:val="22"/>
        </w:rPr>
        <w:t>Pre-Work Deliverable</w:t>
      </w:r>
    </w:p>
    <w:p w14:paraId="03B3D557" w14:textId="77777777" w:rsidR="007A47C9" w:rsidRPr="00302E34" w:rsidRDefault="007A47C9" w:rsidP="00B50F37">
      <w:pPr>
        <w:numPr>
          <w:ilvl w:val="0"/>
          <w:numId w:val="8"/>
        </w:numPr>
        <w:tabs>
          <w:tab w:val="clear" w:pos="720"/>
          <w:tab w:val="num" w:pos="1080"/>
        </w:tabs>
        <w:spacing w:before="100" w:beforeAutospacing="1" w:after="100" w:afterAutospacing="1"/>
        <w:ind w:left="1080"/>
        <w:rPr>
          <w:sz w:val="22"/>
          <w:szCs w:val="22"/>
        </w:rPr>
      </w:pPr>
      <w:r w:rsidRPr="00302E34">
        <w:rPr>
          <w:sz w:val="22"/>
          <w:szCs w:val="22"/>
        </w:rPr>
        <w:t>Completed checklist (per primary article).</w:t>
      </w:r>
    </w:p>
    <w:p w14:paraId="250C1C23" w14:textId="77777777" w:rsidR="007A47C9" w:rsidRPr="00302E34" w:rsidRDefault="007A47C9" w:rsidP="00B50F37">
      <w:pPr>
        <w:numPr>
          <w:ilvl w:val="0"/>
          <w:numId w:val="8"/>
        </w:numPr>
        <w:tabs>
          <w:tab w:val="clear" w:pos="720"/>
          <w:tab w:val="num" w:pos="1080"/>
        </w:tabs>
        <w:spacing w:before="100" w:beforeAutospacing="1" w:after="100" w:afterAutospacing="1"/>
        <w:ind w:left="1080"/>
        <w:rPr>
          <w:sz w:val="22"/>
          <w:szCs w:val="22"/>
        </w:rPr>
      </w:pPr>
      <w:r w:rsidRPr="00302E34">
        <w:rPr>
          <w:sz w:val="22"/>
          <w:szCs w:val="22"/>
        </w:rPr>
        <w:t>BLUF statement (1 sentence per article).</w:t>
      </w:r>
    </w:p>
    <w:p w14:paraId="5CA020A9" w14:textId="77777777" w:rsidR="007A47C9" w:rsidRPr="00302E34" w:rsidRDefault="007A47C9" w:rsidP="00B50F37">
      <w:pPr>
        <w:numPr>
          <w:ilvl w:val="0"/>
          <w:numId w:val="8"/>
        </w:numPr>
        <w:tabs>
          <w:tab w:val="clear" w:pos="720"/>
          <w:tab w:val="num" w:pos="1080"/>
        </w:tabs>
        <w:spacing w:before="100" w:beforeAutospacing="1" w:after="100" w:afterAutospacing="1"/>
        <w:ind w:left="1080"/>
        <w:rPr>
          <w:sz w:val="22"/>
          <w:szCs w:val="22"/>
        </w:rPr>
      </w:pPr>
      <w:r w:rsidRPr="00302E34">
        <w:rPr>
          <w:sz w:val="22"/>
          <w:szCs w:val="22"/>
        </w:rPr>
        <w:t xml:space="preserve">Be ready to discuss </w:t>
      </w:r>
      <w:r w:rsidRPr="00B50F37">
        <w:rPr>
          <w:sz w:val="22"/>
          <w:szCs w:val="22"/>
        </w:rPr>
        <w:t>these articles and how you will apply them to your daily practice</w:t>
      </w:r>
    </w:p>
    <w:p w14:paraId="657C505A" w14:textId="77777777" w:rsidR="007A47C9" w:rsidRPr="00302E34" w:rsidRDefault="007A47C9" w:rsidP="007A47C9">
      <w:pPr>
        <w:spacing w:after="100" w:afterAutospacing="1"/>
        <w:rPr>
          <w:sz w:val="22"/>
          <w:szCs w:val="22"/>
        </w:rPr>
      </w:pPr>
    </w:p>
    <w:p w14:paraId="6F387205" w14:textId="7CAC6B44" w:rsidR="00302E34" w:rsidRPr="00302E34" w:rsidRDefault="00302E34" w:rsidP="00FF6B1B">
      <w:pPr>
        <w:spacing w:before="100" w:beforeAutospacing="1"/>
        <w:outlineLvl w:val="1"/>
        <w:rPr>
          <w:b/>
          <w:bCs/>
          <w:color w:val="C00000"/>
          <w:sz w:val="22"/>
          <w:szCs w:val="22"/>
          <w:vertAlign w:val="superscript"/>
        </w:rPr>
      </w:pPr>
      <w:r w:rsidRPr="00302E34">
        <w:rPr>
          <w:b/>
          <w:bCs/>
          <w:color w:val="C00000"/>
          <w:sz w:val="22"/>
          <w:szCs w:val="22"/>
        </w:rPr>
        <w:lastRenderedPageBreak/>
        <w:t>Critical Appraisal Checklist</w:t>
      </w:r>
      <w:r w:rsidR="00826305" w:rsidRPr="00826305">
        <w:rPr>
          <w:b/>
          <w:bCs/>
          <w:color w:val="C00000"/>
          <w:sz w:val="22"/>
          <w:szCs w:val="22"/>
        </w:rPr>
        <w:t xml:space="preserve"> (complete before session)</w:t>
      </w:r>
      <w:r w:rsidR="00E159BA">
        <w:rPr>
          <w:b/>
          <w:bCs/>
          <w:color w:val="C00000"/>
          <w:sz w:val="22"/>
          <w:szCs w:val="22"/>
        </w:rPr>
        <w:t xml:space="preserve"> </w:t>
      </w:r>
      <w:r w:rsidR="00E159BA" w:rsidRPr="00E159BA">
        <w:rPr>
          <w:b/>
          <w:bCs/>
          <w:color w:val="C00000"/>
          <w:sz w:val="22"/>
          <w:szCs w:val="22"/>
          <w:vertAlign w:val="superscript"/>
        </w:rPr>
        <w:t>3</w:t>
      </w:r>
    </w:p>
    <w:p w14:paraId="637B249F" w14:textId="77777777" w:rsidR="00302E34" w:rsidRPr="00302E34" w:rsidRDefault="00302E34" w:rsidP="00826305">
      <w:pPr>
        <w:spacing w:before="100" w:beforeAutospacing="1"/>
        <w:outlineLvl w:val="2"/>
        <w:rPr>
          <w:b/>
          <w:bCs/>
          <w:sz w:val="22"/>
          <w:szCs w:val="22"/>
        </w:rPr>
      </w:pPr>
      <w:r w:rsidRPr="00302E34">
        <w:rPr>
          <w:b/>
          <w:bCs/>
          <w:sz w:val="22"/>
          <w:szCs w:val="22"/>
        </w:rPr>
        <w:t>1. Are the results valid? (Internal Validity)</w:t>
      </w:r>
    </w:p>
    <w:p w14:paraId="0638DCE1" w14:textId="77777777" w:rsidR="00302E34" w:rsidRPr="00302E34" w:rsidRDefault="00302E34" w:rsidP="002E73F4">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Was randomization adequate?</w:t>
      </w:r>
    </w:p>
    <w:p w14:paraId="4E7E538B" w14:textId="77777777" w:rsidR="00302E34" w:rsidRPr="00302E34" w:rsidRDefault="00302E34" w:rsidP="002E73F4">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Was allocation concealed?</w:t>
      </w:r>
    </w:p>
    <w:p w14:paraId="5F57D0FD" w14:textId="77777777" w:rsidR="00302E34" w:rsidRPr="00302E34" w:rsidRDefault="00302E34" w:rsidP="002E73F4">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Who was blinded (if anyone)?</w:t>
      </w:r>
    </w:p>
    <w:p w14:paraId="46F95D6A" w14:textId="77777777" w:rsidR="00302E34" w:rsidRPr="00302E34" w:rsidRDefault="00302E34" w:rsidP="002E73F4">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Were baseline characteristics similar?</w:t>
      </w:r>
    </w:p>
    <w:p w14:paraId="67818DBD" w14:textId="77777777" w:rsidR="00302E34" w:rsidRPr="00302E34" w:rsidRDefault="00302E34" w:rsidP="002E73F4">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Was ITT analysis performed?</w:t>
      </w:r>
    </w:p>
    <w:p w14:paraId="332E4882" w14:textId="533D972B" w:rsidR="00302E34" w:rsidRPr="00302E34" w:rsidRDefault="00302E34" w:rsidP="002E73F4">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Were crossovers or missing data important?</w:t>
      </w:r>
    </w:p>
    <w:p w14:paraId="11A07520" w14:textId="77777777" w:rsidR="00302E34" w:rsidRPr="00302E34" w:rsidRDefault="00302E34" w:rsidP="00100FD8">
      <w:pPr>
        <w:spacing w:before="100" w:beforeAutospacing="1"/>
        <w:outlineLvl w:val="2"/>
        <w:rPr>
          <w:b/>
          <w:bCs/>
          <w:sz w:val="22"/>
          <w:szCs w:val="22"/>
        </w:rPr>
      </w:pPr>
      <w:r w:rsidRPr="00302E34">
        <w:rPr>
          <w:b/>
          <w:bCs/>
          <w:sz w:val="22"/>
          <w:szCs w:val="22"/>
        </w:rPr>
        <w:t>2. What were the results? (Magnitude &amp; Precision)</w:t>
      </w:r>
    </w:p>
    <w:p w14:paraId="53BA148E" w14:textId="77777777" w:rsidR="00302E34" w:rsidRPr="00302E34" w:rsidRDefault="00302E34" w:rsidP="002E73F4">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Effect sizes: HR, OR, CI, ARR, NNT/NNH?</w:t>
      </w:r>
    </w:p>
    <w:p w14:paraId="24B373D0" w14:textId="77777777" w:rsidR="00302E34" w:rsidRPr="00302E34" w:rsidRDefault="00302E34" w:rsidP="002E73F4">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Were results clinically meaningful or only statistically significant?</w:t>
      </w:r>
    </w:p>
    <w:p w14:paraId="136EBF71" w14:textId="77777777" w:rsidR="00302E34" w:rsidRPr="00302E34" w:rsidRDefault="00302E34" w:rsidP="002E73F4">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Were harms/adverse effects reported?</w:t>
      </w:r>
    </w:p>
    <w:p w14:paraId="62FE85A9" w14:textId="06F388E1" w:rsidR="00302E34" w:rsidRPr="00302E34" w:rsidRDefault="00302E34" w:rsidP="00100FD8">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Any time-course patterns (early vs late outcomes)?</w:t>
      </w:r>
    </w:p>
    <w:p w14:paraId="595A7E88" w14:textId="77777777" w:rsidR="00302E34" w:rsidRPr="00302E34" w:rsidRDefault="00302E34" w:rsidP="00100FD8">
      <w:pPr>
        <w:spacing w:before="100" w:beforeAutospacing="1"/>
        <w:outlineLvl w:val="2"/>
        <w:rPr>
          <w:b/>
          <w:bCs/>
          <w:sz w:val="22"/>
          <w:szCs w:val="22"/>
        </w:rPr>
      </w:pPr>
      <w:r w:rsidRPr="00302E34">
        <w:rPr>
          <w:b/>
          <w:bCs/>
          <w:sz w:val="22"/>
          <w:szCs w:val="22"/>
        </w:rPr>
        <w:t>3. Will these results help my patients? (Applicability)</w:t>
      </w:r>
    </w:p>
    <w:p w14:paraId="7FB514F3" w14:textId="77777777" w:rsidR="00302E34" w:rsidRPr="00302E34" w:rsidRDefault="00302E34" w:rsidP="00100FD8">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Does the study population match our patients?</w:t>
      </w:r>
    </w:p>
    <w:p w14:paraId="60F19D8B" w14:textId="77777777" w:rsidR="00302E34" w:rsidRPr="00302E34" w:rsidRDefault="00302E34" w:rsidP="00100FD8">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Are the outcomes patient-centered (survival, ambulation, pain, satisfaction)?</w:t>
      </w:r>
    </w:p>
    <w:p w14:paraId="3035D3A9" w14:textId="77777777" w:rsidR="00302E34" w:rsidRPr="00302E34" w:rsidRDefault="00302E34" w:rsidP="00100FD8">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Any barriers in our practice (anticoagulation, resources, PACU staffing)?</w:t>
      </w:r>
    </w:p>
    <w:p w14:paraId="2FD592D4" w14:textId="7AC869F7" w:rsidR="00302E34" w:rsidRPr="00302E34" w:rsidRDefault="00302E34" w:rsidP="00826305">
      <w:pPr>
        <w:spacing w:before="40" w:after="40"/>
        <w:ind w:left="360"/>
        <w:rPr>
          <w:sz w:val="22"/>
          <w:szCs w:val="22"/>
        </w:rPr>
      </w:pPr>
      <w:r w:rsidRPr="00302E34">
        <w:rPr>
          <w:rFonts w:ascii="Segoe UI Symbol" w:hAnsi="Segoe UI Symbol" w:cs="Segoe UI Symbol"/>
          <w:sz w:val="22"/>
          <w:szCs w:val="22"/>
        </w:rPr>
        <w:t>☐</w:t>
      </w:r>
      <w:r w:rsidRPr="00302E34">
        <w:rPr>
          <w:sz w:val="22"/>
          <w:szCs w:val="22"/>
        </w:rPr>
        <w:t xml:space="preserve"> How might local ERAS/THA pathways differ?</w:t>
      </w:r>
    </w:p>
    <w:p w14:paraId="684E9293" w14:textId="1E67C31A" w:rsidR="00302E34" w:rsidRPr="00826305" w:rsidRDefault="00302E34" w:rsidP="00966220">
      <w:pPr>
        <w:spacing w:before="100" w:beforeAutospacing="1" w:after="100" w:afterAutospacing="1"/>
        <w:outlineLvl w:val="1"/>
        <w:rPr>
          <w:b/>
          <w:bCs/>
          <w:color w:val="C00000"/>
          <w:sz w:val="22"/>
          <w:szCs w:val="22"/>
        </w:rPr>
      </w:pPr>
      <w:r w:rsidRPr="00826305">
        <w:rPr>
          <w:b/>
          <w:bCs/>
          <w:color w:val="C00000"/>
          <w:sz w:val="22"/>
          <w:szCs w:val="22"/>
        </w:rPr>
        <w:t xml:space="preserve">PICO </w:t>
      </w:r>
      <w:proofErr w:type="gramStart"/>
      <w:r w:rsidRPr="00826305">
        <w:rPr>
          <w:b/>
          <w:bCs/>
          <w:color w:val="C00000"/>
          <w:sz w:val="22"/>
          <w:szCs w:val="22"/>
        </w:rPr>
        <w:t>at a Glance</w:t>
      </w:r>
      <w:proofErr w:type="gramEnd"/>
    </w:p>
    <w:tbl>
      <w:tblPr>
        <w:tblStyle w:val="PlainTable2"/>
        <w:tblW w:w="0" w:type="auto"/>
        <w:tblLook w:val="04A0" w:firstRow="1" w:lastRow="0" w:firstColumn="1" w:lastColumn="0" w:noHBand="0" w:noVBand="1"/>
      </w:tblPr>
      <w:tblGrid>
        <w:gridCol w:w="845"/>
        <w:gridCol w:w="1851"/>
        <w:gridCol w:w="1534"/>
        <w:gridCol w:w="1530"/>
        <w:gridCol w:w="2593"/>
        <w:gridCol w:w="1007"/>
      </w:tblGrid>
      <w:tr w:rsidR="00FF6B1B" w:rsidRPr="00FF6B1B" w14:paraId="4F18C735" w14:textId="77777777" w:rsidTr="00FF6B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24" w:space="0" w:color="auto"/>
            </w:tcBorders>
            <w:hideMark/>
          </w:tcPr>
          <w:p w14:paraId="5E6E1AB7" w14:textId="77777777" w:rsidR="00302E34" w:rsidRPr="00302E34" w:rsidRDefault="00302E34" w:rsidP="00FF6B1B">
            <w:pPr>
              <w:spacing w:before="60" w:after="60"/>
              <w:rPr>
                <w:sz w:val="18"/>
                <w:szCs w:val="18"/>
              </w:rPr>
            </w:pPr>
            <w:r w:rsidRPr="00302E34">
              <w:rPr>
                <w:sz w:val="18"/>
                <w:szCs w:val="18"/>
              </w:rPr>
              <w:t>Study</w:t>
            </w:r>
          </w:p>
        </w:tc>
        <w:tc>
          <w:tcPr>
            <w:tcW w:w="1851" w:type="dxa"/>
            <w:tcBorders>
              <w:top w:val="single" w:sz="4" w:space="0" w:color="7F7F7F" w:themeColor="text1" w:themeTint="80"/>
              <w:bottom w:val="single" w:sz="24" w:space="0" w:color="auto"/>
            </w:tcBorders>
            <w:hideMark/>
          </w:tcPr>
          <w:p w14:paraId="4103D41E" w14:textId="77777777" w:rsidR="00302E34" w:rsidRPr="00302E34" w:rsidRDefault="00302E34" w:rsidP="00FF6B1B">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302E34">
              <w:rPr>
                <w:sz w:val="18"/>
                <w:szCs w:val="18"/>
              </w:rPr>
              <w:t>Population (P)</w:t>
            </w:r>
          </w:p>
        </w:tc>
        <w:tc>
          <w:tcPr>
            <w:tcW w:w="1534" w:type="dxa"/>
            <w:tcBorders>
              <w:top w:val="single" w:sz="4" w:space="0" w:color="7F7F7F" w:themeColor="text1" w:themeTint="80"/>
              <w:bottom w:val="single" w:sz="24" w:space="0" w:color="auto"/>
            </w:tcBorders>
            <w:hideMark/>
          </w:tcPr>
          <w:p w14:paraId="4AED637B" w14:textId="77777777" w:rsidR="00302E34" w:rsidRPr="00302E34" w:rsidRDefault="00302E34" w:rsidP="00FF6B1B">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302E34">
              <w:rPr>
                <w:sz w:val="18"/>
                <w:szCs w:val="18"/>
              </w:rPr>
              <w:t>Intervention (I)</w:t>
            </w:r>
          </w:p>
        </w:tc>
        <w:tc>
          <w:tcPr>
            <w:tcW w:w="1530" w:type="dxa"/>
            <w:tcBorders>
              <w:top w:val="single" w:sz="4" w:space="0" w:color="7F7F7F" w:themeColor="text1" w:themeTint="80"/>
              <w:bottom w:val="single" w:sz="24" w:space="0" w:color="auto"/>
            </w:tcBorders>
            <w:hideMark/>
          </w:tcPr>
          <w:p w14:paraId="100E44B2" w14:textId="77777777" w:rsidR="00302E34" w:rsidRPr="00302E34" w:rsidRDefault="00302E34" w:rsidP="00FF6B1B">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302E34">
              <w:rPr>
                <w:sz w:val="18"/>
                <w:szCs w:val="18"/>
              </w:rPr>
              <w:t>Comparison (C)</w:t>
            </w:r>
          </w:p>
        </w:tc>
        <w:tc>
          <w:tcPr>
            <w:tcW w:w="2593" w:type="dxa"/>
            <w:tcBorders>
              <w:top w:val="single" w:sz="4" w:space="0" w:color="7F7F7F" w:themeColor="text1" w:themeTint="80"/>
              <w:bottom w:val="single" w:sz="24" w:space="0" w:color="auto"/>
            </w:tcBorders>
            <w:hideMark/>
          </w:tcPr>
          <w:p w14:paraId="0E6E206E" w14:textId="77777777" w:rsidR="00302E34" w:rsidRPr="00302E34" w:rsidRDefault="00302E34" w:rsidP="00FF6B1B">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302E34">
              <w:rPr>
                <w:sz w:val="18"/>
                <w:szCs w:val="18"/>
              </w:rPr>
              <w:t>Outcomes (O)</w:t>
            </w:r>
          </w:p>
        </w:tc>
        <w:tc>
          <w:tcPr>
            <w:tcW w:w="0" w:type="auto"/>
            <w:tcBorders>
              <w:top w:val="single" w:sz="4" w:space="0" w:color="7F7F7F" w:themeColor="text1" w:themeTint="80"/>
              <w:bottom w:val="single" w:sz="24" w:space="0" w:color="auto"/>
            </w:tcBorders>
            <w:hideMark/>
          </w:tcPr>
          <w:p w14:paraId="31DEE58B" w14:textId="77777777" w:rsidR="00302E34" w:rsidRPr="00302E34" w:rsidRDefault="00302E34" w:rsidP="00FF6B1B">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302E34">
              <w:rPr>
                <w:sz w:val="18"/>
                <w:szCs w:val="18"/>
              </w:rPr>
              <w:t>Time (T)</w:t>
            </w:r>
          </w:p>
        </w:tc>
      </w:tr>
      <w:tr w:rsidR="00FF6B1B" w:rsidRPr="00FF6B1B" w14:paraId="0B2E884D" w14:textId="77777777" w:rsidTr="00FF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24" w:space="0" w:color="auto"/>
            </w:tcBorders>
            <w:hideMark/>
          </w:tcPr>
          <w:p w14:paraId="049F2190" w14:textId="77777777" w:rsidR="00302E34" w:rsidRPr="00302E34" w:rsidRDefault="00302E34" w:rsidP="00FF6B1B">
            <w:pPr>
              <w:spacing w:before="60" w:after="60"/>
              <w:rPr>
                <w:sz w:val="18"/>
                <w:szCs w:val="18"/>
              </w:rPr>
            </w:pPr>
            <w:r w:rsidRPr="00302E34">
              <w:rPr>
                <w:sz w:val="18"/>
                <w:szCs w:val="18"/>
              </w:rPr>
              <w:t>Vail 2024</w:t>
            </w:r>
          </w:p>
        </w:tc>
        <w:tc>
          <w:tcPr>
            <w:tcW w:w="1851" w:type="dxa"/>
            <w:tcBorders>
              <w:top w:val="single" w:sz="24" w:space="0" w:color="auto"/>
            </w:tcBorders>
            <w:hideMark/>
          </w:tcPr>
          <w:p w14:paraId="67D7349A" w14:textId="77777777" w:rsidR="00302E34" w:rsidRPr="00302E34" w:rsidRDefault="00302E34" w:rsidP="00FF6B1B">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302E34">
              <w:rPr>
                <w:sz w:val="18"/>
                <w:szCs w:val="18"/>
              </w:rPr>
              <w:t>Hip fracture, ≥50, ambulatory pre-fracture</w:t>
            </w:r>
          </w:p>
        </w:tc>
        <w:tc>
          <w:tcPr>
            <w:tcW w:w="1534" w:type="dxa"/>
            <w:tcBorders>
              <w:top w:val="single" w:sz="24" w:space="0" w:color="auto"/>
            </w:tcBorders>
            <w:hideMark/>
          </w:tcPr>
          <w:p w14:paraId="4609E6FD" w14:textId="77777777" w:rsidR="00302E34" w:rsidRPr="00302E34" w:rsidRDefault="00302E34" w:rsidP="00FF6B1B">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302E34">
              <w:rPr>
                <w:sz w:val="18"/>
                <w:szCs w:val="18"/>
              </w:rPr>
              <w:t>Spinal</w:t>
            </w:r>
          </w:p>
        </w:tc>
        <w:tc>
          <w:tcPr>
            <w:tcW w:w="1530" w:type="dxa"/>
            <w:tcBorders>
              <w:top w:val="single" w:sz="24" w:space="0" w:color="auto"/>
            </w:tcBorders>
            <w:hideMark/>
          </w:tcPr>
          <w:p w14:paraId="04EF5919" w14:textId="77777777" w:rsidR="00302E34" w:rsidRPr="00302E34" w:rsidRDefault="00302E34" w:rsidP="00FF6B1B">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302E34">
              <w:rPr>
                <w:sz w:val="18"/>
                <w:szCs w:val="18"/>
              </w:rPr>
              <w:t>GA</w:t>
            </w:r>
          </w:p>
        </w:tc>
        <w:tc>
          <w:tcPr>
            <w:tcW w:w="2593" w:type="dxa"/>
            <w:tcBorders>
              <w:top w:val="single" w:sz="24" w:space="0" w:color="auto"/>
            </w:tcBorders>
            <w:hideMark/>
          </w:tcPr>
          <w:p w14:paraId="6D39B7BF" w14:textId="77777777" w:rsidR="00302E34" w:rsidRPr="00302E34" w:rsidRDefault="00302E34" w:rsidP="00FF6B1B">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302E34">
              <w:rPr>
                <w:sz w:val="18"/>
                <w:szCs w:val="18"/>
              </w:rPr>
              <w:t>1-yr survival, ambulation, disability, nursing-home residence</w:t>
            </w:r>
          </w:p>
        </w:tc>
        <w:tc>
          <w:tcPr>
            <w:tcW w:w="0" w:type="auto"/>
            <w:tcBorders>
              <w:top w:val="single" w:sz="24" w:space="0" w:color="auto"/>
            </w:tcBorders>
            <w:hideMark/>
          </w:tcPr>
          <w:p w14:paraId="5A4B05E8" w14:textId="77777777" w:rsidR="00302E34" w:rsidRPr="00302E34" w:rsidRDefault="00302E34" w:rsidP="00FF6B1B">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302E34">
              <w:rPr>
                <w:sz w:val="18"/>
                <w:szCs w:val="18"/>
              </w:rPr>
              <w:t>60, 180, 365 d</w:t>
            </w:r>
          </w:p>
        </w:tc>
      </w:tr>
      <w:tr w:rsidR="00FF6B1B" w:rsidRPr="00FF6B1B" w14:paraId="241CD21D" w14:textId="77777777" w:rsidTr="00FF6B1B">
        <w:tc>
          <w:tcPr>
            <w:cnfStyle w:val="001000000000" w:firstRow="0" w:lastRow="0" w:firstColumn="1" w:lastColumn="0" w:oddVBand="0" w:evenVBand="0" w:oddHBand="0" w:evenHBand="0" w:firstRowFirstColumn="0" w:firstRowLastColumn="0" w:lastRowFirstColumn="0" w:lastRowLastColumn="0"/>
            <w:tcW w:w="0" w:type="auto"/>
            <w:hideMark/>
          </w:tcPr>
          <w:p w14:paraId="132F9E7C" w14:textId="77777777" w:rsidR="00302E34" w:rsidRPr="00302E34" w:rsidRDefault="00302E34" w:rsidP="00FF6B1B">
            <w:pPr>
              <w:spacing w:before="60" w:after="60"/>
              <w:rPr>
                <w:sz w:val="18"/>
                <w:szCs w:val="18"/>
              </w:rPr>
            </w:pPr>
            <w:r w:rsidRPr="00302E34">
              <w:rPr>
                <w:sz w:val="18"/>
                <w:szCs w:val="18"/>
              </w:rPr>
              <w:t>Ritz 2022</w:t>
            </w:r>
          </w:p>
        </w:tc>
        <w:tc>
          <w:tcPr>
            <w:tcW w:w="1851" w:type="dxa"/>
            <w:hideMark/>
          </w:tcPr>
          <w:p w14:paraId="24DFAA7A" w14:textId="77777777" w:rsidR="00302E34" w:rsidRPr="00302E34" w:rsidRDefault="00302E34" w:rsidP="00FF6B1B">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302E34">
              <w:rPr>
                <w:sz w:val="18"/>
                <w:szCs w:val="18"/>
              </w:rPr>
              <w:t>Same cohort (hip fracture)</w:t>
            </w:r>
          </w:p>
        </w:tc>
        <w:tc>
          <w:tcPr>
            <w:tcW w:w="1534" w:type="dxa"/>
            <w:hideMark/>
          </w:tcPr>
          <w:p w14:paraId="339BE356" w14:textId="77777777" w:rsidR="00302E34" w:rsidRPr="00302E34" w:rsidRDefault="00302E34" w:rsidP="00FF6B1B">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302E34">
              <w:rPr>
                <w:sz w:val="18"/>
                <w:szCs w:val="18"/>
              </w:rPr>
              <w:t>Spinal</w:t>
            </w:r>
          </w:p>
        </w:tc>
        <w:tc>
          <w:tcPr>
            <w:tcW w:w="1530" w:type="dxa"/>
            <w:hideMark/>
          </w:tcPr>
          <w:p w14:paraId="7E6D2BFC" w14:textId="77777777" w:rsidR="00302E34" w:rsidRPr="00302E34" w:rsidRDefault="00302E34" w:rsidP="00FF6B1B">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302E34">
              <w:rPr>
                <w:sz w:val="18"/>
                <w:szCs w:val="18"/>
              </w:rPr>
              <w:t>GA</w:t>
            </w:r>
          </w:p>
        </w:tc>
        <w:tc>
          <w:tcPr>
            <w:tcW w:w="2593" w:type="dxa"/>
            <w:hideMark/>
          </w:tcPr>
          <w:p w14:paraId="3D3D6945" w14:textId="77777777" w:rsidR="00302E34" w:rsidRPr="00302E34" w:rsidRDefault="00302E34" w:rsidP="00FF6B1B">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302E34">
              <w:rPr>
                <w:sz w:val="18"/>
                <w:szCs w:val="18"/>
              </w:rPr>
              <w:t>Pain (POD1–3, 60/180/365 d), Rx analgesic use (day 60), satisfaction</w:t>
            </w:r>
          </w:p>
        </w:tc>
        <w:tc>
          <w:tcPr>
            <w:tcW w:w="0" w:type="auto"/>
            <w:hideMark/>
          </w:tcPr>
          <w:p w14:paraId="77FC462B" w14:textId="77777777" w:rsidR="00302E34" w:rsidRPr="00302E34" w:rsidRDefault="00302E34" w:rsidP="00FF6B1B">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302E34">
              <w:rPr>
                <w:sz w:val="18"/>
                <w:szCs w:val="18"/>
              </w:rPr>
              <w:t>POD1–3, 60, 180, 365 d</w:t>
            </w:r>
          </w:p>
        </w:tc>
      </w:tr>
      <w:tr w:rsidR="00FF6B1B" w:rsidRPr="00FF6B1B" w14:paraId="3E47F8E3" w14:textId="77777777" w:rsidTr="00FF6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56AFF" w14:textId="77777777" w:rsidR="00302E34" w:rsidRPr="00302E34" w:rsidRDefault="00302E34" w:rsidP="00FF6B1B">
            <w:pPr>
              <w:spacing w:before="60" w:after="60"/>
              <w:rPr>
                <w:sz w:val="18"/>
                <w:szCs w:val="18"/>
              </w:rPr>
            </w:pPr>
            <w:r w:rsidRPr="00302E34">
              <w:rPr>
                <w:sz w:val="18"/>
                <w:szCs w:val="18"/>
              </w:rPr>
              <w:t>Haslam 2024</w:t>
            </w:r>
          </w:p>
        </w:tc>
        <w:tc>
          <w:tcPr>
            <w:tcW w:w="1851" w:type="dxa"/>
            <w:hideMark/>
          </w:tcPr>
          <w:p w14:paraId="4AD65E8D" w14:textId="77777777" w:rsidR="00302E34" w:rsidRPr="00302E34" w:rsidRDefault="00302E34" w:rsidP="00FF6B1B">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302E34">
              <w:rPr>
                <w:sz w:val="18"/>
                <w:szCs w:val="18"/>
              </w:rPr>
              <w:t>Elective primary THA</w:t>
            </w:r>
          </w:p>
        </w:tc>
        <w:tc>
          <w:tcPr>
            <w:tcW w:w="1534" w:type="dxa"/>
            <w:hideMark/>
          </w:tcPr>
          <w:p w14:paraId="1CF61D9E" w14:textId="77777777" w:rsidR="00302E34" w:rsidRPr="00302E34" w:rsidRDefault="00302E34" w:rsidP="00FF6B1B">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302E34">
              <w:rPr>
                <w:sz w:val="18"/>
                <w:szCs w:val="18"/>
              </w:rPr>
              <w:t>Neuraxial or RA/LIA + ERAS</w:t>
            </w:r>
          </w:p>
        </w:tc>
        <w:tc>
          <w:tcPr>
            <w:tcW w:w="1530" w:type="dxa"/>
            <w:hideMark/>
          </w:tcPr>
          <w:p w14:paraId="28DB05E6" w14:textId="77777777" w:rsidR="00302E34" w:rsidRPr="00302E34" w:rsidRDefault="00302E34" w:rsidP="00FF6B1B">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302E34">
              <w:rPr>
                <w:sz w:val="18"/>
                <w:szCs w:val="18"/>
              </w:rPr>
              <w:t>GA alone</w:t>
            </w:r>
          </w:p>
        </w:tc>
        <w:tc>
          <w:tcPr>
            <w:tcW w:w="2593" w:type="dxa"/>
            <w:hideMark/>
          </w:tcPr>
          <w:p w14:paraId="757E17AD" w14:textId="77777777" w:rsidR="00302E34" w:rsidRPr="00302E34" w:rsidRDefault="00302E34" w:rsidP="00FF6B1B">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302E34">
              <w:rPr>
                <w:sz w:val="18"/>
                <w:szCs w:val="18"/>
              </w:rPr>
              <w:t>Complications, mobilization, LOS, pain control</w:t>
            </w:r>
          </w:p>
        </w:tc>
        <w:tc>
          <w:tcPr>
            <w:tcW w:w="0" w:type="auto"/>
            <w:hideMark/>
          </w:tcPr>
          <w:p w14:paraId="015F40DC" w14:textId="77777777" w:rsidR="00302E34" w:rsidRPr="00302E34" w:rsidRDefault="00302E34" w:rsidP="00FF6B1B">
            <w:pPr>
              <w:spacing w:before="60" w:after="60"/>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302E34">
              <w:rPr>
                <w:sz w:val="18"/>
                <w:szCs w:val="18"/>
              </w:rPr>
              <w:t>Periop</w:t>
            </w:r>
            <w:proofErr w:type="spellEnd"/>
            <w:r w:rsidRPr="00302E34">
              <w:rPr>
                <w:sz w:val="18"/>
                <w:szCs w:val="18"/>
              </w:rPr>
              <w:t>–discharge</w:t>
            </w:r>
          </w:p>
        </w:tc>
      </w:tr>
    </w:tbl>
    <w:p w14:paraId="2F0B8EA6" w14:textId="30843A44" w:rsidR="00302E34" w:rsidRPr="00302E34" w:rsidRDefault="00302E34" w:rsidP="00302E34">
      <w:pPr>
        <w:spacing w:before="100" w:beforeAutospacing="1" w:after="100" w:afterAutospacing="1"/>
        <w:outlineLvl w:val="1"/>
        <w:rPr>
          <w:b/>
          <w:bCs/>
          <w:color w:val="C00000"/>
          <w:sz w:val="22"/>
          <w:szCs w:val="22"/>
        </w:rPr>
      </w:pPr>
      <w:r w:rsidRPr="00302E34">
        <w:rPr>
          <w:b/>
          <w:bCs/>
          <w:color w:val="C00000"/>
          <w:sz w:val="22"/>
          <w:szCs w:val="22"/>
        </w:rPr>
        <w:t>Key Reminders</w:t>
      </w:r>
    </w:p>
    <w:p w14:paraId="696C43C7" w14:textId="77777777" w:rsidR="00302E34" w:rsidRPr="00302E34" w:rsidRDefault="00302E34" w:rsidP="00302E34">
      <w:pPr>
        <w:numPr>
          <w:ilvl w:val="0"/>
          <w:numId w:val="7"/>
        </w:numPr>
        <w:spacing w:before="100" w:beforeAutospacing="1" w:after="100" w:afterAutospacing="1"/>
        <w:rPr>
          <w:sz w:val="22"/>
          <w:szCs w:val="22"/>
        </w:rPr>
      </w:pPr>
      <w:r w:rsidRPr="00302E34">
        <w:rPr>
          <w:sz w:val="22"/>
          <w:szCs w:val="22"/>
        </w:rPr>
        <w:t>Hip fracture ≠ elective THA.</w:t>
      </w:r>
    </w:p>
    <w:p w14:paraId="79712273" w14:textId="77777777" w:rsidR="00302E34" w:rsidRPr="00302E34" w:rsidRDefault="00302E34" w:rsidP="00302E34">
      <w:pPr>
        <w:numPr>
          <w:ilvl w:val="0"/>
          <w:numId w:val="7"/>
        </w:numPr>
        <w:spacing w:before="100" w:beforeAutospacing="1" w:after="100" w:afterAutospacing="1"/>
        <w:rPr>
          <w:sz w:val="22"/>
          <w:szCs w:val="22"/>
        </w:rPr>
      </w:pPr>
      <w:r w:rsidRPr="00302E34">
        <w:rPr>
          <w:b/>
          <w:bCs/>
          <w:sz w:val="22"/>
          <w:szCs w:val="22"/>
        </w:rPr>
        <w:t>REGAIN findings:</w:t>
      </w:r>
    </w:p>
    <w:p w14:paraId="04438AF8" w14:textId="77777777" w:rsidR="00302E34" w:rsidRPr="00302E34" w:rsidRDefault="00302E34" w:rsidP="00302E34">
      <w:pPr>
        <w:numPr>
          <w:ilvl w:val="1"/>
          <w:numId w:val="7"/>
        </w:numPr>
        <w:spacing w:before="100" w:beforeAutospacing="1" w:after="100" w:afterAutospacing="1"/>
        <w:rPr>
          <w:sz w:val="22"/>
          <w:szCs w:val="22"/>
        </w:rPr>
      </w:pPr>
      <w:r w:rsidRPr="00302E34">
        <w:rPr>
          <w:sz w:val="22"/>
          <w:szCs w:val="22"/>
        </w:rPr>
        <w:t>No difference in 1-yr survival or ambulation (spinal vs GA).</w:t>
      </w:r>
    </w:p>
    <w:p w14:paraId="2E3702DE" w14:textId="77777777" w:rsidR="00302E34" w:rsidRPr="00302E34" w:rsidRDefault="00302E34" w:rsidP="00302E34">
      <w:pPr>
        <w:numPr>
          <w:ilvl w:val="1"/>
          <w:numId w:val="7"/>
        </w:numPr>
        <w:spacing w:before="100" w:beforeAutospacing="1" w:after="100" w:afterAutospacing="1"/>
        <w:rPr>
          <w:sz w:val="22"/>
          <w:szCs w:val="22"/>
        </w:rPr>
      </w:pPr>
      <w:r w:rsidRPr="00302E34">
        <w:rPr>
          <w:sz w:val="22"/>
          <w:szCs w:val="22"/>
        </w:rPr>
        <w:t>Spinal = ↑ pain POD1, ↑ prescription analgesic use at day 60, similar satisfaction.</w:t>
      </w:r>
    </w:p>
    <w:p w14:paraId="0F75D006" w14:textId="77777777" w:rsidR="00302E34" w:rsidRPr="00302E34" w:rsidRDefault="00302E34" w:rsidP="00302E34">
      <w:pPr>
        <w:numPr>
          <w:ilvl w:val="0"/>
          <w:numId w:val="7"/>
        </w:numPr>
        <w:spacing w:before="100" w:beforeAutospacing="1" w:after="100" w:afterAutospacing="1"/>
        <w:rPr>
          <w:sz w:val="22"/>
          <w:szCs w:val="22"/>
        </w:rPr>
      </w:pPr>
      <w:r w:rsidRPr="00302E34">
        <w:rPr>
          <w:b/>
          <w:bCs/>
          <w:sz w:val="22"/>
          <w:szCs w:val="22"/>
        </w:rPr>
        <w:t>Haslam best practice (THA):</w:t>
      </w:r>
    </w:p>
    <w:p w14:paraId="35BA33B2" w14:textId="77777777" w:rsidR="00302E34" w:rsidRPr="00302E34" w:rsidRDefault="00302E34" w:rsidP="00302E34">
      <w:pPr>
        <w:numPr>
          <w:ilvl w:val="1"/>
          <w:numId w:val="7"/>
        </w:numPr>
        <w:spacing w:before="100" w:beforeAutospacing="1" w:after="100" w:afterAutospacing="1"/>
        <w:rPr>
          <w:sz w:val="22"/>
          <w:szCs w:val="22"/>
        </w:rPr>
      </w:pPr>
      <w:r w:rsidRPr="00302E34">
        <w:rPr>
          <w:sz w:val="22"/>
          <w:szCs w:val="22"/>
        </w:rPr>
        <w:t>ERAS pathways.</w:t>
      </w:r>
    </w:p>
    <w:p w14:paraId="435E1260" w14:textId="77777777" w:rsidR="00302E34" w:rsidRPr="00302E34" w:rsidRDefault="00302E34" w:rsidP="00302E34">
      <w:pPr>
        <w:numPr>
          <w:ilvl w:val="1"/>
          <w:numId w:val="7"/>
        </w:numPr>
        <w:spacing w:before="100" w:beforeAutospacing="1" w:after="100" w:afterAutospacing="1"/>
        <w:rPr>
          <w:sz w:val="22"/>
          <w:szCs w:val="22"/>
        </w:rPr>
      </w:pPr>
      <w:r w:rsidRPr="00302E34">
        <w:rPr>
          <w:sz w:val="22"/>
          <w:szCs w:val="22"/>
        </w:rPr>
        <w:t>Neuraxial or motor-sparing RA/LIA.</w:t>
      </w:r>
    </w:p>
    <w:p w14:paraId="0AF3B722" w14:textId="77777777" w:rsidR="00302E34" w:rsidRPr="00302E34" w:rsidRDefault="00302E34" w:rsidP="00302E34">
      <w:pPr>
        <w:numPr>
          <w:ilvl w:val="1"/>
          <w:numId w:val="7"/>
        </w:numPr>
        <w:spacing w:before="100" w:beforeAutospacing="1" w:after="100" w:afterAutospacing="1"/>
        <w:rPr>
          <w:sz w:val="22"/>
          <w:szCs w:val="22"/>
        </w:rPr>
      </w:pPr>
      <w:r w:rsidRPr="00302E34">
        <w:rPr>
          <w:sz w:val="22"/>
          <w:szCs w:val="22"/>
        </w:rPr>
        <w:t>Multimodal analgesia.</w:t>
      </w:r>
    </w:p>
    <w:p w14:paraId="42C5470D" w14:textId="77777777" w:rsidR="00302E34" w:rsidRPr="00302E34" w:rsidRDefault="00302E34" w:rsidP="00302E34">
      <w:pPr>
        <w:numPr>
          <w:ilvl w:val="1"/>
          <w:numId w:val="7"/>
        </w:numPr>
        <w:spacing w:before="100" w:beforeAutospacing="1" w:after="100" w:afterAutospacing="1"/>
        <w:rPr>
          <w:sz w:val="22"/>
          <w:szCs w:val="22"/>
        </w:rPr>
      </w:pPr>
      <w:r w:rsidRPr="00302E34">
        <w:rPr>
          <w:sz w:val="22"/>
          <w:szCs w:val="22"/>
        </w:rPr>
        <w:t>GA-only is not considered best practice.</w:t>
      </w:r>
    </w:p>
    <w:p w14:paraId="08056B39" w14:textId="48922D05" w:rsidR="00474BB9" w:rsidRPr="00474BB9" w:rsidRDefault="00474BB9" w:rsidP="00AD0E2C">
      <w:pPr>
        <w:spacing w:after="240"/>
        <w:rPr>
          <w:b/>
          <w:bCs/>
          <w:color w:val="000000" w:themeColor="text1"/>
          <w:sz w:val="22"/>
          <w:szCs w:val="22"/>
        </w:rPr>
      </w:pPr>
      <w:r w:rsidRPr="00474BB9">
        <w:rPr>
          <w:b/>
          <w:bCs/>
          <w:color w:val="000000" w:themeColor="text1"/>
          <w:sz w:val="22"/>
          <w:szCs w:val="22"/>
        </w:rPr>
        <w:lastRenderedPageBreak/>
        <w:t>NOTES</w:t>
      </w:r>
    </w:p>
    <w:p w14:paraId="3DB77CA7" w14:textId="3E5618E2" w:rsidR="00FF6B1B" w:rsidRPr="00AD0E2C" w:rsidRDefault="00AD0E2C" w:rsidP="00AD0E2C">
      <w:pPr>
        <w:spacing w:after="240"/>
        <w:rPr>
          <w:b/>
          <w:bCs/>
          <w:color w:val="C00000"/>
          <w:sz w:val="22"/>
          <w:szCs w:val="22"/>
        </w:rPr>
      </w:pPr>
      <w:r w:rsidRPr="00AD0E2C">
        <w:rPr>
          <w:b/>
          <w:bCs/>
          <w:color w:val="C00000"/>
          <w:sz w:val="22"/>
          <w:szCs w:val="22"/>
        </w:rPr>
        <w:t xml:space="preserve">1. </w:t>
      </w:r>
      <w:r w:rsidR="00FF6B1B" w:rsidRPr="00AD0E2C">
        <w:rPr>
          <w:b/>
          <w:bCs/>
          <w:color w:val="C00000"/>
          <w:sz w:val="22"/>
          <w:szCs w:val="22"/>
        </w:rPr>
        <w:t>PBLI Milestones</w:t>
      </w:r>
    </w:p>
    <w:p w14:paraId="5F6AC1C9" w14:textId="6E0B21F7" w:rsidR="00FF6B1B" w:rsidRPr="00AD0E2C" w:rsidRDefault="00FF6B1B" w:rsidP="00826305">
      <w:pPr>
        <w:pStyle w:val="p1"/>
        <w:spacing w:before="0" w:beforeAutospacing="0"/>
        <w:rPr>
          <w:sz w:val="18"/>
          <w:szCs w:val="18"/>
        </w:rPr>
      </w:pPr>
      <w:r w:rsidRPr="00AD0E2C">
        <w:rPr>
          <w:sz w:val="18"/>
          <w:szCs w:val="18"/>
        </w:rPr>
        <w:t>Demonstrate PBLI 2 by critiquing trial validity, PBLI 3 by questioning how this applies to our hip fracture patients, and PBLI 4 by teaching each other critical appraisal.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2775"/>
        <w:gridCol w:w="5760"/>
      </w:tblGrid>
      <w:tr w:rsidR="00FF6B1B" w:rsidRPr="00FF6B1B" w14:paraId="1A64E3D4" w14:textId="77777777" w:rsidTr="00FF6B1B">
        <w:trPr>
          <w:tblHeader/>
          <w:tblCellSpacing w:w="15" w:type="dxa"/>
        </w:trPr>
        <w:tc>
          <w:tcPr>
            <w:tcW w:w="0" w:type="auto"/>
            <w:tcBorders>
              <w:bottom w:val="single" w:sz="18" w:space="0" w:color="auto"/>
            </w:tcBorders>
            <w:vAlign w:val="center"/>
            <w:hideMark/>
          </w:tcPr>
          <w:p w14:paraId="2A8C7B53" w14:textId="77777777" w:rsidR="00FF6B1B" w:rsidRPr="00FF6B1B" w:rsidRDefault="00FF6B1B" w:rsidP="00FF6B1B">
            <w:pPr>
              <w:spacing w:before="100" w:beforeAutospacing="1" w:after="100" w:afterAutospacing="1"/>
              <w:rPr>
                <w:b/>
                <w:bCs/>
                <w:sz w:val="18"/>
                <w:szCs w:val="18"/>
              </w:rPr>
            </w:pPr>
            <w:r w:rsidRPr="00FF6B1B">
              <w:rPr>
                <w:b/>
                <w:bCs/>
                <w:sz w:val="18"/>
                <w:szCs w:val="18"/>
              </w:rPr>
              <w:t>Milestone</w:t>
            </w:r>
          </w:p>
        </w:tc>
        <w:tc>
          <w:tcPr>
            <w:tcW w:w="2745" w:type="dxa"/>
            <w:tcBorders>
              <w:bottom w:val="single" w:sz="18" w:space="0" w:color="auto"/>
            </w:tcBorders>
            <w:vAlign w:val="center"/>
            <w:hideMark/>
          </w:tcPr>
          <w:p w14:paraId="6A63E4C2" w14:textId="77777777" w:rsidR="00FF6B1B" w:rsidRPr="00FF6B1B" w:rsidRDefault="00FF6B1B" w:rsidP="00FF6B1B">
            <w:pPr>
              <w:spacing w:before="100" w:beforeAutospacing="1" w:after="100" w:afterAutospacing="1"/>
              <w:rPr>
                <w:b/>
                <w:bCs/>
                <w:sz w:val="18"/>
                <w:szCs w:val="18"/>
              </w:rPr>
            </w:pPr>
            <w:r w:rsidRPr="00FF6B1B">
              <w:rPr>
                <w:b/>
                <w:bCs/>
                <w:sz w:val="18"/>
                <w:szCs w:val="18"/>
              </w:rPr>
              <w:t>Description</w:t>
            </w:r>
          </w:p>
        </w:tc>
        <w:tc>
          <w:tcPr>
            <w:tcW w:w="5715" w:type="dxa"/>
            <w:tcBorders>
              <w:bottom w:val="single" w:sz="18" w:space="0" w:color="auto"/>
            </w:tcBorders>
            <w:vAlign w:val="center"/>
            <w:hideMark/>
          </w:tcPr>
          <w:p w14:paraId="154BDCDE" w14:textId="77777777" w:rsidR="00FF6B1B" w:rsidRPr="00FF6B1B" w:rsidRDefault="00FF6B1B" w:rsidP="00FF6B1B">
            <w:pPr>
              <w:spacing w:before="100" w:beforeAutospacing="1" w:after="100" w:afterAutospacing="1"/>
              <w:rPr>
                <w:b/>
                <w:bCs/>
                <w:sz w:val="18"/>
                <w:szCs w:val="18"/>
              </w:rPr>
            </w:pPr>
            <w:r w:rsidRPr="00FF6B1B">
              <w:rPr>
                <w:b/>
                <w:bCs/>
                <w:sz w:val="18"/>
                <w:szCs w:val="18"/>
              </w:rPr>
              <w:t>How This Session Links</w:t>
            </w:r>
          </w:p>
        </w:tc>
      </w:tr>
      <w:tr w:rsidR="00FF6B1B" w:rsidRPr="00FF6B1B" w14:paraId="3DF80F59" w14:textId="77777777" w:rsidTr="00FF6B1B">
        <w:trPr>
          <w:tblCellSpacing w:w="15" w:type="dxa"/>
        </w:trPr>
        <w:tc>
          <w:tcPr>
            <w:tcW w:w="0" w:type="auto"/>
            <w:hideMark/>
          </w:tcPr>
          <w:p w14:paraId="2B84F1D1" w14:textId="77777777" w:rsidR="00FF6B1B" w:rsidRPr="00FF6B1B" w:rsidRDefault="00FF6B1B" w:rsidP="00FF6B1B">
            <w:pPr>
              <w:spacing w:before="100" w:beforeAutospacing="1" w:after="100" w:afterAutospacing="1"/>
              <w:rPr>
                <w:sz w:val="18"/>
                <w:szCs w:val="18"/>
              </w:rPr>
            </w:pPr>
            <w:r w:rsidRPr="00FF6B1B">
              <w:rPr>
                <w:b/>
                <w:bCs/>
                <w:sz w:val="18"/>
                <w:szCs w:val="18"/>
              </w:rPr>
              <w:t>PBLI 2</w:t>
            </w:r>
          </w:p>
        </w:tc>
        <w:tc>
          <w:tcPr>
            <w:tcW w:w="2745" w:type="dxa"/>
            <w:hideMark/>
          </w:tcPr>
          <w:p w14:paraId="263DA270" w14:textId="77777777" w:rsidR="00FF6B1B" w:rsidRPr="00FF6B1B" w:rsidRDefault="00FF6B1B" w:rsidP="00FF6B1B">
            <w:pPr>
              <w:spacing w:before="100" w:beforeAutospacing="1" w:after="100" w:afterAutospacing="1"/>
              <w:rPr>
                <w:sz w:val="18"/>
                <w:szCs w:val="18"/>
              </w:rPr>
            </w:pPr>
            <w:r w:rsidRPr="00FF6B1B">
              <w:rPr>
                <w:sz w:val="18"/>
                <w:szCs w:val="18"/>
              </w:rPr>
              <w:t>Incorporates Evidence into Practice</w:t>
            </w:r>
          </w:p>
        </w:tc>
        <w:tc>
          <w:tcPr>
            <w:tcW w:w="5715" w:type="dxa"/>
            <w:hideMark/>
          </w:tcPr>
          <w:p w14:paraId="258D6F6A" w14:textId="77777777" w:rsidR="00FF6B1B" w:rsidRPr="00FF6B1B" w:rsidRDefault="00FF6B1B" w:rsidP="00FF6B1B">
            <w:pPr>
              <w:spacing w:before="100" w:beforeAutospacing="1" w:after="100" w:afterAutospacing="1"/>
              <w:rPr>
                <w:sz w:val="18"/>
                <w:szCs w:val="18"/>
              </w:rPr>
            </w:pPr>
            <w:r w:rsidRPr="00FF6B1B">
              <w:rPr>
                <w:sz w:val="18"/>
                <w:szCs w:val="18"/>
              </w:rPr>
              <w:t>Residents critique validity, interpret results, and apply findings to cases</w:t>
            </w:r>
          </w:p>
        </w:tc>
      </w:tr>
      <w:tr w:rsidR="00FF6B1B" w:rsidRPr="00FF6B1B" w14:paraId="75A8853A" w14:textId="77777777" w:rsidTr="00FF6B1B">
        <w:trPr>
          <w:tblCellSpacing w:w="15" w:type="dxa"/>
        </w:trPr>
        <w:tc>
          <w:tcPr>
            <w:tcW w:w="0" w:type="auto"/>
            <w:hideMark/>
          </w:tcPr>
          <w:p w14:paraId="70719B00" w14:textId="77777777" w:rsidR="00FF6B1B" w:rsidRPr="00FF6B1B" w:rsidRDefault="00FF6B1B" w:rsidP="00FF6B1B">
            <w:pPr>
              <w:spacing w:before="100" w:beforeAutospacing="1" w:after="100" w:afterAutospacing="1"/>
              <w:rPr>
                <w:sz w:val="18"/>
                <w:szCs w:val="18"/>
              </w:rPr>
            </w:pPr>
            <w:r w:rsidRPr="00FF6B1B">
              <w:rPr>
                <w:b/>
                <w:bCs/>
                <w:sz w:val="18"/>
                <w:szCs w:val="18"/>
              </w:rPr>
              <w:t>PBLI 3</w:t>
            </w:r>
          </w:p>
        </w:tc>
        <w:tc>
          <w:tcPr>
            <w:tcW w:w="2745" w:type="dxa"/>
            <w:hideMark/>
          </w:tcPr>
          <w:p w14:paraId="51544EC1" w14:textId="77777777" w:rsidR="00FF6B1B" w:rsidRPr="00FF6B1B" w:rsidRDefault="00FF6B1B" w:rsidP="00FF6B1B">
            <w:pPr>
              <w:spacing w:before="100" w:beforeAutospacing="1" w:after="100" w:afterAutospacing="1"/>
              <w:rPr>
                <w:sz w:val="18"/>
                <w:szCs w:val="18"/>
              </w:rPr>
            </w:pPr>
            <w:r w:rsidRPr="00FF6B1B">
              <w:rPr>
                <w:sz w:val="18"/>
                <w:szCs w:val="18"/>
              </w:rPr>
              <w:t>Analyzes Practice to Improve</w:t>
            </w:r>
          </w:p>
        </w:tc>
        <w:tc>
          <w:tcPr>
            <w:tcW w:w="5715" w:type="dxa"/>
            <w:hideMark/>
          </w:tcPr>
          <w:p w14:paraId="2A5E106A" w14:textId="77777777" w:rsidR="00FF6B1B" w:rsidRPr="00FF6B1B" w:rsidRDefault="00FF6B1B" w:rsidP="00FF6B1B">
            <w:pPr>
              <w:spacing w:before="100" w:beforeAutospacing="1" w:after="100" w:afterAutospacing="1"/>
              <w:rPr>
                <w:sz w:val="18"/>
                <w:szCs w:val="18"/>
              </w:rPr>
            </w:pPr>
            <w:r w:rsidRPr="00FF6B1B">
              <w:rPr>
                <w:sz w:val="18"/>
                <w:szCs w:val="18"/>
              </w:rPr>
              <w:t>Residents question how REGAIN findings fit hip fracture care vs elective THA</w:t>
            </w:r>
          </w:p>
        </w:tc>
      </w:tr>
      <w:tr w:rsidR="00FF6B1B" w:rsidRPr="00FF6B1B" w14:paraId="079D3033" w14:textId="77777777" w:rsidTr="00FF6B1B">
        <w:trPr>
          <w:tblCellSpacing w:w="15" w:type="dxa"/>
        </w:trPr>
        <w:tc>
          <w:tcPr>
            <w:tcW w:w="0" w:type="auto"/>
            <w:hideMark/>
          </w:tcPr>
          <w:p w14:paraId="5D0BF04A" w14:textId="77777777" w:rsidR="00FF6B1B" w:rsidRPr="00FF6B1B" w:rsidRDefault="00FF6B1B" w:rsidP="00FF6B1B">
            <w:pPr>
              <w:spacing w:before="100" w:beforeAutospacing="1" w:after="100" w:afterAutospacing="1"/>
              <w:rPr>
                <w:sz w:val="18"/>
                <w:szCs w:val="18"/>
              </w:rPr>
            </w:pPr>
            <w:r w:rsidRPr="00FF6B1B">
              <w:rPr>
                <w:b/>
                <w:bCs/>
                <w:sz w:val="18"/>
                <w:szCs w:val="18"/>
              </w:rPr>
              <w:t>PBLI 4</w:t>
            </w:r>
          </w:p>
        </w:tc>
        <w:tc>
          <w:tcPr>
            <w:tcW w:w="2745" w:type="dxa"/>
            <w:hideMark/>
          </w:tcPr>
          <w:p w14:paraId="2E0E2837" w14:textId="77777777" w:rsidR="00FF6B1B" w:rsidRPr="00FF6B1B" w:rsidRDefault="00FF6B1B" w:rsidP="00FF6B1B">
            <w:pPr>
              <w:spacing w:before="100" w:beforeAutospacing="1" w:after="100" w:afterAutospacing="1"/>
              <w:rPr>
                <w:sz w:val="18"/>
                <w:szCs w:val="18"/>
              </w:rPr>
            </w:pPr>
            <w:r w:rsidRPr="00FF6B1B">
              <w:rPr>
                <w:sz w:val="18"/>
                <w:szCs w:val="18"/>
              </w:rPr>
              <w:t>Scholarship and Teaching</w:t>
            </w:r>
          </w:p>
        </w:tc>
        <w:tc>
          <w:tcPr>
            <w:tcW w:w="5715" w:type="dxa"/>
            <w:hideMark/>
          </w:tcPr>
          <w:p w14:paraId="70299DF2" w14:textId="77777777" w:rsidR="00FF6B1B" w:rsidRPr="00FF6B1B" w:rsidRDefault="00FF6B1B" w:rsidP="00FF6B1B">
            <w:pPr>
              <w:spacing w:before="100" w:beforeAutospacing="1" w:after="100" w:afterAutospacing="1"/>
              <w:rPr>
                <w:sz w:val="18"/>
                <w:szCs w:val="18"/>
              </w:rPr>
            </w:pPr>
            <w:r w:rsidRPr="00FF6B1B">
              <w:rPr>
                <w:sz w:val="18"/>
                <w:szCs w:val="18"/>
              </w:rPr>
              <w:t>Residents practice BLUFs, facilitate discussion, and teach each other critical appraisal</w:t>
            </w:r>
          </w:p>
        </w:tc>
      </w:tr>
    </w:tbl>
    <w:p w14:paraId="15D6FFDD" w14:textId="0899DF37" w:rsidR="00FF6B1B" w:rsidRPr="00AD0E2C" w:rsidRDefault="00AD0E2C" w:rsidP="00AD0E2C">
      <w:pPr>
        <w:pStyle w:val="p1"/>
        <w:spacing w:after="240" w:afterAutospacing="0"/>
        <w:rPr>
          <w:b/>
          <w:bCs/>
          <w:color w:val="C00000"/>
          <w:sz w:val="22"/>
          <w:szCs w:val="22"/>
        </w:rPr>
      </w:pPr>
      <w:r w:rsidRPr="00AD0E2C">
        <w:rPr>
          <w:b/>
          <w:bCs/>
          <w:color w:val="C00000"/>
          <w:sz w:val="22"/>
          <w:szCs w:val="22"/>
        </w:rPr>
        <w:t xml:space="preserve">2. </w:t>
      </w:r>
      <w:r w:rsidR="00FF6B1B" w:rsidRPr="00AD0E2C">
        <w:rPr>
          <w:b/>
          <w:bCs/>
          <w:color w:val="C00000"/>
          <w:sz w:val="22"/>
          <w:szCs w:val="22"/>
        </w:rPr>
        <w:t>References</w:t>
      </w:r>
    </w:p>
    <w:p w14:paraId="3E4B39B1" w14:textId="765A7E72" w:rsidR="00FF6B1B" w:rsidRPr="00AD0E2C" w:rsidRDefault="00FF6B1B" w:rsidP="00AD0E2C">
      <w:pPr>
        <w:pStyle w:val="p1"/>
        <w:numPr>
          <w:ilvl w:val="0"/>
          <w:numId w:val="10"/>
        </w:numPr>
        <w:tabs>
          <w:tab w:val="clear" w:pos="720"/>
          <w:tab w:val="num" w:pos="360"/>
        </w:tabs>
        <w:spacing w:before="0" w:beforeAutospacing="0"/>
        <w:ind w:left="360"/>
        <w:rPr>
          <w:sz w:val="18"/>
          <w:szCs w:val="18"/>
        </w:rPr>
      </w:pPr>
      <w:r w:rsidRPr="00AD0E2C">
        <w:rPr>
          <w:sz w:val="18"/>
          <w:szCs w:val="18"/>
        </w:rPr>
        <w:t xml:space="preserve">Vail EA, Feng R, Sieber F, Carson JL, Ellenberg SS, Magaziner J, Dillane D, Marcantonio ER, Sessler DI, Ayad S, Stone T, Papp S, Donegan D, Mehta S, Schwenk ES, Marshall M, Jaffe JD, Luke C, Sharma B, Azim S, Hymes R, Chin KJ, Sheppard R, Perlman B, Sappenfield J, Hauck E, Tierney A, Horan AD, Neuman MD; for the REGAIN Investigators.  Long-term outcomes with spinal versus general anesthesia for hip fracture surgery: a randomized trial. </w:t>
      </w:r>
      <w:r w:rsidRPr="00AD0E2C">
        <w:rPr>
          <w:i/>
          <w:iCs/>
          <w:sz w:val="18"/>
          <w:szCs w:val="18"/>
        </w:rPr>
        <w:t>Anesthesiology.</w:t>
      </w:r>
      <w:r w:rsidRPr="00AD0E2C">
        <w:rPr>
          <w:sz w:val="18"/>
          <w:szCs w:val="18"/>
        </w:rPr>
        <w:t xml:space="preserve"> 2024;140(3):375–386. doi:10.1097/ALN.0000000000004807</w:t>
      </w:r>
      <w:r w:rsidRPr="00AD0E2C">
        <w:rPr>
          <w:rStyle w:val="apple-converted-space"/>
          <w:rFonts w:eastAsiaTheme="majorEastAsia"/>
          <w:sz w:val="18"/>
          <w:szCs w:val="18"/>
        </w:rPr>
        <w:t> </w:t>
      </w:r>
    </w:p>
    <w:p w14:paraId="28A11BCC" w14:textId="21CB6821" w:rsidR="00FF6B1B" w:rsidRPr="00AD0E2C" w:rsidRDefault="00AD0E2C" w:rsidP="00FF6B1B">
      <w:pPr>
        <w:pStyle w:val="p1"/>
        <w:numPr>
          <w:ilvl w:val="0"/>
          <w:numId w:val="11"/>
        </w:numPr>
        <w:tabs>
          <w:tab w:val="clear" w:pos="720"/>
          <w:tab w:val="num" w:pos="360"/>
        </w:tabs>
        <w:ind w:left="360"/>
        <w:rPr>
          <w:sz w:val="18"/>
          <w:szCs w:val="18"/>
        </w:rPr>
      </w:pPr>
      <w:r>
        <w:rPr>
          <w:sz w:val="18"/>
          <w:szCs w:val="18"/>
        </w:rPr>
        <w:t>R</w:t>
      </w:r>
      <w:r w:rsidR="00FF6B1B" w:rsidRPr="00AD0E2C">
        <w:rPr>
          <w:sz w:val="18"/>
          <w:szCs w:val="18"/>
        </w:rPr>
        <w:t xml:space="preserve">itz J, </w:t>
      </w:r>
      <w:proofErr w:type="spellStart"/>
      <w:r w:rsidR="00FF6B1B" w:rsidRPr="00AD0E2C">
        <w:rPr>
          <w:sz w:val="18"/>
          <w:szCs w:val="18"/>
        </w:rPr>
        <w:t>Memtsoudis</w:t>
      </w:r>
      <w:proofErr w:type="spellEnd"/>
      <w:r w:rsidR="00FF6B1B" w:rsidRPr="00AD0E2C">
        <w:rPr>
          <w:sz w:val="18"/>
          <w:szCs w:val="18"/>
        </w:rPr>
        <w:t xml:space="preserve"> SG, Sieber F, Carson JL, Ellenberg SS, Magaziner J, Dillane D, Marcantonio ER, Sessler DI, Ayad S, Stone T, Papp S, Donegan D, Mehta S, Schwenk ES, Marshall M, Jaffe JD, Luke C, Sharma B, Azim S, Hymes R, Chin KJ, Sheppard R, Perlman B, Sappenfield J, Hauck E, Tierney A, Horan AD, Neuman MD; for the REGAIN Investigators.  Pain, analgesic use, and patient satisfaction with spinal versus general anesthesia for hip fracture surgery: a randomized clinical trial. </w:t>
      </w:r>
      <w:r w:rsidR="00FF6B1B" w:rsidRPr="00AD0E2C">
        <w:rPr>
          <w:i/>
          <w:iCs/>
          <w:sz w:val="18"/>
          <w:szCs w:val="18"/>
        </w:rPr>
        <w:t>Ann Intern Med.</w:t>
      </w:r>
      <w:r w:rsidR="00FF6B1B" w:rsidRPr="00AD0E2C">
        <w:rPr>
          <w:sz w:val="18"/>
          <w:szCs w:val="18"/>
        </w:rPr>
        <w:t xml:space="preserve"> 2022;175(7):952–960. doi:10.7326/M22-0320</w:t>
      </w:r>
    </w:p>
    <w:p w14:paraId="27F23788" w14:textId="0921750A" w:rsidR="00FF6B1B" w:rsidRPr="00AD0E2C" w:rsidRDefault="00FF6B1B" w:rsidP="00FF6B1B">
      <w:pPr>
        <w:pStyle w:val="p1"/>
        <w:numPr>
          <w:ilvl w:val="0"/>
          <w:numId w:val="12"/>
        </w:numPr>
        <w:tabs>
          <w:tab w:val="clear" w:pos="720"/>
          <w:tab w:val="num" w:pos="360"/>
        </w:tabs>
        <w:ind w:left="360"/>
        <w:rPr>
          <w:sz w:val="18"/>
          <w:szCs w:val="18"/>
        </w:rPr>
      </w:pPr>
      <w:r w:rsidRPr="00AD0E2C">
        <w:rPr>
          <w:sz w:val="18"/>
          <w:szCs w:val="18"/>
        </w:rPr>
        <w:t xml:space="preserve">Haslam N, Halvey E, Scott C.  Perioperative care of patients undergoing total hip arthroplasty. </w:t>
      </w:r>
      <w:r w:rsidRPr="00AD0E2C">
        <w:rPr>
          <w:i/>
          <w:iCs/>
          <w:sz w:val="18"/>
          <w:szCs w:val="18"/>
        </w:rPr>
        <w:t>BJA Education.</w:t>
      </w:r>
      <w:r w:rsidRPr="00AD0E2C">
        <w:rPr>
          <w:sz w:val="18"/>
          <w:szCs w:val="18"/>
        </w:rPr>
        <w:t xml:space="preserve"> 2024;24(6):183–190. </w:t>
      </w:r>
      <w:proofErr w:type="gramStart"/>
      <w:r w:rsidRPr="00AD0E2C">
        <w:rPr>
          <w:sz w:val="18"/>
          <w:szCs w:val="18"/>
        </w:rPr>
        <w:t>doi:10.1016/j.bjae</w:t>
      </w:r>
      <w:proofErr w:type="gramEnd"/>
      <w:r w:rsidRPr="00AD0E2C">
        <w:rPr>
          <w:sz w:val="18"/>
          <w:szCs w:val="18"/>
        </w:rPr>
        <w:t>.2024.03.002</w:t>
      </w:r>
    </w:p>
    <w:p w14:paraId="6B18F2BA" w14:textId="76C3C46A" w:rsidR="00FF6B1B" w:rsidRPr="00AD0E2C" w:rsidRDefault="00AD0E2C" w:rsidP="00AD0E2C">
      <w:pPr>
        <w:spacing w:after="240"/>
        <w:rPr>
          <w:b/>
          <w:bCs/>
          <w:color w:val="C00000"/>
          <w:sz w:val="22"/>
          <w:szCs w:val="22"/>
        </w:rPr>
      </w:pPr>
      <w:r w:rsidRPr="00AD0E2C">
        <w:rPr>
          <w:b/>
          <w:bCs/>
          <w:color w:val="C00000"/>
          <w:sz w:val="22"/>
          <w:szCs w:val="22"/>
        </w:rPr>
        <w:t xml:space="preserve">3. </w:t>
      </w:r>
      <w:r w:rsidR="00E159BA" w:rsidRPr="00302E34">
        <w:rPr>
          <w:b/>
          <w:bCs/>
          <w:color w:val="C00000"/>
          <w:sz w:val="22"/>
          <w:szCs w:val="22"/>
        </w:rPr>
        <w:t>Critical Appraisal Checklist</w:t>
      </w:r>
    </w:p>
    <w:p w14:paraId="436D7E1D" w14:textId="10D0D6BE" w:rsidR="00E159BA" w:rsidRPr="00E159BA" w:rsidRDefault="00E159BA" w:rsidP="00E159BA">
      <w:pPr>
        <w:spacing w:after="60"/>
        <w:outlineLvl w:val="2"/>
        <w:rPr>
          <w:b/>
          <w:bCs/>
          <w:sz w:val="18"/>
          <w:szCs w:val="18"/>
        </w:rPr>
      </w:pPr>
      <w:r w:rsidRPr="00E159BA">
        <w:rPr>
          <w:b/>
          <w:bCs/>
          <w:sz w:val="18"/>
          <w:szCs w:val="18"/>
        </w:rPr>
        <w:t>1. Are the results valid? (Internal Validity)</w:t>
      </w:r>
    </w:p>
    <w:p w14:paraId="5A8BE531" w14:textId="77777777" w:rsidR="00E159BA" w:rsidRPr="00E159BA" w:rsidRDefault="00E159BA" w:rsidP="00E159BA">
      <w:pPr>
        <w:spacing w:before="60" w:after="60"/>
        <w:rPr>
          <w:sz w:val="18"/>
          <w:szCs w:val="18"/>
        </w:rPr>
      </w:pPr>
      <w:r w:rsidRPr="00E159BA">
        <w:rPr>
          <w:sz w:val="18"/>
          <w:szCs w:val="18"/>
        </w:rPr>
        <w:t>These questions determine whether the trial was designed and conducted in a way that minimizes bias. If randomization, blinding, or handling of missing data were weak, the results may not be trustworthy no matter what the numbers show.</w:t>
      </w:r>
    </w:p>
    <w:p w14:paraId="43E46DA8" w14:textId="36CAE6AE" w:rsidR="00E159BA" w:rsidRPr="00E159BA" w:rsidRDefault="00E159BA" w:rsidP="00E159BA">
      <w:pPr>
        <w:rPr>
          <w:sz w:val="18"/>
          <w:szCs w:val="18"/>
        </w:rPr>
      </w:pPr>
    </w:p>
    <w:p w14:paraId="78B1569B" w14:textId="27C012F4" w:rsidR="00E159BA" w:rsidRPr="00E159BA" w:rsidRDefault="00E159BA" w:rsidP="00E159BA">
      <w:pPr>
        <w:spacing w:after="60"/>
        <w:outlineLvl w:val="2"/>
        <w:rPr>
          <w:b/>
          <w:bCs/>
          <w:sz w:val="18"/>
          <w:szCs w:val="18"/>
        </w:rPr>
      </w:pPr>
      <w:r w:rsidRPr="00E159BA">
        <w:rPr>
          <w:b/>
          <w:bCs/>
          <w:sz w:val="18"/>
          <w:szCs w:val="18"/>
        </w:rPr>
        <w:t>2. What were the results? (Magnitude &amp; Precision)</w:t>
      </w:r>
    </w:p>
    <w:p w14:paraId="326C2215" w14:textId="3E4C5961" w:rsidR="00E159BA" w:rsidRPr="00E159BA" w:rsidRDefault="00E159BA" w:rsidP="00E159BA">
      <w:pPr>
        <w:spacing w:before="60" w:after="60"/>
        <w:rPr>
          <w:sz w:val="18"/>
          <w:szCs w:val="18"/>
        </w:rPr>
      </w:pPr>
      <w:r w:rsidRPr="00E159BA">
        <w:rPr>
          <w:sz w:val="18"/>
          <w:szCs w:val="18"/>
        </w:rPr>
        <w:t xml:space="preserve">Here we move beyond “p &lt; 0.05” to quantify the actual effect size and the certainty around it. Knowing the magnitude (HR, </w:t>
      </w:r>
      <w:proofErr w:type="gramStart"/>
      <w:r w:rsidRPr="00E159BA">
        <w:rPr>
          <w:sz w:val="18"/>
          <w:szCs w:val="18"/>
        </w:rPr>
        <w:t>OR,</w:t>
      </w:r>
      <w:proofErr w:type="gramEnd"/>
      <w:r w:rsidRPr="00E159BA">
        <w:rPr>
          <w:sz w:val="18"/>
          <w:szCs w:val="18"/>
        </w:rPr>
        <w:t xml:space="preserve"> ARR, NNT/NNH) and precision (confidence intervals) tells us whether the difference is clinically meaningful and relevant to patient care.</w:t>
      </w:r>
    </w:p>
    <w:p w14:paraId="784321EB" w14:textId="5917ACE1" w:rsidR="00E159BA" w:rsidRPr="00E159BA" w:rsidRDefault="00E159BA" w:rsidP="00E159BA">
      <w:pPr>
        <w:spacing w:after="60"/>
        <w:outlineLvl w:val="2"/>
        <w:rPr>
          <w:b/>
          <w:bCs/>
          <w:sz w:val="18"/>
          <w:szCs w:val="18"/>
        </w:rPr>
      </w:pPr>
      <w:r w:rsidRPr="00E159BA">
        <w:rPr>
          <w:b/>
          <w:bCs/>
          <w:sz w:val="18"/>
          <w:szCs w:val="18"/>
        </w:rPr>
        <w:t>3. Will these results help my patients? (Applicability)</w:t>
      </w:r>
    </w:p>
    <w:p w14:paraId="42792883" w14:textId="77777777" w:rsidR="00E159BA" w:rsidRPr="00E159BA" w:rsidRDefault="00E159BA" w:rsidP="00E159BA">
      <w:pPr>
        <w:spacing w:before="60" w:after="60"/>
        <w:rPr>
          <w:sz w:val="18"/>
          <w:szCs w:val="18"/>
        </w:rPr>
      </w:pPr>
      <w:r w:rsidRPr="00E159BA">
        <w:rPr>
          <w:sz w:val="18"/>
          <w:szCs w:val="18"/>
        </w:rPr>
        <w:t>Even valid, statistically significant results may not apply if the study population or setting doesn’t resemble ours. Applicability questions ensure we translate research responsibly, considering patient mix, resources, and current best-practice pathways like ERAS.</w:t>
      </w:r>
    </w:p>
    <w:p w14:paraId="16D81989" w14:textId="4636D548" w:rsidR="00302E34" w:rsidRPr="008037C9" w:rsidRDefault="00302E34" w:rsidP="008037C9">
      <w:pPr>
        <w:spacing w:after="160" w:line="278" w:lineRule="auto"/>
        <w:rPr>
          <w:sz w:val="22"/>
          <w:szCs w:val="22"/>
        </w:rPr>
      </w:pPr>
    </w:p>
    <w:sectPr w:rsidR="00302E34" w:rsidRPr="00803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652EC"/>
    <w:multiLevelType w:val="multilevel"/>
    <w:tmpl w:val="0308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E113E"/>
    <w:multiLevelType w:val="multilevel"/>
    <w:tmpl w:val="6A165C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C520E"/>
    <w:multiLevelType w:val="multilevel"/>
    <w:tmpl w:val="3ED4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B7FB1"/>
    <w:multiLevelType w:val="multilevel"/>
    <w:tmpl w:val="D5F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45A6A"/>
    <w:multiLevelType w:val="multilevel"/>
    <w:tmpl w:val="C5FA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C7637"/>
    <w:multiLevelType w:val="multilevel"/>
    <w:tmpl w:val="B96C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0E2308"/>
    <w:multiLevelType w:val="multilevel"/>
    <w:tmpl w:val="61EE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3C6C1F"/>
    <w:multiLevelType w:val="multilevel"/>
    <w:tmpl w:val="74AE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10042"/>
    <w:multiLevelType w:val="multilevel"/>
    <w:tmpl w:val="34421E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56A0A"/>
    <w:multiLevelType w:val="multilevel"/>
    <w:tmpl w:val="A734F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1775D"/>
    <w:multiLevelType w:val="multilevel"/>
    <w:tmpl w:val="012C3B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886360"/>
    <w:multiLevelType w:val="multilevel"/>
    <w:tmpl w:val="70E0E34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71680">
    <w:abstractNumId w:val="3"/>
  </w:num>
  <w:num w:numId="2" w16cid:durableId="2069306740">
    <w:abstractNumId w:val="6"/>
  </w:num>
  <w:num w:numId="3" w16cid:durableId="315455443">
    <w:abstractNumId w:val="0"/>
  </w:num>
  <w:num w:numId="4" w16cid:durableId="317661136">
    <w:abstractNumId w:val="4"/>
  </w:num>
  <w:num w:numId="5" w16cid:durableId="1794245723">
    <w:abstractNumId w:val="2"/>
  </w:num>
  <w:num w:numId="6" w16cid:durableId="1081684713">
    <w:abstractNumId w:val="7"/>
  </w:num>
  <w:num w:numId="7" w16cid:durableId="1211184115">
    <w:abstractNumId w:val="9"/>
  </w:num>
  <w:num w:numId="8" w16cid:durableId="988942650">
    <w:abstractNumId w:val="8"/>
  </w:num>
  <w:num w:numId="9" w16cid:durableId="1426611022">
    <w:abstractNumId w:val="11"/>
  </w:num>
  <w:num w:numId="10" w16cid:durableId="1444691124">
    <w:abstractNumId w:val="5"/>
  </w:num>
  <w:num w:numId="11" w16cid:durableId="398286742">
    <w:abstractNumId w:val="1"/>
  </w:num>
  <w:num w:numId="12" w16cid:durableId="6085074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34"/>
    <w:rsid w:val="00100FD8"/>
    <w:rsid w:val="001E6CB4"/>
    <w:rsid w:val="002E73F4"/>
    <w:rsid w:val="00302E34"/>
    <w:rsid w:val="00343B6D"/>
    <w:rsid w:val="003778C5"/>
    <w:rsid w:val="004322FF"/>
    <w:rsid w:val="00474BB9"/>
    <w:rsid w:val="00626230"/>
    <w:rsid w:val="006C4B99"/>
    <w:rsid w:val="006E4625"/>
    <w:rsid w:val="00757A7C"/>
    <w:rsid w:val="007A47C9"/>
    <w:rsid w:val="008037C9"/>
    <w:rsid w:val="00826305"/>
    <w:rsid w:val="00966220"/>
    <w:rsid w:val="00A37EE4"/>
    <w:rsid w:val="00AD0E2C"/>
    <w:rsid w:val="00B50F37"/>
    <w:rsid w:val="00E159BA"/>
    <w:rsid w:val="00F8692D"/>
    <w:rsid w:val="00FF6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DB4F0"/>
  <w15:chartTrackingRefBased/>
  <w15:docId w15:val="{DF9F8350-44A1-8143-9764-73D2CCA2A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9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02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2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E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E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E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E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2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2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E34"/>
    <w:rPr>
      <w:rFonts w:eastAsiaTheme="majorEastAsia" w:cstheme="majorBidi"/>
      <w:color w:val="272727" w:themeColor="text1" w:themeTint="D8"/>
    </w:rPr>
  </w:style>
  <w:style w:type="paragraph" w:styleId="Title">
    <w:name w:val="Title"/>
    <w:basedOn w:val="Normal"/>
    <w:next w:val="Normal"/>
    <w:link w:val="TitleChar"/>
    <w:uiPriority w:val="10"/>
    <w:qFormat/>
    <w:rsid w:val="00302E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E34"/>
    <w:pPr>
      <w:spacing w:before="160"/>
      <w:jc w:val="center"/>
    </w:pPr>
    <w:rPr>
      <w:i/>
      <w:iCs/>
      <w:color w:val="404040" w:themeColor="text1" w:themeTint="BF"/>
    </w:rPr>
  </w:style>
  <w:style w:type="character" w:customStyle="1" w:styleId="QuoteChar">
    <w:name w:val="Quote Char"/>
    <w:basedOn w:val="DefaultParagraphFont"/>
    <w:link w:val="Quote"/>
    <w:uiPriority w:val="29"/>
    <w:rsid w:val="00302E34"/>
    <w:rPr>
      <w:i/>
      <w:iCs/>
      <w:color w:val="404040" w:themeColor="text1" w:themeTint="BF"/>
    </w:rPr>
  </w:style>
  <w:style w:type="paragraph" w:styleId="ListParagraph">
    <w:name w:val="List Paragraph"/>
    <w:basedOn w:val="Normal"/>
    <w:uiPriority w:val="34"/>
    <w:qFormat/>
    <w:rsid w:val="00302E34"/>
    <w:pPr>
      <w:ind w:left="720"/>
      <w:contextualSpacing/>
    </w:pPr>
  </w:style>
  <w:style w:type="character" w:styleId="IntenseEmphasis">
    <w:name w:val="Intense Emphasis"/>
    <w:basedOn w:val="DefaultParagraphFont"/>
    <w:uiPriority w:val="21"/>
    <w:qFormat/>
    <w:rsid w:val="00302E34"/>
    <w:rPr>
      <w:i/>
      <w:iCs/>
      <w:color w:val="0F4761" w:themeColor="accent1" w:themeShade="BF"/>
    </w:rPr>
  </w:style>
  <w:style w:type="paragraph" w:styleId="IntenseQuote">
    <w:name w:val="Intense Quote"/>
    <w:basedOn w:val="Normal"/>
    <w:next w:val="Normal"/>
    <w:link w:val="IntenseQuoteChar"/>
    <w:uiPriority w:val="30"/>
    <w:qFormat/>
    <w:rsid w:val="00302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E34"/>
    <w:rPr>
      <w:i/>
      <w:iCs/>
      <w:color w:val="0F4761" w:themeColor="accent1" w:themeShade="BF"/>
    </w:rPr>
  </w:style>
  <w:style w:type="character" w:styleId="IntenseReference">
    <w:name w:val="Intense Reference"/>
    <w:basedOn w:val="DefaultParagraphFont"/>
    <w:uiPriority w:val="32"/>
    <w:qFormat/>
    <w:rsid w:val="00302E34"/>
    <w:rPr>
      <w:b/>
      <w:bCs/>
      <w:smallCaps/>
      <w:color w:val="0F4761" w:themeColor="accent1" w:themeShade="BF"/>
      <w:spacing w:val="5"/>
    </w:rPr>
  </w:style>
  <w:style w:type="paragraph" w:customStyle="1" w:styleId="p1">
    <w:name w:val="p1"/>
    <w:basedOn w:val="Normal"/>
    <w:rsid w:val="00302E34"/>
    <w:pPr>
      <w:spacing w:before="100" w:beforeAutospacing="1" w:after="100" w:afterAutospacing="1"/>
    </w:pPr>
  </w:style>
  <w:style w:type="character" w:customStyle="1" w:styleId="s1">
    <w:name w:val="s1"/>
    <w:basedOn w:val="DefaultParagraphFont"/>
    <w:rsid w:val="00302E34"/>
  </w:style>
  <w:style w:type="paragraph" w:customStyle="1" w:styleId="p2">
    <w:name w:val="p2"/>
    <w:basedOn w:val="Normal"/>
    <w:rsid w:val="00302E34"/>
    <w:pPr>
      <w:spacing w:before="100" w:beforeAutospacing="1" w:after="100" w:afterAutospacing="1"/>
    </w:pPr>
  </w:style>
  <w:style w:type="paragraph" w:customStyle="1" w:styleId="p3">
    <w:name w:val="p3"/>
    <w:basedOn w:val="Normal"/>
    <w:rsid w:val="00302E34"/>
    <w:pPr>
      <w:spacing w:before="100" w:beforeAutospacing="1" w:after="100" w:afterAutospacing="1"/>
    </w:pPr>
  </w:style>
  <w:style w:type="character" w:styleId="Hyperlink">
    <w:name w:val="Hyperlink"/>
    <w:basedOn w:val="DefaultParagraphFont"/>
    <w:uiPriority w:val="99"/>
    <w:semiHidden/>
    <w:unhideWhenUsed/>
    <w:rsid w:val="00302E34"/>
    <w:rPr>
      <w:color w:val="0000FF"/>
      <w:u w:val="single"/>
    </w:rPr>
  </w:style>
  <w:style w:type="character" w:customStyle="1" w:styleId="s3">
    <w:name w:val="s3"/>
    <w:basedOn w:val="DefaultParagraphFont"/>
    <w:rsid w:val="00302E34"/>
  </w:style>
  <w:style w:type="character" w:customStyle="1" w:styleId="s2">
    <w:name w:val="s2"/>
    <w:basedOn w:val="DefaultParagraphFont"/>
    <w:rsid w:val="00302E34"/>
  </w:style>
  <w:style w:type="character" w:customStyle="1" w:styleId="apple-converted-space">
    <w:name w:val="apple-converted-space"/>
    <w:basedOn w:val="DefaultParagraphFont"/>
    <w:rsid w:val="00302E34"/>
  </w:style>
  <w:style w:type="table" w:styleId="PlainTable2">
    <w:name w:val="Plain Table 2"/>
    <w:basedOn w:val="TableNormal"/>
    <w:uiPriority w:val="42"/>
    <w:rsid w:val="00FF6B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Pitts</dc:creator>
  <cp:keywords/>
  <dc:description/>
  <cp:lastModifiedBy>Brian Pitts</cp:lastModifiedBy>
  <cp:revision>2</cp:revision>
  <cp:lastPrinted>2025-09-02T16:39:00Z</cp:lastPrinted>
  <dcterms:created xsi:type="dcterms:W3CDTF">2025-09-17T22:42:00Z</dcterms:created>
  <dcterms:modified xsi:type="dcterms:W3CDTF">2025-09-17T22:42:00Z</dcterms:modified>
</cp:coreProperties>
</file>