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E3A5F"/>
          <w:sz w:val="36"/>
        </w:rPr>
        <w:t>Journal Club Pre-Session Handout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Date: </w:t>
      </w:r>
      <w:r>
        <w:rPr>
          <w:rFonts w:ascii="Calibri" w:hAnsi="Calibri"/>
          <w:b w:val="0"/>
          <w:sz w:val="22"/>
        </w:rPr>
        <w:t>October 6, 2026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Cohort: </w:t>
      </w:r>
      <w:r>
        <w:rPr>
          <w:rFonts w:ascii="Calibri" w:hAnsi="Calibri"/>
          <w:b w:val="0"/>
          <w:sz w:val="22"/>
        </w:rPr>
        <w:t>CA-2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Topic: </w:t>
      </w:r>
      <w:r>
        <w:rPr>
          <w:rFonts w:ascii="Calibri" w:hAnsi="Calibri"/>
          <w:b w:val="0"/>
          <w:sz w:val="22"/>
        </w:rPr>
        <w:t>TAP block for abdominal surgery — laparoscopic cholecystectomy and major abdominal procedures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Resident leads: </w:t>
      </w:r>
      <w:r>
        <w:rPr>
          <w:rFonts w:ascii="Calibri" w:hAnsi="Calibri"/>
          <w:b w:val="0"/>
          <w:sz w:val="22"/>
        </w:rPr>
        <w:t>Not listed for this session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Faculty leads: </w:t>
      </w:r>
      <w:r>
        <w:rPr>
          <w:rFonts w:ascii="Calibri" w:hAnsi="Calibri"/>
          <w:b w:val="0"/>
          <w:sz w:val="22"/>
        </w:rPr>
        <w:t>Not listed for this session</w:t>
      </w:r>
    </w:p>
    <w:p>
      <w:pPr>
        <w:spacing w:before="280" w:after="80"/>
      </w:pPr>
      <w:r>
        <w:rPr>
          <w:rFonts w:ascii="Calibri" w:hAnsi="Calibri"/>
          <w:b/>
          <w:color w:val="1E3A5F"/>
          <w:sz w:val="28"/>
        </w:rPr>
        <w:t>Purpose</w:t>
      </w:r>
    </w:p>
    <w:p>
      <w:r>
        <w:t>This session sets a meta-analysis of TAP block versus wound infiltration for laparoscopic cholecystectomy next to a three-arm trial of liposomal bupivacaine, plain bupivacaine, and saline for single-shot TAP blocks before major abdominal surgery. The two papers ask different questions.</w:t>
      </w:r>
    </w:p>
    <w:p>
      <w:pPr>
        <w:spacing w:before="280" w:after="80"/>
      </w:pPr>
      <w:r>
        <w:rPr>
          <w:rFonts w:ascii="Calibri" w:hAnsi="Calibri"/>
          <w:b/>
          <w:color w:val="1E3A5F"/>
          <w:sz w:val="28"/>
        </w:rPr>
        <w:t>Objectives</w:t>
      </w:r>
    </w:p>
    <w:p>
      <w:pPr>
        <w:pStyle w:val="ListNumber"/>
      </w:pPr>
      <w:r>
        <w:t>Separate a review of one operation and one comparator from a three-arm trial in a mixed surgical population.</w:t>
      </w:r>
    </w:p>
    <w:p>
      <w:pPr>
        <w:pStyle w:val="ListNumber"/>
      </w:pPr>
      <w:r>
        <w:t>Read pain and opioid results with their confidence intervals, not only the p-value.</w:t>
      </w:r>
    </w:p>
    <w:p>
      <w:pPr>
        <w:pStyle w:val="ListNumber"/>
      </w:pPr>
      <w:r>
        <w:t>Decide whether either paper should change routine use of a single-shot TAP block.</w:t>
      </w:r>
    </w:p>
    <w:p>
      <w:pPr>
        <w:spacing w:before="280" w:after="80"/>
      </w:pPr>
      <w:r>
        <w:rPr>
          <w:rFonts w:ascii="Calibri" w:hAnsi="Calibri"/>
          <w:b/>
          <w:color w:val="1E3A5F"/>
          <w:sz w:val="28"/>
        </w:rPr>
        <w:t>Articles for review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Citation</w:t>
            </w:r>
          </w:p>
        </w:tc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Grape S, Kirkham KR, Akiki L, Albrecht E. J Clin Anesth. 2021;75:110450. doi:10.1016/j.jclinane.2021.110450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TAP block versus wound infiltration after laparoscopic cholecystectomy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Turan A, et al.; CLEVELAND Trial Group. Anesthesiology. 2026;144(3):546-558. doi:10.1097/ALN.0000000000005869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Liposomal versus plain bupivacaine versus saline for TAP blocks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3A5F"/>
          <w:sz w:val="28"/>
        </w:rPr>
        <w:t>PICO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Study</w:t>
            </w:r>
          </w:p>
        </w:tc>
        <w:tc>
          <w:tcPr>
            <w:tcW w:type="dxa" w:w="1560"/>
            <w:shd w:fill="1E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Population</w:t>
            </w:r>
          </w:p>
        </w:tc>
        <w:tc>
          <w:tcPr>
            <w:tcW w:type="dxa" w:w="1560"/>
            <w:shd w:fill="1E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Intervention</w:t>
            </w:r>
          </w:p>
        </w:tc>
        <w:tc>
          <w:tcPr>
            <w:tcW w:type="dxa" w:w="1560"/>
            <w:shd w:fill="1E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Comparison</w:t>
            </w:r>
          </w:p>
        </w:tc>
        <w:tc>
          <w:tcPr>
            <w:tcW w:type="dxa" w:w="1560"/>
            <w:shd w:fill="1E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Outcomes</w:t>
            </w:r>
          </w:p>
        </w:tc>
        <w:tc>
          <w:tcPr>
            <w:tcW w:type="dxa" w:w="1560"/>
            <w:shd w:fill="1E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Grape 2021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Adults in trials of TAP block versus wound infiltration for laparoscopic cholecystectomy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TAP block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Local anesthetic wound infiltration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Pain at rest, later pain, opioid use, nausea and vomiting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2, 12, and 24 hours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Turan 2026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Adults having major open or laparoscopic abdominal surgery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Four-quadrant TAP block with liposomal bupivacaine, or with plain bupivacaine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Four-quadrant TAP block with saline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Opioid use and pain scores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sz w:val="18"/>
              </w:rPr>
              <w:t>Through 72 hours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3A5F"/>
          <w:sz w:val="28"/>
        </w:rPr>
        <w:t>Pre-work</w:t>
      </w:r>
    </w:p>
    <w:p>
      <w:pPr>
        <w:pStyle w:val="ListBullet"/>
      </w:pPr>
      <w:r>
        <w:t>Read both articles.</w:t>
      </w:r>
    </w:p>
    <w:p>
      <w:pPr>
        <w:pStyle w:val="ListBullet"/>
      </w:pPr>
      <w:r>
        <w:t>Complete the checklist below for your article, with one or two notes per question.</w:t>
      </w:r>
    </w:p>
    <w:p>
      <w:pPr>
        <w:pStyle w:val="ListBullet"/>
      </w:pPr>
      <w:r>
        <w:t>Write a one-sentence BLUF: what you would do differently, or the same, because of this evidence.</w:t>
      </w:r>
    </w:p>
    <w:p>
      <w:pPr>
        <w:pStyle w:val="ListBullet"/>
      </w:pPr>
      <w:r>
        <w:t>Bring notes to the discussion.</w:t>
      </w:r>
    </w:p>
    <w:p>
      <w:pPr>
        <w:spacing w:before="280" w:after="80"/>
      </w:pPr>
      <w:r>
        <w:rPr>
          <w:rFonts w:ascii="Calibri" w:hAnsi="Calibri"/>
          <w:b/>
          <w:color w:val="1E3A5F"/>
          <w:sz w:val="28"/>
        </w:rPr>
        <w:t>Critical appraisal checklist</w:t>
      </w:r>
    </w:p>
    <w:p>
      <w:r>
        <w:rPr>
          <w:rFonts w:ascii="Calibri" w:hAnsi="Calibri"/>
          <w:b/>
          <w:sz w:val="22"/>
        </w:rPr>
        <w:t>1. Are the results valid? (Internal validity)</w:t>
      </w:r>
    </w:p>
    <w:p>
      <w:pPr>
        <w:pStyle w:val="ListBullet"/>
      </w:pPr>
      <w:r>
        <w:t>Was randomization adequate?</w:t>
      </w:r>
    </w:p>
    <w:p>
      <w:pPr>
        <w:pStyle w:val="ListBullet"/>
      </w:pPr>
      <w:r>
        <w:t>Was allocation concealed?</w:t>
      </w:r>
    </w:p>
    <w:p>
      <w:pPr>
        <w:pStyle w:val="ListBullet"/>
      </w:pPr>
      <w:r>
        <w:t>Who was blinded (patients, clinicians, outcome assessors)?</w:t>
      </w:r>
    </w:p>
    <w:p>
      <w:pPr>
        <w:pStyle w:val="ListBullet"/>
      </w:pPr>
      <w:r>
        <w:t>Were baseline characteristics similar?</w:t>
      </w:r>
    </w:p>
    <w:p>
      <w:pPr>
        <w:pStyle w:val="ListBullet"/>
      </w:pPr>
      <w:r>
        <w:t>Was intention-to-treat analysis performed?</w:t>
      </w:r>
    </w:p>
    <w:p>
      <w:pPr>
        <w:pStyle w:val="ListBullet"/>
      </w:pPr>
      <w:r>
        <w:t>Were crossovers or missing data substantial enough to affect the results?</w:t>
      </w:r>
    </w:p>
    <w:p>
      <w:r>
        <w:rPr>
          <w:rFonts w:ascii="Calibri" w:hAnsi="Calibri"/>
          <w:b/>
          <w:sz w:val="22"/>
        </w:rPr>
        <w:t>2. What were the results? (Magnitude and precision)</w:t>
      </w:r>
    </w:p>
    <w:p>
      <w:pPr>
        <w:pStyle w:val="ListBullet"/>
      </w:pPr>
      <w:r>
        <w:t>What were the effect sizes, and what were the confidence intervals?</w:t>
      </w:r>
    </w:p>
    <w:p>
      <w:pPr>
        <w:pStyle w:val="ListBullet"/>
      </w:pPr>
      <w:r>
        <w:t>Were the results clinically meaningful, or only statistically significant?</w:t>
      </w:r>
    </w:p>
    <w:p>
      <w:pPr>
        <w:pStyle w:val="ListBullet"/>
      </w:pPr>
      <w:r>
        <w:t>Were harms reported?</w:t>
      </w:r>
    </w:p>
    <w:p>
      <w:pPr>
        <w:pStyle w:val="ListBullet"/>
      </w:pPr>
      <w:r>
        <w:t>Was there a time course (early versus later)?</w:t>
      </w:r>
    </w:p>
    <w:p>
      <w:r>
        <w:rPr>
          <w:rFonts w:ascii="Calibri" w:hAnsi="Calibri"/>
          <w:b/>
          <w:sz w:val="22"/>
        </w:rPr>
        <w:t>3. Will these results help my patients? (Applicability)</w:t>
      </w:r>
    </w:p>
    <w:p>
      <w:pPr>
        <w:pStyle w:val="ListBullet"/>
      </w:pPr>
      <w:r>
        <w:t>Does the study population match the patients we anesthetize?</w:t>
      </w:r>
    </w:p>
    <w:p>
      <w:pPr>
        <w:pStyle w:val="ListBullet"/>
      </w:pPr>
      <w:r>
        <w:t>Are the outcomes patient-centered?</w:t>
      </w:r>
    </w:p>
    <w:p>
      <w:pPr>
        <w:pStyle w:val="ListBullet"/>
      </w:pPr>
      <w:r>
        <w:t>What would get in the way of using this here?</w:t>
      </w:r>
    </w:p>
    <w:p>
      <w:pPr>
        <w:pStyle w:val="ListBullet"/>
      </w:pPr>
      <w:r>
        <w:t>How does our pathway differ from the study setting?</w:t>
      </w:r>
    </w:p>
    <w:p>
      <w:pPr>
        <w:spacing w:before="280" w:after="80"/>
      </w:pPr>
      <w:r>
        <w:rPr>
          <w:rFonts w:ascii="Calibri" w:hAnsi="Calibri"/>
          <w:b/>
          <w:color w:val="1E3A5F"/>
          <w:sz w:val="28"/>
        </w:rPr>
        <w:t>Key reminders</w:t>
      </w:r>
    </w:p>
    <w:p>
      <w:pPr>
        <w:pStyle w:val="ListBullet"/>
      </w:pPr>
      <w:r>
        <w:t>Grape 2021 compares TAP block with wound infiltration for laparoscopic cholecystectomy. Pain and opioid use in that review favored the TAP block.</w:t>
      </w:r>
    </w:p>
    <w:p>
      <w:pPr>
        <w:pStyle w:val="ListBullet"/>
      </w:pPr>
      <w:r>
        <w:t>CLEVELAND (Turan 2026) compared liposomal bupivacaine, plain bupivacaine, and saline for single-shot four-quadrant TAP blocks before mixed major abdominal surgery. Opioid use and pain scores were similar through 72 hours.</w:t>
      </w:r>
    </w:p>
    <w:p>
      <w:pPr>
        <w:pStyle w:val="ListBullet"/>
      </w:pPr>
      <w:r>
        <w:t>A result about one operation and one comparator does not automatically travel to a different population, a different comparator, or a different block technique.</w:t>
      </w:r>
    </w:p>
    <w:p>
      <w:pPr>
        <w:spacing w:before="280" w:after="80"/>
      </w:pPr>
      <w:r>
        <w:rPr>
          <w:rFonts w:ascii="Calibri" w:hAnsi="Calibri"/>
          <w:b/>
          <w:color w:val="1E3A5F"/>
          <w:sz w:val="28"/>
        </w:rPr>
        <w:t>References</w:t>
      </w:r>
    </w:p>
    <w:p>
      <w:pPr>
        <w:pStyle w:val="ListNumber"/>
      </w:pPr>
      <w:r>
        <w:t>Grape S, Kirkham KR, Akiki L, Albrecht E. Transversus abdominis plane block versus local anesthetic wound infiltration for optimal analgesia after laparoscopic cholecystectomy: a systematic review and meta-analysis with trial sequential analysis. J Clin Anesth. 2021;75:110450. doi:10.1016/j.jclinane.2021.110450</w:t>
      </w:r>
    </w:p>
    <w:p>
      <w:pPr>
        <w:pStyle w:val="ListNumber"/>
      </w:pPr>
      <w:r>
        <w:t>Turan A, Ali Sakr Esa W, Brooker J, et al.; for the CLEVELAND Trial Group. Liposomal bupivacaine, plain bupivacaine, and saline for transversus abdominis plane blocks: the CLEVELAND randomized trial. Anesthesiology. 2026;144(3):546-558. doi:10.1097/ALN.0000000000005869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