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54CCC" w14:textId="36EAE61A" w:rsidR="00036860" w:rsidRDefault="00D01C19" w:rsidP="00D55203">
      <w:pPr>
        <w:pStyle w:val="Title"/>
        <w:ind w:right="1260"/>
      </w:pPr>
      <w:r w:rsidRPr="001A6981">
        <w:t>Anesthesiology Resident Journal Club Handbook: Critical Appraisal Made Practical</w:t>
      </w:r>
    </w:p>
    <w:p w14:paraId="285D6147" w14:textId="3A5E0678" w:rsidR="00036860" w:rsidRDefault="00036860" w:rsidP="00D55203">
      <w:pPr>
        <w:pStyle w:val="Heading2"/>
        <w:ind w:right="1260"/>
      </w:pPr>
      <w:r>
        <w:t>Introduction: Re-Envisioning Journal Club as a Core Competency Engine</w:t>
      </w:r>
    </w:p>
    <w:p w14:paraId="6CEAEFE5" w14:textId="442B0F6C" w:rsidR="00036860" w:rsidRPr="00013CA6" w:rsidRDefault="00036860" w:rsidP="00D55203">
      <w:pPr>
        <w:ind w:right="1260"/>
      </w:pPr>
      <w:r w:rsidRPr="00013CA6">
        <w:t>Journal club has long been a staple of graduate medical education. Yet in many programs, it remains a passive exercise: one resident presents, others skim the paper (if at all), and the discussion drifts. This traditional format fails to meet the demands of competency-based medical education (CBME) and the ACGME’s mandate for “evidence-based, data-driven, clinical learning.”</w:t>
      </w:r>
    </w:p>
    <w:p w14:paraId="496BE62A" w14:textId="51409EB0" w:rsidR="00036860" w:rsidRPr="00633A74" w:rsidRDefault="00036860" w:rsidP="00D55203">
      <w:pPr>
        <w:ind w:right="1260"/>
        <w:rPr>
          <w:rStyle w:val="s2"/>
        </w:rPr>
      </w:pPr>
      <w:r w:rsidRPr="00013CA6">
        <w:t xml:space="preserve">For anesthesiology residents, time is precious. Every educational activity must deliver demonstrable skill acquisition. This framework re-envisions journal club as a </w:t>
      </w:r>
      <w:r w:rsidRPr="00013CA6">
        <w:rPr>
          <w:rStyle w:val="s1"/>
          <w:b/>
          <w:bCs/>
        </w:rPr>
        <w:t>two-hour, flipped-classroom model</w:t>
      </w:r>
      <w:r w:rsidRPr="00013CA6">
        <w:t xml:space="preserve">: one hour of structured pre-work and one hour of facilitated group discussion. Anchored to the </w:t>
      </w:r>
      <w:r w:rsidRPr="00013CA6">
        <w:rPr>
          <w:rStyle w:val="s1"/>
          <w:b/>
          <w:bCs/>
        </w:rPr>
        <w:t xml:space="preserve">ACGME Anesthesiology Program Requirements and </w:t>
      </w:r>
      <w:r w:rsidR="003E34EB" w:rsidRPr="00013CA6">
        <w:rPr>
          <w:b/>
          <w:bCs/>
        </w:rPr>
        <w:t>Practice-Based Learning and Improvement</w:t>
      </w:r>
      <w:r w:rsidR="00013CA6" w:rsidRPr="00013CA6">
        <w:rPr>
          <w:b/>
          <w:bCs/>
        </w:rPr>
        <w:t xml:space="preserve"> </w:t>
      </w:r>
      <w:r w:rsidR="003E34EB" w:rsidRPr="00013CA6">
        <w:rPr>
          <w:rStyle w:val="s1"/>
          <w:b/>
          <w:bCs/>
        </w:rPr>
        <w:t>(</w:t>
      </w:r>
      <w:r w:rsidRPr="00013CA6">
        <w:rPr>
          <w:rStyle w:val="s1"/>
          <w:b/>
          <w:bCs/>
        </w:rPr>
        <w:t>PBLI</w:t>
      </w:r>
      <w:r w:rsidR="003E34EB" w:rsidRPr="00013CA6">
        <w:rPr>
          <w:rStyle w:val="s1"/>
          <w:b/>
          <w:bCs/>
        </w:rPr>
        <w:t>)</w:t>
      </w:r>
      <w:r w:rsidRPr="00013CA6">
        <w:rPr>
          <w:rStyle w:val="s1"/>
          <w:b/>
          <w:bCs/>
        </w:rPr>
        <w:t xml:space="preserve"> Milestones</w:t>
      </w:r>
      <w:r w:rsidRPr="00633A74">
        <w:t xml:space="preserve">, </w:t>
      </w:r>
      <w:r w:rsidRPr="00013CA6">
        <w:t xml:space="preserve">it transforms </w:t>
      </w:r>
      <w:r w:rsidRPr="00013CA6">
        <w:t xml:space="preserve">the </w:t>
      </w:r>
      <w:r w:rsidRPr="00013CA6">
        <w:t xml:space="preserve">journal club from a routine meeting into a </w:t>
      </w:r>
      <w:r w:rsidRPr="00013CA6">
        <w:rPr>
          <w:rStyle w:val="s1"/>
          <w:b/>
          <w:bCs/>
        </w:rPr>
        <w:t>practical, high-yield educational tool</w:t>
      </w:r>
      <w:r w:rsidRPr="00013CA6">
        <w:t xml:space="preserve"> that builds evidence-based practitioners.</w:t>
      </w:r>
    </w:p>
    <w:p w14:paraId="31F72D05" w14:textId="7073A6CC" w:rsidR="00036860" w:rsidRPr="00880650" w:rsidRDefault="00036860" w:rsidP="00D55203">
      <w:pPr>
        <w:pStyle w:val="Heading1"/>
        <w:ind w:right="1260"/>
      </w:pPr>
      <w:r w:rsidRPr="00880650">
        <w:t>Section 1: Why This Matters — The ACGME Imperative</w:t>
      </w:r>
    </w:p>
    <w:p w14:paraId="3E8243EB" w14:textId="1FD2CA36" w:rsidR="00036860" w:rsidRPr="00880650" w:rsidRDefault="00036860" w:rsidP="00D55203">
      <w:pPr>
        <w:pStyle w:val="Heading2"/>
        <w:ind w:right="1260"/>
      </w:pPr>
      <w:r w:rsidRPr="00880650">
        <w:t>1.1 Meeting the Scholarly Activity Mandate</w:t>
      </w:r>
    </w:p>
    <w:p w14:paraId="5AE5B041" w14:textId="1847D00A" w:rsidR="00036860" w:rsidRDefault="00036860" w:rsidP="00D55203">
      <w:pPr>
        <w:pStyle w:val="p1"/>
        <w:ind w:right="1260"/>
      </w:pPr>
      <w:r>
        <w:t>ACGME requirement 4.15 mandates</w:t>
      </w:r>
      <w:r w:rsidR="00765216">
        <w:t xml:space="preserve"> [</w:t>
      </w:r>
      <w:r w:rsidR="00633A74">
        <w:t>1</w:t>
      </w:r>
      <w:r w:rsidR="00765216">
        <w:t>]</w:t>
      </w:r>
      <w:r>
        <w:t xml:space="preserve"> that all residents “must participate in scholarship.” A structured journal club presentation qualifies as an academic assignment equivalent to grand rounds or a local scientific presentation. By formalizing journal club expectations, programs can ensure each resident repeatedly completes qualifying scholarly activity throughout residency, </w:t>
      </w:r>
      <w:r w:rsidR="003E34EB">
        <w:t xml:space="preserve">sustainably </w:t>
      </w:r>
      <w:r>
        <w:t>fulfilling this requirement.</w:t>
      </w:r>
    </w:p>
    <w:p w14:paraId="0EC1F648" w14:textId="3AEBBD12" w:rsidR="00036860" w:rsidRDefault="00036860" w:rsidP="00D55203">
      <w:pPr>
        <w:pStyle w:val="Heading2"/>
        <w:ind w:right="1260"/>
      </w:pPr>
      <w:r>
        <w:t>1.2 Journal Club as a PBLI Laboratory</w:t>
      </w:r>
    </w:p>
    <w:p w14:paraId="4211D7BC" w14:textId="3EF165EA" w:rsidR="00036860" w:rsidRDefault="00036860" w:rsidP="00D55203">
      <w:pPr>
        <w:pStyle w:val="p1"/>
        <w:ind w:right="1260"/>
      </w:pPr>
      <w:r>
        <w:t xml:space="preserve">The journal club is uniquely suited to developing </w:t>
      </w:r>
      <w:r>
        <w:rPr>
          <w:rStyle w:val="s1"/>
          <w:b/>
          <w:bCs/>
        </w:rPr>
        <w:t>PBLI 1: Evidence-Based and Informed Practice</w:t>
      </w:r>
      <w:r w:rsidR="00633A74">
        <w:rPr>
          <w:rStyle w:val="s1"/>
          <w:b/>
          <w:bCs/>
        </w:rPr>
        <w:t xml:space="preserve"> [2]</w:t>
      </w:r>
      <w:r>
        <w:t>, which progresses from:</w:t>
      </w:r>
    </w:p>
    <w:p w14:paraId="418E2E40" w14:textId="77777777" w:rsidR="00036860" w:rsidRDefault="00036860" w:rsidP="00D55203">
      <w:pPr>
        <w:pStyle w:val="p1"/>
        <w:numPr>
          <w:ilvl w:val="0"/>
          <w:numId w:val="51"/>
        </w:numPr>
        <w:ind w:right="1260"/>
      </w:pPr>
      <w:r>
        <w:rPr>
          <w:rStyle w:val="s1"/>
          <w:b/>
          <w:bCs/>
        </w:rPr>
        <w:t>Level 1</w:t>
      </w:r>
      <w:r>
        <w:t>: Accesses and uses evidence in routine care</w:t>
      </w:r>
    </w:p>
    <w:p w14:paraId="069116C2" w14:textId="77777777" w:rsidR="00036860" w:rsidRDefault="00036860" w:rsidP="00D55203">
      <w:pPr>
        <w:pStyle w:val="p1"/>
        <w:numPr>
          <w:ilvl w:val="0"/>
          <w:numId w:val="51"/>
        </w:numPr>
        <w:ind w:right="1260"/>
      </w:pPr>
      <w:r>
        <w:rPr>
          <w:rStyle w:val="s1"/>
          <w:b/>
          <w:bCs/>
        </w:rPr>
        <w:t>Level 2</w:t>
      </w:r>
      <w:r>
        <w:t>: Frames clinical questions (PICO) to guide care</w:t>
      </w:r>
    </w:p>
    <w:p w14:paraId="0722CB39" w14:textId="77777777" w:rsidR="00036860" w:rsidRDefault="00036860" w:rsidP="00D55203">
      <w:pPr>
        <w:pStyle w:val="p1"/>
        <w:numPr>
          <w:ilvl w:val="0"/>
          <w:numId w:val="51"/>
        </w:numPr>
        <w:ind w:right="1260"/>
      </w:pPr>
      <w:r>
        <w:rPr>
          <w:rStyle w:val="s1"/>
          <w:b/>
          <w:bCs/>
        </w:rPr>
        <w:t>Level 3</w:t>
      </w:r>
      <w:r>
        <w:t>: Locates and applies evidence to complex patients</w:t>
      </w:r>
    </w:p>
    <w:p w14:paraId="5CDB0CC4" w14:textId="77777777" w:rsidR="00036860" w:rsidRDefault="00036860" w:rsidP="00D55203">
      <w:pPr>
        <w:pStyle w:val="p1"/>
        <w:numPr>
          <w:ilvl w:val="0"/>
          <w:numId w:val="51"/>
        </w:numPr>
        <w:ind w:right="1260"/>
      </w:pPr>
      <w:r>
        <w:rPr>
          <w:rStyle w:val="s1"/>
          <w:b/>
          <w:bCs/>
        </w:rPr>
        <w:t>Level 4</w:t>
      </w:r>
      <w:r>
        <w:t>: Appraises and applies evidence amid uncertainty</w:t>
      </w:r>
    </w:p>
    <w:p w14:paraId="54F81308" w14:textId="0FB650D8" w:rsidR="00036860" w:rsidRDefault="00036860" w:rsidP="00D55203">
      <w:pPr>
        <w:pStyle w:val="p1"/>
        <w:numPr>
          <w:ilvl w:val="0"/>
          <w:numId w:val="51"/>
        </w:numPr>
        <w:ind w:right="1260"/>
      </w:pPr>
      <w:r>
        <w:rPr>
          <w:rStyle w:val="s1"/>
          <w:b/>
          <w:bCs/>
        </w:rPr>
        <w:t>Level 5</w:t>
      </w:r>
      <w:r>
        <w:t>: Coaches others and contributes to guideline development</w:t>
      </w:r>
    </w:p>
    <w:p w14:paraId="1309E7D3" w14:textId="018C0B34" w:rsidR="00036860" w:rsidRPr="00566A1C" w:rsidRDefault="00036860" w:rsidP="00D55203">
      <w:pPr>
        <w:pStyle w:val="p1"/>
        <w:ind w:right="1260"/>
        <w:rPr>
          <w:rStyle w:val="s2"/>
        </w:rPr>
      </w:pPr>
      <w:r>
        <w:t>Each journal club simulates this entire cycle—identifying a question, appraising validity, interpreting results, and debating application—making it one of the most efficient tools for competency development.</w:t>
      </w:r>
    </w:p>
    <w:p w14:paraId="293311F7" w14:textId="6A2E1F61" w:rsidR="00036860" w:rsidRPr="00633A74" w:rsidRDefault="00036860" w:rsidP="00D55203">
      <w:pPr>
        <w:pStyle w:val="Heading1"/>
        <w:ind w:right="1260"/>
        <w:rPr>
          <w:rFonts w:eastAsiaTheme="majorEastAsia"/>
        </w:rPr>
      </w:pPr>
      <w:r>
        <w:lastRenderedPageBreak/>
        <w:t>Section 2: The 2-Hour Flipped Classroom Method</w:t>
      </w:r>
    </w:p>
    <w:p w14:paraId="1B383CCE" w14:textId="0676B5D1" w:rsidR="00036860" w:rsidRDefault="00036860" w:rsidP="00D55203">
      <w:pPr>
        <w:pStyle w:val="Heading2"/>
        <w:ind w:right="1260"/>
      </w:pPr>
      <w:r>
        <w:t>2.1 The Rationale</w:t>
      </w:r>
    </w:p>
    <w:p w14:paraId="1AB56199" w14:textId="74966A2F" w:rsidR="00036860" w:rsidRDefault="00036860" w:rsidP="00D55203">
      <w:pPr>
        <w:pStyle w:val="p1"/>
        <w:ind w:right="1260"/>
      </w:pPr>
      <w:r>
        <w:t xml:space="preserve">The flipped model shifts information transfer (reading the article) into independent pre-work, reserving group time for higher-order tasks: critique, synthesis, and clinical application. This ensures </w:t>
      </w:r>
      <w:r>
        <w:rPr>
          <w:rStyle w:val="s1"/>
          <w:b/>
          <w:bCs/>
        </w:rPr>
        <w:t>all participants are prepared</w:t>
      </w:r>
      <w:r>
        <w:t>, not just the presenter, and transforms the session into an active, collaborative learning experience.</w:t>
      </w:r>
    </w:p>
    <w:p w14:paraId="0170F12D" w14:textId="1CF8979D" w:rsidR="00036860" w:rsidRDefault="00036860" w:rsidP="00D55203">
      <w:pPr>
        <w:pStyle w:val="Heading2"/>
        <w:ind w:right="1260"/>
      </w:pPr>
      <w:r>
        <w:t>2.2 Part A: The Pre-Work Hour — Critical Appraisal Checklist</w:t>
      </w:r>
      <w:r w:rsidR="00D21983">
        <w:t xml:space="preserve"> (Appendix A)</w:t>
      </w:r>
    </w:p>
    <w:p w14:paraId="64E1009F" w14:textId="1082BC0C" w:rsidR="00036860" w:rsidRDefault="00036860" w:rsidP="00D55203">
      <w:pPr>
        <w:pStyle w:val="p1"/>
        <w:ind w:right="1260"/>
      </w:pPr>
      <w:r>
        <w:t xml:space="preserve">Residents complete a </w:t>
      </w:r>
      <w:r>
        <w:rPr>
          <w:rStyle w:val="s1"/>
          <w:b/>
          <w:bCs/>
        </w:rPr>
        <w:t>guided, high-yield appraisal tool</w:t>
      </w:r>
      <w:r>
        <w:t xml:space="preserve"> adapted from CONSORT, STROBE, and PRISMA but simplified for busy clinicians. The tool focuses on three fundamental EBM questions:</w:t>
      </w:r>
    </w:p>
    <w:p w14:paraId="26E1B339" w14:textId="77777777" w:rsidR="00036860" w:rsidRDefault="00036860" w:rsidP="00D55203">
      <w:pPr>
        <w:pStyle w:val="p1"/>
        <w:numPr>
          <w:ilvl w:val="0"/>
          <w:numId w:val="52"/>
        </w:numPr>
        <w:ind w:right="1260"/>
      </w:pPr>
      <w:r>
        <w:t>Are the results valid? (internal validity)</w:t>
      </w:r>
    </w:p>
    <w:p w14:paraId="3BA56062" w14:textId="77777777" w:rsidR="00036860" w:rsidRDefault="00036860" w:rsidP="00D55203">
      <w:pPr>
        <w:pStyle w:val="p1"/>
        <w:numPr>
          <w:ilvl w:val="0"/>
          <w:numId w:val="52"/>
        </w:numPr>
        <w:ind w:right="1260"/>
      </w:pPr>
      <w:r>
        <w:t>What were the results? (magnitude and precision)</w:t>
      </w:r>
    </w:p>
    <w:p w14:paraId="1594B817" w14:textId="0C6E60A0" w:rsidR="00036860" w:rsidRDefault="00036860" w:rsidP="00D55203">
      <w:pPr>
        <w:pStyle w:val="p1"/>
        <w:numPr>
          <w:ilvl w:val="0"/>
          <w:numId w:val="52"/>
        </w:numPr>
        <w:ind w:right="1260"/>
      </w:pPr>
      <w:r>
        <w:t>Will these results help my patients? (external validity)</w:t>
      </w:r>
    </w:p>
    <w:p w14:paraId="05670720" w14:textId="77777777" w:rsidR="00036860" w:rsidRDefault="00036860" w:rsidP="00D55203">
      <w:pPr>
        <w:pStyle w:val="p4"/>
        <w:ind w:right="1260"/>
      </w:pPr>
      <w:r>
        <w:rPr>
          <w:b/>
          <w:bCs/>
        </w:rPr>
        <w:t>Example (Condensed RCT Checklist):</w:t>
      </w:r>
    </w:p>
    <w:p w14:paraId="5C891603" w14:textId="77777777" w:rsidR="00036860" w:rsidRDefault="00036860" w:rsidP="00D55203">
      <w:pPr>
        <w:pStyle w:val="p1"/>
        <w:numPr>
          <w:ilvl w:val="0"/>
          <w:numId w:val="53"/>
        </w:numPr>
        <w:ind w:right="1260"/>
      </w:pPr>
      <w:r>
        <w:rPr>
          <w:rStyle w:val="s1"/>
          <w:b/>
          <w:bCs/>
        </w:rPr>
        <w:t>Validity:</w:t>
      </w:r>
      <w:r>
        <w:t xml:space="preserve"> Randomization? Blinding? Baseline similarity? ITT analysis? Equal treatment?</w:t>
      </w:r>
    </w:p>
    <w:p w14:paraId="121E648F" w14:textId="77777777" w:rsidR="00036860" w:rsidRDefault="00036860" w:rsidP="00D55203">
      <w:pPr>
        <w:pStyle w:val="p1"/>
        <w:numPr>
          <w:ilvl w:val="0"/>
          <w:numId w:val="53"/>
        </w:numPr>
        <w:ind w:right="1260"/>
      </w:pPr>
      <w:r>
        <w:rPr>
          <w:rStyle w:val="s1"/>
          <w:b/>
          <w:bCs/>
        </w:rPr>
        <w:t>Results:</w:t>
      </w:r>
      <w:r>
        <w:t xml:space="preserve"> Effect size, CI, p-value; calculate ARR/NNT; harms reported?</w:t>
      </w:r>
    </w:p>
    <w:p w14:paraId="4C928E59" w14:textId="0C2307D2" w:rsidR="00036860" w:rsidRDefault="00036860" w:rsidP="00D55203">
      <w:pPr>
        <w:pStyle w:val="p1"/>
        <w:numPr>
          <w:ilvl w:val="0"/>
          <w:numId w:val="53"/>
        </w:numPr>
        <w:ind w:right="1260"/>
      </w:pPr>
      <w:r>
        <w:rPr>
          <w:rStyle w:val="s1"/>
          <w:b/>
          <w:bCs/>
        </w:rPr>
        <w:t>Applicability:</w:t>
      </w:r>
      <w:r>
        <w:t xml:space="preserve"> Patient similarity? Feasibility in our setting? All key outcomes </w:t>
      </w:r>
      <w:proofErr w:type="gramStart"/>
      <w:r>
        <w:t>addressed?</w:t>
      </w:r>
      <w:proofErr w:type="gramEnd"/>
    </w:p>
    <w:p w14:paraId="1AD4F534" w14:textId="4B16B8B7" w:rsidR="00036860" w:rsidRDefault="00036860" w:rsidP="00D55203">
      <w:pPr>
        <w:pStyle w:val="p1"/>
        <w:ind w:right="1260"/>
      </w:pPr>
      <w:r>
        <w:t xml:space="preserve">Deliverable: completed checklist = </w:t>
      </w:r>
      <w:r w:rsidR="000F0540">
        <w:rPr>
          <w:rStyle w:val="s1"/>
          <w:b/>
          <w:bCs/>
        </w:rPr>
        <w:t xml:space="preserve">completed </w:t>
      </w:r>
      <w:r w:rsidR="000F0540" w:rsidRPr="00A72CC3">
        <w:rPr>
          <w:rStyle w:val="s1"/>
          <w:b/>
          <w:bCs/>
          <w:i/>
          <w:iCs/>
        </w:rPr>
        <w:t>before</w:t>
      </w:r>
      <w:r>
        <w:t xml:space="preserve"> discussion.</w:t>
      </w:r>
    </w:p>
    <w:p w14:paraId="76CF7D57" w14:textId="77777777" w:rsidR="00036860" w:rsidRDefault="00036860" w:rsidP="00D55203">
      <w:pPr>
        <w:pStyle w:val="Heading2"/>
        <w:ind w:right="1260"/>
      </w:pPr>
      <w:r>
        <w:t>2.3 Part B: The Session Hour — Structured Agenda</w:t>
      </w:r>
    </w:p>
    <w:tbl>
      <w:tblPr>
        <w:tblStyle w:val="PlainTable2"/>
        <w:tblW w:w="9270" w:type="dxa"/>
        <w:tblLook w:val="04A0" w:firstRow="1" w:lastRow="0" w:firstColumn="1" w:lastColumn="0" w:noHBand="0" w:noVBand="1"/>
      </w:tblPr>
      <w:tblGrid>
        <w:gridCol w:w="1876"/>
        <w:gridCol w:w="2377"/>
        <w:gridCol w:w="5017"/>
      </w:tblGrid>
      <w:tr w:rsidR="00D55203" w:rsidRPr="00EE57CB" w14:paraId="4209CF5E" w14:textId="77777777" w:rsidTr="006B7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7F7F7F" w:themeColor="text1" w:themeTint="80"/>
              <w:bottom w:val="single" w:sz="18" w:space="0" w:color="auto"/>
            </w:tcBorders>
            <w:hideMark/>
          </w:tcPr>
          <w:p w14:paraId="11086E51" w14:textId="77777777" w:rsidR="00036860" w:rsidRPr="00EE57CB" w:rsidRDefault="00036860" w:rsidP="00D55203">
            <w:pPr>
              <w:pStyle w:val="p1"/>
              <w:ind w:right="1260"/>
              <w:rPr>
                <w:sz w:val="18"/>
                <w:szCs w:val="18"/>
              </w:rPr>
            </w:pPr>
            <w:r w:rsidRPr="00EE57CB">
              <w:rPr>
                <w:sz w:val="18"/>
                <w:szCs w:val="18"/>
              </w:rPr>
              <w:t>Time</w:t>
            </w:r>
          </w:p>
        </w:tc>
        <w:tc>
          <w:tcPr>
            <w:tcW w:w="0" w:type="auto"/>
            <w:tcBorders>
              <w:top w:val="single" w:sz="4" w:space="0" w:color="7F7F7F" w:themeColor="text1" w:themeTint="80"/>
              <w:bottom w:val="single" w:sz="18" w:space="0" w:color="auto"/>
            </w:tcBorders>
            <w:hideMark/>
          </w:tcPr>
          <w:p w14:paraId="0B7CC8B6" w14:textId="77777777" w:rsidR="00036860" w:rsidRPr="00EE57CB" w:rsidRDefault="00036860" w:rsidP="00D55203">
            <w:pPr>
              <w:pStyle w:val="p1"/>
              <w:ind w:right="1260"/>
              <w:cnfStyle w:val="100000000000" w:firstRow="1" w:lastRow="0" w:firstColumn="0" w:lastColumn="0" w:oddVBand="0" w:evenVBand="0" w:oddHBand="0" w:evenHBand="0" w:firstRowFirstColumn="0" w:firstRowLastColumn="0" w:lastRowFirstColumn="0" w:lastRowLastColumn="0"/>
              <w:rPr>
                <w:sz w:val="18"/>
                <w:szCs w:val="18"/>
              </w:rPr>
            </w:pPr>
            <w:r w:rsidRPr="00EE57CB">
              <w:rPr>
                <w:sz w:val="18"/>
                <w:szCs w:val="18"/>
              </w:rPr>
              <w:t>Activity</w:t>
            </w:r>
          </w:p>
        </w:tc>
        <w:tc>
          <w:tcPr>
            <w:tcW w:w="5230" w:type="dxa"/>
            <w:tcBorders>
              <w:top w:val="single" w:sz="4" w:space="0" w:color="7F7F7F" w:themeColor="text1" w:themeTint="80"/>
              <w:bottom w:val="single" w:sz="18" w:space="0" w:color="auto"/>
            </w:tcBorders>
            <w:hideMark/>
          </w:tcPr>
          <w:p w14:paraId="4D2C92D5" w14:textId="77777777" w:rsidR="00036860" w:rsidRPr="00EE57CB" w:rsidRDefault="00036860" w:rsidP="00D55203">
            <w:pPr>
              <w:pStyle w:val="p1"/>
              <w:ind w:right="1260"/>
              <w:cnfStyle w:val="100000000000" w:firstRow="1" w:lastRow="0" w:firstColumn="0" w:lastColumn="0" w:oddVBand="0" w:evenVBand="0" w:oddHBand="0" w:evenHBand="0" w:firstRowFirstColumn="0" w:firstRowLastColumn="0" w:lastRowFirstColumn="0" w:lastRowLastColumn="0"/>
              <w:rPr>
                <w:sz w:val="18"/>
                <w:szCs w:val="18"/>
              </w:rPr>
            </w:pPr>
            <w:r w:rsidRPr="00EE57CB">
              <w:rPr>
                <w:sz w:val="18"/>
                <w:szCs w:val="18"/>
              </w:rPr>
              <w:t>Objective</w:t>
            </w:r>
          </w:p>
        </w:tc>
      </w:tr>
      <w:tr w:rsidR="00D55203" w:rsidRPr="00EE57CB" w14:paraId="4CF7B227" w14:textId="77777777" w:rsidTr="006B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18" w:space="0" w:color="auto"/>
            </w:tcBorders>
            <w:hideMark/>
          </w:tcPr>
          <w:p w14:paraId="0D6528C3" w14:textId="1916A9DC" w:rsidR="00036860" w:rsidRPr="00EE57CB" w:rsidRDefault="00036860" w:rsidP="00D55203">
            <w:pPr>
              <w:pStyle w:val="p1"/>
              <w:spacing w:before="40" w:beforeAutospacing="0" w:after="40" w:afterAutospacing="0"/>
              <w:ind w:right="1260"/>
              <w:rPr>
                <w:b w:val="0"/>
                <w:bCs w:val="0"/>
                <w:sz w:val="18"/>
                <w:szCs w:val="18"/>
              </w:rPr>
            </w:pPr>
            <w:r w:rsidRPr="00EE57CB">
              <w:rPr>
                <w:sz w:val="18"/>
                <w:szCs w:val="18"/>
              </w:rPr>
              <w:t>0–7</w:t>
            </w:r>
            <w:r w:rsidR="006B7FBC">
              <w:rPr>
                <w:sz w:val="18"/>
                <w:szCs w:val="18"/>
              </w:rPr>
              <w:t xml:space="preserve"> </w:t>
            </w:r>
            <w:r w:rsidRPr="00EE57CB">
              <w:rPr>
                <w:sz w:val="18"/>
                <w:szCs w:val="18"/>
              </w:rPr>
              <w:t>min</w:t>
            </w:r>
          </w:p>
        </w:tc>
        <w:tc>
          <w:tcPr>
            <w:tcW w:w="0" w:type="auto"/>
            <w:tcBorders>
              <w:top w:val="single" w:sz="18" w:space="0" w:color="auto"/>
            </w:tcBorders>
            <w:hideMark/>
          </w:tcPr>
          <w:p w14:paraId="7CD96B9F" w14:textId="77777777" w:rsidR="00036860" w:rsidRPr="00EE57CB" w:rsidRDefault="00036860" w:rsidP="00D55203">
            <w:pPr>
              <w:pStyle w:val="p1"/>
              <w:spacing w:before="40" w:beforeAutospacing="0" w:after="40" w:afterAutospacing="0"/>
              <w:ind w:right="1260"/>
              <w:cnfStyle w:val="000000100000" w:firstRow="0" w:lastRow="0" w:firstColumn="0" w:lastColumn="0" w:oddVBand="0" w:evenVBand="0" w:oddHBand="1" w:evenHBand="0" w:firstRowFirstColumn="0" w:firstRowLastColumn="0" w:lastRowFirstColumn="0" w:lastRowLastColumn="0"/>
              <w:rPr>
                <w:sz w:val="18"/>
                <w:szCs w:val="18"/>
              </w:rPr>
            </w:pPr>
            <w:r w:rsidRPr="00EE57CB">
              <w:rPr>
                <w:b/>
                <w:bCs/>
                <w:sz w:val="18"/>
                <w:szCs w:val="18"/>
              </w:rPr>
              <w:t>Context &amp; BLUF</w:t>
            </w:r>
          </w:p>
        </w:tc>
        <w:tc>
          <w:tcPr>
            <w:tcW w:w="5230" w:type="dxa"/>
            <w:tcBorders>
              <w:top w:val="single" w:sz="18" w:space="0" w:color="auto"/>
            </w:tcBorders>
            <w:hideMark/>
          </w:tcPr>
          <w:p w14:paraId="3C02A81A" w14:textId="77777777" w:rsidR="00036860" w:rsidRPr="00EE57CB" w:rsidRDefault="00036860" w:rsidP="00D55203">
            <w:pPr>
              <w:pStyle w:val="p1"/>
              <w:spacing w:before="40" w:beforeAutospacing="0" w:after="40" w:afterAutospacing="0"/>
              <w:ind w:right="1260"/>
              <w:cnfStyle w:val="000000100000" w:firstRow="0" w:lastRow="0" w:firstColumn="0" w:lastColumn="0" w:oddVBand="0" w:evenVBand="0" w:oddHBand="1" w:evenHBand="0" w:firstRowFirstColumn="0" w:firstRowLastColumn="0" w:lastRowFirstColumn="0" w:lastRowLastColumn="0"/>
              <w:rPr>
                <w:sz w:val="18"/>
                <w:szCs w:val="18"/>
              </w:rPr>
            </w:pPr>
            <w:r w:rsidRPr="00EE57CB">
              <w:rPr>
                <w:sz w:val="18"/>
                <w:szCs w:val="18"/>
              </w:rPr>
              <w:t>Resident presenter frames clinical question and gives one-sentence conclusion</w:t>
            </w:r>
          </w:p>
        </w:tc>
      </w:tr>
      <w:tr w:rsidR="00D55203" w:rsidRPr="00EE57CB" w14:paraId="403F223D" w14:textId="77777777" w:rsidTr="006B7FBC">
        <w:tc>
          <w:tcPr>
            <w:cnfStyle w:val="001000000000" w:firstRow="0" w:lastRow="0" w:firstColumn="1" w:lastColumn="0" w:oddVBand="0" w:evenVBand="0" w:oddHBand="0" w:evenHBand="0" w:firstRowFirstColumn="0" w:firstRowLastColumn="0" w:lastRowFirstColumn="0" w:lastRowLastColumn="0"/>
            <w:tcW w:w="1260" w:type="dxa"/>
            <w:hideMark/>
          </w:tcPr>
          <w:p w14:paraId="557A71A9" w14:textId="77777777" w:rsidR="00036860" w:rsidRPr="00EE57CB" w:rsidRDefault="00036860" w:rsidP="00D55203">
            <w:pPr>
              <w:pStyle w:val="p1"/>
              <w:spacing w:before="40" w:beforeAutospacing="0" w:after="40" w:afterAutospacing="0"/>
              <w:ind w:right="1260"/>
              <w:rPr>
                <w:sz w:val="18"/>
                <w:szCs w:val="18"/>
              </w:rPr>
            </w:pPr>
            <w:r w:rsidRPr="00EE57CB">
              <w:rPr>
                <w:sz w:val="18"/>
                <w:szCs w:val="18"/>
              </w:rPr>
              <w:t>7–25 min</w:t>
            </w:r>
          </w:p>
        </w:tc>
        <w:tc>
          <w:tcPr>
            <w:tcW w:w="0" w:type="auto"/>
            <w:hideMark/>
          </w:tcPr>
          <w:p w14:paraId="55674506" w14:textId="77777777" w:rsidR="00036860" w:rsidRPr="00EE57CB" w:rsidRDefault="00036860" w:rsidP="00D55203">
            <w:pPr>
              <w:pStyle w:val="p1"/>
              <w:spacing w:before="40" w:beforeAutospacing="0" w:after="40" w:afterAutospacing="0"/>
              <w:ind w:right="1260"/>
              <w:cnfStyle w:val="000000000000" w:firstRow="0" w:lastRow="0" w:firstColumn="0" w:lastColumn="0" w:oddVBand="0" w:evenVBand="0" w:oddHBand="0" w:evenHBand="0" w:firstRowFirstColumn="0" w:firstRowLastColumn="0" w:lastRowFirstColumn="0" w:lastRowLastColumn="0"/>
              <w:rPr>
                <w:sz w:val="18"/>
                <w:szCs w:val="18"/>
              </w:rPr>
            </w:pPr>
            <w:r w:rsidRPr="00EE57CB">
              <w:rPr>
                <w:b/>
                <w:bCs/>
                <w:sz w:val="18"/>
                <w:szCs w:val="18"/>
              </w:rPr>
              <w:t>Validity</w:t>
            </w:r>
          </w:p>
        </w:tc>
        <w:tc>
          <w:tcPr>
            <w:tcW w:w="5230" w:type="dxa"/>
            <w:hideMark/>
          </w:tcPr>
          <w:p w14:paraId="75CFCED8" w14:textId="77777777" w:rsidR="00036860" w:rsidRPr="00EE57CB" w:rsidRDefault="00036860" w:rsidP="00D55203">
            <w:pPr>
              <w:pStyle w:val="p1"/>
              <w:spacing w:before="40" w:beforeAutospacing="0" w:after="40" w:afterAutospacing="0"/>
              <w:ind w:right="1260"/>
              <w:cnfStyle w:val="000000000000" w:firstRow="0" w:lastRow="0" w:firstColumn="0" w:lastColumn="0" w:oddVBand="0" w:evenVBand="0" w:oddHBand="0" w:evenHBand="0" w:firstRowFirstColumn="0" w:firstRowLastColumn="0" w:lastRowFirstColumn="0" w:lastRowLastColumn="0"/>
              <w:rPr>
                <w:sz w:val="18"/>
                <w:szCs w:val="18"/>
              </w:rPr>
            </w:pPr>
            <w:r w:rsidRPr="00EE57CB">
              <w:rPr>
                <w:sz w:val="18"/>
                <w:szCs w:val="18"/>
              </w:rPr>
              <w:t>Group dissects methodology and bias</w:t>
            </w:r>
          </w:p>
        </w:tc>
      </w:tr>
      <w:tr w:rsidR="00D55203" w:rsidRPr="00EE57CB" w14:paraId="325CDE8D" w14:textId="77777777" w:rsidTr="006B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hideMark/>
          </w:tcPr>
          <w:p w14:paraId="51115C0B" w14:textId="77777777" w:rsidR="00036860" w:rsidRPr="00EE57CB" w:rsidRDefault="00036860" w:rsidP="00D55203">
            <w:pPr>
              <w:pStyle w:val="p1"/>
              <w:spacing w:before="40" w:beforeAutospacing="0" w:after="40" w:afterAutospacing="0"/>
              <w:ind w:right="1260"/>
              <w:rPr>
                <w:sz w:val="18"/>
                <w:szCs w:val="18"/>
              </w:rPr>
            </w:pPr>
            <w:r w:rsidRPr="00EE57CB">
              <w:rPr>
                <w:sz w:val="18"/>
                <w:szCs w:val="18"/>
              </w:rPr>
              <w:t>25–40 min</w:t>
            </w:r>
          </w:p>
        </w:tc>
        <w:tc>
          <w:tcPr>
            <w:tcW w:w="0" w:type="auto"/>
            <w:hideMark/>
          </w:tcPr>
          <w:p w14:paraId="220502B1" w14:textId="77777777" w:rsidR="00036860" w:rsidRPr="00EE57CB" w:rsidRDefault="00036860" w:rsidP="00D55203">
            <w:pPr>
              <w:pStyle w:val="p1"/>
              <w:spacing w:before="40" w:beforeAutospacing="0" w:after="40" w:afterAutospacing="0"/>
              <w:ind w:right="1260"/>
              <w:cnfStyle w:val="000000100000" w:firstRow="0" w:lastRow="0" w:firstColumn="0" w:lastColumn="0" w:oddVBand="0" w:evenVBand="0" w:oddHBand="1" w:evenHBand="0" w:firstRowFirstColumn="0" w:firstRowLastColumn="0" w:lastRowFirstColumn="0" w:lastRowLastColumn="0"/>
              <w:rPr>
                <w:sz w:val="18"/>
                <w:szCs w:val="18"/>
              </w:rPr>
            </w:pPr>
            <w:r w:rsidRPr="00EE57CB">
              <w:rPr>
                <w:b/>
                <w:bCs/>
                <w:sz w:val="18"/>
                <w:szCs w:val="18"/>
              </w:rPr>
              <w:t>Results</w:t>
            </w:r>
          </w:p>
        </w:tc>
        <w:tc>
          <w:tcPr>
            <w:tcW w:w="5230" w:type="dxa"/>
            <w:hideMark/>
          </w:tcPr>
          <w:p w14:paraId="3544FAF8" w14:textId="77777777" w:rsidR="00036860" w:rsidRPr="00EE57CB" w:rsidRDefault="00036860" w:rsidP="00D55203">
            <w:pPr>
              <w:pStyle w:val="p1"/>
              <w:spacing w:before="40" w:beforeAutospacing="0" w:after="40" w:afterAutospacing="0"/>
              <w:ind w:right="1260"/>
              <w:cnfStyle w:val="000000100000" w:firstRow="0" w:lastRow="0" w:firstColumn="0" w:lastColumn="0" w:oddVBand="0" w:evenVBand="0" w:oddHBand="1" w:evenHBand="0" w:firstRowFirstColumn="0" w:firstRowLastColumn="0" w:lastRowFirstColumn="0" w:lastRowLastColumn="0"/>
              <w:rPr>
                <w:sz w:val="18"/>
                <w:szCs w:val="18"/>
              </w:rPr>
            </w:pPr>
            <w:r w:rsidRPr="00EE57CB">
              <w:rPr>
                <w:sz w:val="18"/>
                <w:szCs w:val="18"/>
              </w:rPr>
              <w:t>Move beyond p-values to effect sizes, NNT, and harms</w:t>
            </w:r>
          </w:p>
        </w:tc>
      </w:tr>
      <w:tr w:rsidR="00D55203" w:rsidRPr="00EE57CB" w14:paraId="2FD2DF41" w14:textId="77777777" w:rsidTr="006B7FBC">
        <w:tc>
          <w:tcPr>
            <w:cnfStyle w:val="001000000000" w:firstRow="0" w:lastRow="0" w:firstColumn="1" w:lastColumn="0" w:oddVBand="0" w:evenVBand="0" w:oddHBand="0" w:evenHBand="0" w:firstRowFirstColumn="0" w:firstRowLastColumn="0" w:lastRowFirstColumn="0" w:lastRowLastColumn="0"/>
            <w:tcW w:w="1260" w:type="dxa"/>
            <w:hideMark/>
          </w:tcPr>
          <w:p w14:paraId="2FD294A0" w14:textId="77777777" w:rsidR="00036860" w:rsidRPr="00EE57CB" w:rsidRDefault="00036860" w:rsidP="00D55203">
            <w:pPr>
              <w:pStyle w:val="p1"/>
              <w:spacing w:before="40" w:beforeAutospacing="0" w:after="40" w:afterAutospacing="0"/>
              <w:ind w:right="1260"/>
              <w:rPr>
                <w:sz w:val="18"/>
                <w:szCs w:val="18"/>
              </w:rPr>
            </w:pPr>
            <w:r w:rsidRPr="00EE57CB">
              <w:rPr>
                <w:sz w:val="18"/>
                <w:szCs w:val="18"/>
              </w:rPr>
              <w:t>40–55 min</w:t>
            </w:r>
          </w:p>
        </w:tc>
        <w:tc>
          <w:tcPr>
            <w:tcW w:w="0" w:type="auto"/>
            <w:hideMark/>
          </w:tcPr>
          <w:p w14:paraId="3C9C89F4" w14:textId="77777777" w:rsidR="00036860" w:rsidRPr="00EE57CB" w:rsidRDefault="00036860" w:rsidP="00D55203">
            <w:pPr>
              <w:pStyle w:val="p1"/>
              <w:spacing w:before="40" w:beforeAutospacing="0" w:after="40" w:afterAutospacing="0"/>
              <w:ind w:right="1260"/>
              <w:cnfStyle w:val="000000000000" w:firstRow="0" w:lastRow="0" w:firstColumn="0" w:lastColumn="0" w:oddVBand="0" w:evenVBand="0" w:oddHBand="0" w:evenHBand="0" w:firstRowFirstColumn="0" w:firstRowLastColumn="0" w:lastRowFirstColumn="0" w:lastRowLastColumn="0"/>
              <w:rPr>
                <w:sz w:val="18"/>
                <w:szCs w:val="18"/>
              </w:rPr>
            </w:pPr>
            <w:r w:rsidRPr="00EE57CB">
              <w:rPr>
                <w:b/>
                <w:bCs/>
                <w:sz w:val="18"/>
                <w:szCs w:val="18"/>
              </w:rPr>
              <w:t>Clinical Application</w:t>
            </w:r>
          </w:p>
        </w:tc>
        <w:tc>
          <w:tcPr>
            <w:tcW w:w="5230" w:type="dxa"/>
            <w:hideMark/>
          </w:tcPr>
          <w:p w14:paraId="5C652896" w14:textId="77777777" w:rsidR="00036860" w:rsidRPr="00EE57CB" w:rsidRDefault="00036860" w:rsidP="00D55203">
            <w:pPr>
              <w:pStyle w:val="p1"/>
              <w:spacing w:before="40" w:beforeAutospacing="0" w:after="40" w:afterAutospacing="0"/>
              <w:ind w:right="1260"/>
              <w:cnfStyle w:val="000000000000" w:firstRow="0" w:lastRow="0" w:firstColumn="0" w:lastColumn="0" w:oddVBand="0" w:evenVBand="0" w:oddHBand="0" w:evenHBand="0" w:firstRowFirstColumn="0" w:firstRowLastColumn="0" w:lastRowFirstColumn="0" w:lastRowLastColumn="0"/>
              <w:rPr>
                <w:sz w:val="18"/>
                <w:szCs w:val="18"/>
              </w:rPr>
            </w:pPr>
            <w:r w:rsidRPr="00EE57CB">
              <w:rPr>
                <w:sz w:val="18"/>
                <w:szCs w:val="18"/>
              </w:rPr>
              <w:t>Apply findings to patient vignettes (“How would this apply to a patient with severe CAD?”)</w:t>
            </w:r>
          </w:p>
        </w:tc>
      </w:tr>
      <w:tr w:rsidR="00D55203" w:rsidRPr="00EE57CB" w14:paraId="31C1327C" w14:textId="77777777" w:rsidTr="006B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hideMark/>
          </w:tcPr>
          <w:p w14:paraId="47CB9582" w14:textId="77777777" w:rsidR="00036860" w:rsidRPr="00EE57CB" w:rsidRDefault="00036860" w:rsidP="00D55203">
            <w:pPr>
              <w:pStyle w:val="p1"/>
              <w:spacing w:before="40" w:beforeAutospacing="0" w:after="40" w:afterAutospacing="0"/>
              <w:ind w:right="1260"/>
              <w:rPr>
                <w:sz w:val="18"/>
                <w:szCs w:val="18"/>
              </w:rPr>
            </w:pPr>
            <w:r w:rsidRPr="00EE57CB">
              <w:rPr>
                <w:sz w:val="18"/>
                <w:szCs w:val="18"/>
              </w:rPr>
              <w:t>55–60 min</w:t>
            </w:r>
          </w:p>
        </w:tc>
        <w:tc>
          <w:tcPr>
            <w:tcW w:w="0" w:type="auto"/>
            <w:hideMark/>
          </w:tcPr>
          <w:p w14:paraId="68336E59" w14:textId="77777777" w:rsidR="00036860" w:rsidRPr="00EE57CB" w:rsidRDefault="00036860" w:rsidP="00D55203">
            <w:pPr>
              <w:pStyle w:val="p1"/>
              <w:spacing w:before="40" w:beforeAutospacing="0" w:after="40" w:afterAutospacing="0"/>
              <w:ind w:right="1260"/>
              <w:cnfStyle w:val="000000100000" w:firstRow="0" w:lastRow="0" w:firstColumn="0" w:lastColumn="0" w:oddVBand="0" w:evenVBand="0" w:oddHBand="1" w:evenHBand="0" w:firstRowFirstColumn="0" w:firstRowLastColumn="0" w:lastRowFirstColumn="0" w:lastRowLastColumn="0"/>
              <w:rPr>
                <w:sz w:val="18"/>
                <w:szCs w:val="18"/>
              </w:rPr>
            </w:pPr>
            <w:r w:rsidRPr="00EE57CB">
              <w:rPr>
                <w:b/>
                <w:bCs/>
                <w:sz w:val="18"/>
                <w:szCs w:val="18"/>
              </w:rPr>
              <w:t>Summary &amp; Milestone Linkage</w:t>
            </w:r>
          </w:p>
        </w:tc>
        <w:tc>
          <w:tcPr>
            <w:tcW w:w="5230" w:type="dxa"/>
            <w:hideMark/>
          </w:tcPr>
          <w:p w14:paraId="181D292C" w14:textId="77777777" w:rsidR="00036860" w:rsidRPr="00EE57CB" w:rsidRDefault="00036860" w:rsidP="00D55203">
            <w:pPr>
              <w:pStyle w:val="p1"/>
              <w:spacing w:before="40" w:beforeAutospacing="0" w:after="40" w:afterAutospacing="0"/>
              <w:ind w:right="1260"/>
              <w:cnfStyle w:val="000000100000" w:firstRow="0" w:lastRow="0" w:firstColumn="0" w:lastColumn="0" w:oddVBand="0" w:evenVBand="0" w:oddHBand="1" w:evenHBand="0" w:firstRowFirstColumn="0" w:firstRowLastColumn="0" w:lastRowFirstColumn="0" w:lastRowLastColumn="0"/>
              <w:rPr>
                <w:sz w:val="18"/>
                <w:szCs w:val="18"/>
              </w:rPr>
            </w:pPr>
            <w:r w:rsidRPr="00EE57CB">
              <w:rPr>
                <w:sz w:val="18"/>
                <w:szCs w:val="18"/>
              </w:rPr>
              <w:t>Faculty highlights 2–3 takeaways, ties explicitly to PBLI milestones</w:t>
            </w:r>
          </w:p>
        </w:tc>
      </w:tr>
    </w:tbl>
    <w:p w14:paraId="5BBA8D0C" w14:textId="77777777" w:rsidR="00036860" w:rsidRDefault="000C23BA" w:rsidP="00D55203">
      <w:pPr>
        <w:ind w:right="1260"/>
        <w:rPr>
          <w:rStyle w:val="s1"/>
        </w:rPr>
      </w:pPr>
      <w:r w:rsidRPr="000C23BA">
        <w:rPr>
          <w:rStyle w:val="s1"/>
          <w:noProof/>
          <w14:ligatures w14:val="standardContextual"/>
        </w:rPr>
        <w:pict w14:anchorId="2DC21473">
          <v:rect id="_x0000_i1025" alt="" style="width:468pt;height:.05pt;mso-width-percent:0;mso-height-percent:0;mso-width-percent:0;mso-height-percent:0" o:hralign="center" o:hrstd="t" o:hr="t" fillcolor="#a0a0a0" stroked="f"/>
        </w:pict>
      </w:r>
    </w:p>
    <w:p w14:paraId="0F1DD362" w14:textId="004FBABA" w:rsidR="00036860" w:rsidRDefault="00036860" w:rsidP="00D55203">
      <w:pPr>
        <w:pStyle w:val="Heading1"/>
        <w:ind w:right="1260"/>
      </w:pPr>
      <w:r>
        <w:lastRenderedPageBreak/>
        <w:t>Section 3: Implementation Toolkit</w:t>
      </w:r>
    </w:p>
    <w:p w14:paraId="06431000" w14:textId="77777777" w:rsidR="00036860" w:rsidRDefault="00036860" w:rsidP="00D55203">
      <w:pPr>
        <w:pStyle w:val="Heading2"/>
        <w:ind w:right="1260"/>
      </w:pPr>
      <w:r>
        <w:t>3.1 Article Selection</w:t>
      </w:r>
    </w:p>
    <w:p w14:paraId="6C5AD459" w14:textId="77777777" w:rsidR="009A6374" w:rsidRPr="009A6374" w:rsidRDefault="009A6374" w:rsidP="00D55203">
      <w:pPr>
        <w:pStyle w:val="p2"/>
        <w:ind w:right="1260"/>
      </w:pPr>
      <w:r w:rsidRPr="009A6374">
        <w:t xml:space="preserve">When choosing articles for journal club, prioritize studies that balance </w:t>
      </w:r>
      <w:r w:rsidRPr="009A6374">
        <w:rPr>
          <w:b/>
          <w:bCs/>
        </w:rPr>
        <w:t>clinical impact</w:t>
      </w:r>
      <w:r w:rsidRPr="009A6374">
        <w:t xml:space="preserve"> with </w:t>
      </w:r>
      <w:r w:rsidRPr="009A6374">
        <w:rPr>
          <w:b/>
          <w:bCs/>
        </w:rPr>
        <w:t>methodological teaching value</w:t>
      </w:r>
      <w:r w:rsidRPr="009A6374">
        <w:t>:</w:t>
      </w:r>
    </w:p>
    <w:p w14:paraId="73914301" w14:textId="77777777" w:rsidR="009A6374" w:rsidRPr="009A6374" w:rsidRDefault="009A6374" w:rsidP="00D55203">
      <w:pPr>
        <w:pStyle w:val="p2"/>
        <w:numPr>
          <w:ilvl w:val="0"/>
          <w:numId w:val="67"/>
        </w:numPr>
        <w:ind w:left="270" w:right="1260" w:hanging="270"/>
      </w:pPr>
      <w:r w:rsidRPr="009A6374">
        <w:rPr>
          <w:b/>
          <w:bCs/>
        </w:rPr>
        <w:t>Clinical relevance:</w:t>
      </w:r>
      <w:r w:rsidRPr="009A6374">
        <w:t xml:space="preserve"> Focus on common, controversial, or novel perioperative questions (e.g., preoxygenation methods, PONV prophylaxis, blood pressure targets in neurosurgery).</w:t>
      </w:r>
    </w:p>
    <w:p w14:paraId="26C47420" w14:textId="77777777" w:rsidR="009A6374" w:rsidRPr="009A6374" w:rsidRDefault="009A6374" w:rsidP="00D55203">
      <w:pPr>
        <w:pStyle w:val="p2"/>
        <w:numPr>
          <w:ilvl w:val="0"/>
          <w:numId w:val="67"/>
        </w:numPr>
        <w:ind w:left="270" w:right="1260" w:hanging="270"/>
      </w:pPr>
      <w:r w:rsidRPr="009A6374">
        <w:rPr>
          <w:b/>
          <w:bCs/>
        </w:rPr>
        <w:t>Methodological interest:</w:t>
      </w:r>
      <w:r w:rsidRPr="009A6374">
        <w:t xml:space="preserve"> Select studies that illustrate strengths and flaws in design, analysis, or interpretation (e.g., small RCT with good blinding vs large registry with confounding).</w:t>
      </w:r>
    </w:p>
    <w:p w14:paraId="59A7C5B7" w14:textId="77777777" w:rsidR="009A6374" w:rsidRPr="009A6374" w:rsidRDefault="009A6374" w:rsidP="00D55203">
      <w:pPr>
        <w:pStyle w:val="p2"/>
        <w:numPr>
          <w:ilvl w:val="0"/>
          <w:numId w:val="67"/>
        </w:numPr>
        <w:ind w:left="270" w:right="1260" w:hanging="270"/>
      </w:pPr>
      <w:r w:rsidRPr="009A6374">
        <w:rPr>
          <w:b/>
          <w:bCs/>
        </w:rPr>
        <w:t>Design variety:</w:t>
      </w:r>
      <w:r w:rsidRPr="009A6374">
        <w:t xml:space="preserve"> Include different study types over time—RCTs, cohorts, systematic reviews, diagnostic accuracy studies—to broaden appraisal skills.</w:t>
      </w:r>
    </w:p>
    <w:p w14:paraId="1458F25F" w14:textId="77777777" w:rsidR="009A6374" w:rsidRPr="009A6374" w:rsidRDefault="009A6374" w:rsidP="00D55203">
      <w:pPr>
        <w:pStyle w:val="p2"/>
        <w:numPr>
          <w:ilvl w:val="0"/>
          <w:numId w:val="67"/>
        </w:numPr>
        <w:ind w:left="270" w:right="1260" w:hanging="270"/>
      </w:pPr>
      <w:r w:rsidRPr="009A6374">
        <w:rPr>
          <w:b/>
          <w:bCs/>
        </w:rPr>
        <w:t>Source quality:</w:t>
      </w:r>
      <w:r w:rsidRPr="009A6374">
        <w:t xml:space="preserve"> Prioritize high-impact journals (</w:t>
      </w:r>
      <w:r w:rsidRPr="009A6374">
        <w:rPr>
          <w:i/>
          <w:iCs/>
        </w:rPr>
        <w:t>Anesthesiology, Anesthesia &amp; Analgesia, BJA, JAMA, NEJM</w:t>
      </w:r>
      <w:r w:rsidRPr="009A6374">
        <w:t>).</w:t>
      </w:r>
    </w:p>
    <w:p w14:paraId="280678CA" w14:textId="5A306B07" w:rsidR="009A6374" w:rsidRPr="009A6374" w:rsidRDefault="009A6374" w:rsidP="00D55203">
      <w:pPr>
        <w:pStyle w:val="p2"/>
        <w:numPr>
          <w:ilvl w:val="0"/>
          <w:numId w:val="67"/>
        </w:numPr>
        <w:ind w:left="270" w:right="1260" w:hanging="270"/>
      </w:pPr>
      <w:r w:rsidRPr="009A6374">
        <w:rPr>
          <w:b/>
          <w:bCs/>
        </w:rPr>
        <w:t>Rotating themes:</w:t>
      </w:r>
      <w:r w:rsidRPr="009A6374">
        <w:t xml:space="preserve"> Cover core anesthesia domains—airway, cardiac, neuro, obstetric, PONV, monitoring—so residents encounter a balanced curriculum.</w:t>
      </w:r>
    </w:p>
    <w:p w14:paraId="1B549967" w14:textId="77777777" w:rsidR="009A6374" w:rsidRPr="009A6374" w:rsidRDefault="009A6374" w:rsidP="00D55203">
      <w:pPr>
        <w:pStyle w:val="p2"/>
        <w:ind w:right="1260"/>
      </w:pPr>
      <w:r w:rsidRPr="009A6374">
        <w:rPr>
          <w:b/>
          <w:bCs/>
        </w:rPr>
        <w:t>Encourage paired articles (“Pro vs Con”):</w:t>
      </w:r>
    </w:p>
    <w:p w14:paraId="178DCADA" w14:textId="77777777" w:rsidR="009A6374" w:rsidRPr="009A6374" w:rsidRDefault="009A6374" w:rsidP="00D55203">
      <w:pPr>
        <w:pStyle w:val="p2"/>
        <w:numPr>
          <w:ilvl w:val="0"/>
          <w:numId w:val="68"/>
        </w:numPr>
        <w:spacing w:before="0" w:beforeAutospacing="0" w:after="0" w:afterAutospacing="0"/>
        <w:ind w:left="270" w:right="1260" w:hanging="274"/>
      </w:pPr>
      <w:r w:rsidRPr="009A6374">
        <w:t xml:space="preserve">Select two articles on the same clinical question that reach </w:t>
      </w:r>
      <w:r w:rsidRPr="009A6374">
        <w:rPr>
          <w:b/>
          <w:bCs/>
        </w:rPr>
        <w:t>different conclusions</w:t>
      </w:r>
      <w:r w:rsidRPr="009A6374">
        <w:t>.</w:t>
      </w:r>
    </w:p>
    <w:p w14:paraId="35ABDD25" w14:textId="77777777" w:rsidR="009A6374" w:rsidRPr="009A6374" w:rsidRDefault="009A6374" w:rsidP="00D55203">
      <w:pPr>
        <w:pStyle w:val="p2"/>
        <w:numPr>
          <w:ilvl w:val="2"/>
          <w:numId w:val="69"/>
        </w:numPr>
        <w:spacing w:before="0" w:beforeAutospacing="0" w:after="0" w:afterAutospacing="0"/>
        <w:ind w:left="630" w:right="1260" w:hanging="274"/>
      </w:pPr>
      <w:r w:rsidRPr="009A6374">
        <w:t xml:space="preserve">Example: </w:t>
      </w:r>
      <w:r w:rsidRPr="009A6374">
        <w:rPr>
          <w:i/>
          <w:iCs/>
        </w:rPr>
        <w:t>BVM+PEEP vs NRM for preoxygenation</w:t>
      </w:r>
      <w:r w:rsidRPr="009A6374">
        <w:t xml:space="preserve"> (pro-PEEP RCT like </w:t>
      </w:r>
      <w:proofErr w:type="spellStart"/>
      <w:r w:rsidRPr="009A6374">
        <w:t>Roveri</w:t>
      </w:r>
      <w:proofErr w:type="spellEnd"/>
      <w:r w:rsidRPr="009A6374">
        <w:t xml:space="preserve"> et al. 2025 vs older observational data suggesting simpler devices suffice).</w:t>
      </w:r>
    </w:p>
    <w:p w14:paraId="1D4FA704" w14:textId="77777777" w:rsidR="009A6374" w:rsidRPr="009A6374" w:rsidRDefault="009A6374" w:rsidP="00D55203">
      <w:pPr>
        <w:pStyle w:val="p2"/>
        <w:numPr>
          <w:ilvl w:val="2"/>
          <w:numId w:val="69"/>
        </w:numPr>
        <w:spacing w:before="0" w:beforeAutospacing="0" w:after="0" w:afterAutospacing="0"/>
        <w:ind w:left="630" w:right="1260" w:hanging="274"/>
      </w:pPr>
      <w:r w:rsidRPr="009A6374">
        <w:t xml:space="preserve">Example: </w:t>
      </w:r>
      <w:r w:rsidRPr="009A6374">
        <w:rPr>
          <w:i/>
          <w:iCs/>
        </w:rPr>
        <w:t>Dexamethasone for PONV</w:t>
      </w:r>
      <w:r w:rsidRPr="009A6374">
        <w:t xml:space="preserve"> (meta-analysis strongly supportive vs a trial highlighting potential side effects).</w:t>
      </w:r>
    </w:p>
    <w:p w14:paraId="685A9079" w14:textId="74628A3F" w:rsidR="00036860" w:rsidRDefault="009A6374" w:rsidP="00D55203">
      <w:pPr>
        <w:pStyle w:val="p2"/>
        <w:numPr>
          <w:ilvl w:val="0"/>
          <w:numId w:val="68"/>
        </w:numPr>
        <w:spacing w:before="0" w:beforeAutospacing="0" w:after="0" w:afterAutospacing="0"/>
        <w:ind w:left="270" w:right="1260" w:hanging="274"/>
      </w:pPr>
      <w:r w:rsidRPr="009A6374">
        <w:t>This promotes critical discussion, highlights the role of study design in shaping results, and teaches residents how to reconcile conflicting evidence for practice.</w:t>
      </w:r>
    </w:p>
    <w:p w14:paraId="4E9A4EEC" w14:textId="0DBB3024" w:rsidR="00036860" w:rsidRPr="00880650" w:rsidRDefault="00036860" w:rsidP="00D55203">
      <w:pPr>
        <w:pStyle w:val="Heading2"/>
        <w:ind w:right="1260"/>
      </w:pPr>
      <w:r w:rsidRPr="00880650">
        <w:t>3.2 Facilitation Essentials</w:t>
      </w:r>
    </w:p>
    <w:p w14:paraId="10D28A48" w14:textId="77777777" w:rsidR="00036860" w:rsidRDefault="00036860" w:rsidP="00D55203">
      <w:pPr>
        <w:pStyle w:val="p3"/>
        <w:spacing w:after="0" w:afterAutospacing="0"/>
        <w:ind w:right="1260"/>
      </w:pPr>
      <w:r>
        <w:t xml:space="preserve">The facilitator is a </w:t>
      </w:r>
      <w:r>
        <w:rPr>
          <w:rStyle w:val="s2"/>
          <w:rFonts w:eastAsiaTheme="majorEastAsia"/>
          <w:b/>
          <w:bCs/>
        </w:rPr>
        <w:t>guide on the side</w:t>
      </w:r>
      <w:r>
        <w:t>, not a lecturer.</w:t>
      </w:r>
    </w:p>
    <w:p w14:paraId="780F97C3" w14:textId="77777777" w:rsidR="00036860" w:rsidRDefault="00036860" w:rsidP="00D55203">
      <w:pPr>
        <w:pStyle w:val="p1"/>
        <w:numPr>
          <w:ilvl w:val="0"/>
          <w:numId w:val="55"/>
        </w:numPr>
        <w:ind w:right="1260"/>
      </w:pPr>
      <w:r>
        <w:rPr>
          <w:rStyle w:val="s1"/>
          <w:b/>
          <w:bCs/>
        </w:rPr>
        <w:t>Preparation:</w:t>
      </w:r>
      <w:r>
        <w:t xml:space="preserve"> Completes the same checklist as residents</w:t>
      </w:r>
    </w:p>
    <w:p w14:paraId="093E091B" w14:textId="77777777" w:rsidR="00036860" w:rsidRDefault="00036860" w:rsidP="00D55203">
      <w:pPr>
        <w:pStyle w:val="p1"/>
        <w:numPr>
          <w:ilvl w:val="0"/>
          <w:numId w:val="55"/>
        </w:numPr>
        <w:ind w:right="1260"/>
      </w:pPr>
      <w:r>
        <w:rPr>
          <w:rStyle w:val="s1"/>
          <w:b/>
          <w:bCs/>
        </w:rPr>
        <w:t>Socratic questioning:</w:t>
      </w:r>
      <w:r>
        <w:t xml:space="preserve"> Pushes residents from summary (Level 2–3) toward uncertainty appraisal (Level 4–5)</w:t>
      </w:r>
    </w:p>
    <w:p w14:paraId="2BF00EA0" w14:textId="77777777" w:rsidR="00036860" w:rsidRDefault="00036860" w:rsidP="00D55203">
      <w:pPr>
        <w:pStyle w:val="p1"/>
        <w:numPr>
          <w:ilvl w:val="0"/>
          <w:numId w:val="55"/>
        </w:numPr>
        <w:ind w:right="1260"/>
      </w:pPr>
      <w:r>
        <w:rPr>
          <w:rStyle w:val="s1"/>
          <w:b/>
          <w:bCs/>
        </w:rPr>
        <w:t>Psychological safety:</w:t>
      </w:r>
      <w:r>
        <w:t xml:space="preserve"> Encourages challenging published conclusions</w:t>
      </w:r>
    </w:p>
    <w:p w14:paraId="19DDE41B" w14:textId="5CF91F1B" w:rsidR="00036860" w:rsidRDefault="00036860" w:rsidP="00D55203">
      <w:pPr>
        <w:pStyle w:val="p1"/>
        <w:numPr>
          <w:ilvl w:val="0"/>
          <w:numId w:val="55"/>
        </w:numPr>
        <w:ind w:right="1260"/>
      </w:pPr>
      <w:r>
        <w:rPr>
          <w:rStyle w:val="s1"/>
          <w:b/>
          <w:bCs/>
        </w:rPr>
        <w:t>Time management:</w:t>
      </w:r>
      <w:r>
        <w:t xml:space="preserve"> Keeps agenda on track</w:t>
      </w:r>
    </w:p>
    <w:p w14:paraId="70849501" w14:textId="511B1283" w:rsidR="00036860" w:rsidRDefault="00036860" w:rsidP="00D55203">
      <w:pPr>
        <w:pStyle w:val="p4"/>
        <w:pBdr>
          <w:top w:val="single" w:sz="8" w:space="1" w:color="A6A6A6" w:themeColor="background1" w:themeShade="A6"/>
          <w:left w:val="single" w:sz="8" w:space="4" w:color="A6A6A6" w:themeColor="background1" w:themeShade="A6"/>
          <w:bottom w:val="single" w:sz="8" w:space="1" w:color="A6A6A6" w:themeColor="background1" w:themeShade="A6"/>
          <w:right w:val="single" w:sz="8" w:space="4" w:color="A6A6A6" w:themeColor="background1" w:themeShade="A6"/>
        </w:pBdr>
        <w:ind w:right="1260"/>
      </w:pPr>
      <w:r>
        <w:rPr>
          <w:b/>
          <w:bCs/>
        </w:rPr>
        <w:t xml:space="preserve">Example </w:t>
      </w:r>
      <w:r w:rsidR="00396FFB">
        <w:rPr>
          <w:b/>
          <w:bCs/>
        </w:rPr>
        <w:t>Discussion Question</w:t>
      </w:r>
      <w:r>
        <w:rPr>
          <w:b/>
          <w:bCs/>
        </w:rPr>
        <w:t>:</w:t>
      </w:r>
    </w:p>
    <w:p w14:paraId="3571C9DC" w14:textId="69B7920D" w:rsidR="00396FFB" w:rsidRPr="00396FFB" w:rsidRDefault="00150180" w:rsidP="00D55203">
      <w:pPr>
        <w:pStyle w:val="p1"/>
        <w:pBdr>
          <w:top w:val="single" w:sz="8" w:space="1" w:color="A6A6A6" w:themeColor="background1" w:themeShade="A6"/>
          <w:left w:val="single" w:sz="8" w:space="4" w:color="A6A6A6" w:themeColor="background1" w:themeShade="A6"/>
          <w:bottom w:val="single" w:sz="8" w:space="1" w:color="A6A6A6" w:themeColor="background1" w:themeShade="A6"/>
          <w:right w:val="single" w:sz="8" w:space="4" w:color="A6A6A6" w:themeColor="background1" w:themeShade="A6"/>
        </w:pBdr>
        <w:spacing w:after="240" w:afterAutospacing="0"/>
        <w:ind w:right="1260"/>
        <w:rPr>
          <w:b/>
          <w:bCs/>
          <w:i/>
          <w:iCs/>
        </w:rPr>
      </w:pPr>
      <w:r w:rsidRPr="00150180">
        <w:rPr>
          <w:b/>
          <w:bCs/>
        </w:rPr>
        <w:t xml:space="preserve">Q: </w:t>
      </w:r>
      <w:r w:rsidR="00036860" w:rsidRPr="00150180">
        <w:rPr>
          <w:b/>
          <w:bCs/>
        </w:rPr>
        <w:t>The CI crosses 1.0 for this outcome—how should that affect our confidence?</w:t>
      </w:r>
      <w:r w:rsidR="0043039C">
        <w:rPr>
          <w:b/>
          <w:bCs/>
        </w:rPr>
        <w:br/>
      </w:r>
      <w:r w:rsidR="00396FFB" w:rsidRPr="00150180">
        <w:rPr>
          <w:b/>
          <w:bCs/>
        </w:rPr>
        <w:br/>
      </w:r>
      <w:r w:rsidRPr="00150180">
        <w:rPr>
          <w:b/>
          <w:bCs/>
        </w:rPr>
        <w:t>A:</w:t>
      </w:r>
      <w:r w:rsidRPr="00150180">
        <w:t xml:space="preserve"> </w:t>
      </w:r>
      <w:r w:rsidR="00396FFB" w:rsidRPr="00396FFB">
        <w:rPr>
          <w:i/>
          <w:iCs/>
        </w:rPr>
        <w:t xml:space="preserve">Effect estimate favors treatment, but the 95% CI crosses 1.0, so this is </w:t>
      </w:r>
      <w:r w:rsidR="00396FFB" w:rsidRPr="00396FFB">
        <w:rPr>
          <w:b/>
          <w:bCs/>
          <w:i/>
          <w:iCs/>
        </w:rPr>
        <w:t>statistically inconclusive</w:t>
      </w:r>
      <w:r w:rsidR="00396FFB" w:rsidRPr="00396FFB">
        <w:rPr>
          <w:i/>
          <w:iCs/>
        </w:rPr>
        <w:t xml:space="preserve"> and </w:t>
      </w:r>
      <w:r w:rsidR="00396FFB" w:rsidRPr="00396FFB">
        <w:rPr>
          <w:b/>
          <w:bCs/>
          <w:i/>
          <w:iCs/>
        </w:rPr>
        <w:t>imprecise</w:t>
      </w:r>
      <w:r w:rsidR="00396FFB" w:rsidRPr="00396FFB">
        <w:rPr>
          <w:i/>
          <w:iCs/>
        </w:rPr>
        <w:t xml:space="preserve">; it does/does not exclude a clinically important effect, so I </w:t>
      </w:r>
      <w:r w:rsidR="00396FFB" w:rsidRPr="00396FFB">
        <w:rPr>
          <w:b/>
          <w:bCs/>
          <w:i/>
          <w:iCs/>
        </w:rPr>
        <w:t>would/would not</w:t>
      </w:r>
      <w:r w:rsidR="00396FFB" w:rsidRPr="00396FFB">
        <w:rPr>
          <w:i/>
          <w:iCs/>
        </w:rPr>
        <w:t xml:space="preserve"> change practice based on this study alone.</w:t>
      </w:r>
    </w:p>
    <w:p w14:paraId="49DD82E4" w14:textId="77777777" w:rsidR="00FB2EB6" w:rsidRDefault="00FB2EB6">
      <w:pPr>
        <w:spacing w:after="160" w:line="278" w:lineRule="auto"/>
        <w:rPr>
          <w:b/>
          <w:bCs/>
        </w:rPr>
      </w:pPr>
      <w:r>
        <w:br w:type="page"/>
      </w:r>
    </w:p>
    <w:p w14:paraId="38DE3890" w14:textId="2CDD8900" w:rsidR="00036860" w:rsidRDefault="00036860" w:rsidP="00D55203">
      <w:pPr>
        <w:pStyle w:val="Heading3"/>
        <w:ind w:right="1260"/>
      </w:pPr>
      <w:r>
        <w:lastRenderedPageBreak/>
        <w:t>3.3 Logistics</w:t>
      </w:r>
    </w:p>
    <w:p w14:paraId="402CAFAC" w14:textId="426AEB8B" w:rsidR="00036860" w:rsidRDefault="00036860" w:rsidP="00D55203">
      <w:pPr>
        <w:pStyle w:val="p1"/>
        <w:numPr>
          <w:ilvl w:val="0"/>
          <w:numId w:val="57"/>
        </w:numPr>
        <w:spacing w:before="0" w:beforeAutospacing="0"/>
        <w:ind w:right="1260"/>
      </w:pPr>
      <w:r>
        <w:rPr>
          <w:rStyle w:val="s1"/>
          <w:b/>
          <w:bCs/>
        </w:rPr>
        <w:t>Protected time:</w:t>
      </w:r>
      <w:r>
        <w:t xml:space="preserve"> e.g., mandatory session</w:t>
      </w:r>
    </w:p>
    <w:p w14:paraId="0D5C3EA4" w14:textId="77777777" w:rsidR="00036860" w:rsidRDefault="00036860" w:rsidP="00D55203">
      <w:pPr>
        <w:pStyle w:val="p1"/>
        <w:numPr>
          <w:ilvl w:val="0"/>
          <w:numId w:val="57"/>
        </w:numPr>
        <w:spacing w:before="0" w:beforeAutospacing="0"/>
        <w:ind w:right="1260"/>
      </w:pPr>
      <w:r>
        <w:rPr>
          <w:rStyle w:val="s1"/>
          <w:b/>
          <w:bCs/>
        </w:rPr>
        <w:t>Assignments:</w:t>
      </w:r>
      <w:r>
        <w:t xml:space="preserve"> Annual presenter rotation; article distributed 1 week prior</w:t>
      </w:r>
    </w:p>
    <w:p w14:paraId="26DBD54C" w14:textId="77777777" w:rsidR="00036860" w:rsidRDefault="00036860" w:rsidP="00D55203">
      <w:pPr>
        <w:pStyle w:val="p1"/>
        <w:numPr>
          <w:ilvl w:val="0"/>
          <w:numId w:val="57"/>
        </w:numPr>
        <w:spacing w:before="0" w:beforeAutospacing="0"/>
        <w:ind w:right="1260"/>
      </w:pPr>
      <w:r>
        <w:rPr>
          <w:rStyle w:val="s1"/>
          <w:b/>
          <w:bCs/>
        </w:rPr>
        <w:t>Group size:</w:t>
      </w:r>
      <w:r>
        <w:t xml:space="preserve"> 5–8 residents per facilitator for active discussion</w:t>
      </w:r>
    </w:p>
    <w:p w14:paraId="5A929588" w14:textId="77777777" w:rsidR="00036860" w:rsidRDefault="00036860" w:rsidP="00D55203">
      <w:pPr>
        <w:pStyle w:val="p1"/>
        <w:numPr>
          <w:ilvl w:val="0"/>
          <w:numId w:val="57"/>
        </w:numPr>
        <w:spacing w:before="0" w:beforeAutospacing="0"/>
        <w:ind w:right="1260"/>
      </w:pPr>
      <w:r>
        <w:rPr>
          <w:rStyle w:val="s1"/>
          <w:b/>
          <w:bCs/>
        </w:rPr>
        <w:t>Technology:</w:t>
      </w:r>
      <w:r>
        <w:t xml:space="preserve"> Online submission of checklists; facilitators review in advance</w:t>
      </w:r>
    </w:p>
    <w:p w14:paraId="65FFA32D" w14:textId="7A747B31" w:rsidR="00036860" w:rsidRDefault="00036860" w:rsidP="00D55203">
      <w:pPr>
        <w:pStyle w:val="p1"/>
        <w:numPr>
          <w:ilvl w:val="0"/>
          <w:numId w:val="57"/>
        </w:numPr>
        <w:spacing w:before="0" w:beforeAutospacing="0"/>
        <w:ind w:right="1260"/>
        <w:rPr>
          <w:rStyle w:val="s1"/>
        </w:rPr>
      </w:pPr>
      <w:r>
        <w:rPr>
          <w:rStyle w:val="s1"/>
          <w:b/>
          <w:bCs/>
        </w:rPr>
        <w:t>Contingency:</w:t>
      </w:r>
      <w:r>
        <w:t xml:space="preserve"> If pre-work is incomplete → faculty-led demo of checklist</w:t>
      </w:r>
    </w:p>
    <w:p w14:paraId="6421A36B" w14:textId="77777777" w:rsidR="00611F66" w:rsidRDefault="00611F66" w:rsidP="00611F66">
      <w:pPr>
        <w:pStyle w:val="Heading2"/>
        <w:ind w:right="1260"/>
      </w:pPr>
      <w:r>
        <w:t>Section 4: Assessment Framework</w:t>
      </w:r>
    </w:p>
    <w:p w14:paraId="79871DAE" w14:textId="77777777" w:rsidR="00611F66" w:rsidRDefault="00611F66" w:rsidP="00611F66">
      <w:pPr>
        <w:pStyle w:val="Heading3"/>
        <w:ind w:right="1260"/>
      </w:pPr>
      <w:r>
        <w:t>4.1 Milestone-Based Rubric</w:t>
      </w:r>
    </w:p>
    <w:tbl>
      <w:tblPr>
        <w:tblStyle w:val="PlainTable2"/>
        <w:tblW w:w="0" w:type="auto"/>
        <w:tblLook w:val="04A0" w:firstRow="1" w:lastRow="0" w:firstColumn="1" w:lastColumn="0" w:noHBand="0" w:noVBand="1"/>
      </w:tblPr>
      <w:tblGrid>
        <w:gridCol w:w="1878"/>
        <w:gridCol w:w="1527"/>
        <w:gridCol w:w="2098"/>
        <w:gridCol w:w="1723"/>
        <w:gridCol w:w="2044"/>
      </w:tblGrid>
      <w:tr w:rsidR="00611F66" w:rsidRPr="00611F66" w14:paraId="34630A93" w14:textId="77777777" w:rsidTr="00611F66">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7F7F7F" w:themeColor="text1" w:themeTint="80"/>
              <w:bottom w:val="single" w:sz="12" w:space="0" w:color="000000" w:themeColor="text1"/>
            </w:tcBorders>
            <w:hideMark/>
          </w:tcPr>
          <w:p w14:paraId="4F8A85EF" w14:textId="77777777" w:rsidR="00611F66" w:rsidRPr="00D55203" w:rsidRDefault="00611F66" w:rsidP="00A7406F">
            <w:pPr>
              <w:spacing w:before="80" w:line="240" w:lineRule="auto"/>
              <w:rPr>
                <w:sz w:val="20"/>
                <w:szCs w:val="20"/>
              </w:rPr>
            </w:pPr>
            <w:r w:rsidRPr="00D55203">
              <w:rPr>
                <w:color w:val="000000"/>
                <w:sz w:val="20"/>
                <w:szCs w:val="20"/>
              </w:rPr>
              <w:t>Domain</w:t>
            </w:r>
          </w:p>
        </w:tc>
        <w:tc>
          <w:tcPr>
            <w:tcW w:w="1527" w:type="dxa"/>
            <w:tcBorders>
              <w:top w:val="single" w:sz="4" w:space="0" w:color="7F7F7F" w:themeColor="text1" w:themeTint="80"/>
              <w:bottom w:val="single" w:sz="12" w:space="0" w:color="000000" w:themeColor="text1"/>
            </w:tcBorders>
            <w:hideMark/>
          </w:tcPr>
          <w:p w14:paraId="1041070E" w14:textId="77777777" w:rsidR="00611F66" w:rsidRPr="00D55203" w:rsidRDefault="00611F66" w:rsidP="00A7406F">
            <w:pPr>
              <w:spacing w:before="8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Level 2</w:t>
            </w:r>
          </w:p>
        </w:tc>
        <w:tc>
          <w:tcPr>
            <w:tcW w:w="2098" w:type="dxa"/>
            <w:tcBorders>
              <w:top w:val="single" w:sz="4" w:space="0" w:color="7F7F7F" w:themeColor="text1" w:themeTint="80"/>
              <w:bottom w:val="single" w:sz="12" w:space="0" w:color="000000" w:themeColor="text1"/>
            </w:tcBorders>
            <w:hideMark/>
          </w:tcPr>
          <w:p w14:paraId="29B866C6" w14:textId="77777777" w:rsidR="00611F66" w:rsidRPr="00D55203" w:rsidRDefault="00611F66" w:rsidP="00A7406F">
            <w:pPr>
              <w:spacing w:before="8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Level 3</w:t>
            </w:r>
          </w:p>
        </w:tc>
        <w:tc>
          <w:tcPr>
            <w:tcW w:w="1723" w:type="dxa"/>
            <w:tcBorders>
              <w:top w:val="single" w:sz="4" w:space="0" w:color="7F7F7F" w:themeColor="text1" w:themeTint="80"/>
              <w:bottom w:val="single" w:sz="12" w:space="0" w:color="000000" w:themeColor="text1"/>
            </w:tcBorders>
            <w:hideMark/>
          </w:tcPr>
          <w:p w14:paraId="224B86BC" w14:textId="77777777" w:rsidR="00611F66" w:rsidRPr="00D55203" w:rsidRDefault="00611F66" w:rsidP="00A7406F">
            <w:pPr>
              <w:spacing w:before="8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Level 4</w:t>
            </w:r>
          </w:p>
        </w:tc>
        <w:tc>
          <w:tcPr>
            <w:tcW w:w="2044" w:type="dxa"/>
            <w:tcBorders>
              <w:top w:val="single" w:sz="4" w:space="0" w:color="7F7F7F" w:themeColor="text1" w:themeTint="80"/>
              <w:bottom w:val="single" w:sz="12" w:space="0" w:color="000000" w:themeColor="text1"/>
            </w:tcBorders>
            <w:hideMark/>
          </w:tcPr>
          <w:p w14:paraId="467C94BE" w14:textId="77777777" w:rsidR="00611F66" w:rsidRPr="00D55203" w:rsidRDefault="00611F66" w:rsidP="00A7406F">
            <w:pPr>
              <w:spacing w:before="8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Level 5</w:t>
            </w:r>
          </w:p>
        </w:tc>
      </w:tr>
      <w:tr w:rsidR="00611F66" w:rsidRPr="00611F66" w14:paraId="6F99BA7E" w14:textId="77777777" w:rsidTr="00611F6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78" w:type="dxa"/>
            <w:tcBorders>
              <w:top w:val="single" w:sz="12" w:space="0" w:color="000000" w:themeColor="text1"/>
            </w:tcBorders>
            <w:hideMark/>
          </w:tcPr>
          <w:p w14:paraId="5699832A" w14:textId="77777777" w:rsidR="00611F66" w:rsidRPr="00D55203" w:rsidRDefault="00611F66" w:rsidP="00A7406F">
            <w:pPr>
              <w:spacing w:before="80" w:line="240" w:lineRule="auto"/>
              <w:rPr>
                <w:sz w:val="20"/>
                <w:szCs w:val="20"/>
              </w:rPr>
            </w:pPr>
            <w:r w:rsidRPr="00D55203">
              <w:rPr>
                <w:color w:val="000000"/>
                <w:sz w:val="20"/>
                <w:szCs w:val="20"/>
              </w:rPr>
              <w:t>Clinical Question</w:t>
            </w:r>
          </w:p>
        </w:tc>
        <w:tc>
          <w:tcPr>
            <w:tcW w:w="1527" w:type="dxa"/>
            <w:tcBorders>
              <w:top w:val="single" w:sz="12" w:space="0" w:color="000000" w:themeColor="text1"/>
            </w:tcBorders>
            <w:hideMark/>
          </w:tcPr>
          <w:p w14:paraId="5A49D353"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Identifies topic</w:t>
            </w:r>
          </w:p>
        </w:tc>
        <w:tc>
          <w:tcPr>
            <w:tcW w:w="2098" w:type="dxa"/>
            <w:tcBorders>
              <w:top w:val="single" w:sz="12" w:space="0" w:color="000000" w:themeColor="text1"/>
            </w:tcBorders>
            <w:hideMark/>
          </w:tcPr>
          <w:p w14:paraId="5D3CF4A9"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Frames specific PICO</w:t>
            </w:r>
          </w:p>
        </w:tc>
        <w:tc>
          <w:tcPr>
            <w:tcW w:w="1723" w:type="dxa"/>
            <w:tcBorders>
              <w:top w:val="single" w:sz="12" w:space="0" w:color="000000" w:themeColor="text1"/>
            </w:tcBorders>
            <w:hideMark/>
          </w:tcPr>
          <w:p w14:paraId="0682EB9D"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Critiques appropriateness</w:t>
            </w:r>
          </w:p>
        </w:tc>
        <w:tc>
          <w:tcPr>
            <w:tcW w:w="2044" w:type="dxa"/>
            <w:tcBorders>
              <w:top w:val="single" w:sz="12" w:space="0" w:color="000000" w:themeColor="text1"/>
            </w:tcBorders>
            <w:hideMark/>
          </w:tcPr>
          <w:p w14:paraId="67958EF2"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55203">
              <w:rPr>
                <w:color w:val="000000"/>
                <w:sz w:val="20"/>
                <w:szCs w:val="20"/>
              </w:rPr>
              <w:t>Coaches</w:t>
            </w:r>
            <w:proofErr w:type="gramEnd"/>
            <w:r w:rsidRPr="00D55203">
              <w:rPr>
                <w:color w:val="000000"/>
                <w:sz w:val="20"/>
                <w:szCs w:val="20"/>
              </w:rPr>
              <w:t xml:space="preserve"> others</w:t>
            </w:r>
          </w:p>
        </w:tc>
      </w:tr>
      <w:tr w:rsidR="00611F66" w:rsidRPr="00611F66" w14:paraId="6BBF4432" w14:textId="77777777" w:rsidTr="00611F66">
        <w:trPr>
          <w:trHeight w:val="165"/>
        </w:trPr>
        <w:tc>
          <w:tcPr>
            <w:cnfStyle w:val="001000000000" w:firstRow="0" w:lastRow="0" w:firstColumn="1" w:lastColumn="0" w:oddVBand="0" w:evenVBand="0" w:oddHBand="0" w:evenHBand="0" w:firstRowFirstColumn="0" w:firstRowLastColumn="0" w:lastRowFirstColumn="0" w:lastRowLastColumn="0"/>
            <w:tcW w:w="1878" w:type="dxa"/>
            <w:hideMark/>
          </w:tcPr>
          <w:p w14:paraId="77947925" w14:textId="77777777" w:rsidR="00611F66" w:rsidRPr="00D55203" w:rsidRDefault="00611F66" w:rsidP="00A7406F">
            <w:pPr>
              <w:spacing w:before="80" w:line="240" w:lineRule="auto"/>
              <w:rPr>
                <w:sz w:val="20"/>
                <w:szCs w:val="20"/>
              </w:rPr>
            </w:pPr>
            <w:r w:rsidRPr="00D55203">
              <w:rPr>
                <w:color w:val="000000"/>
                <w:sz w:val="20"/>
                <w:szCs w:val="20"/>
              </w:rPr>
              <w:t>Internal Validity</w:t>
            </w:r>
          </w:p>
        </w:tc>
        <w:tc>
          <w:tcPr>
            <w:tcW w:w="1527" w:type="dxa"/>
            <w:hideMark/>
          </w:tcPr>
          <w:p w14:paraId="15F86692"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Notes methods</w:t>
            </w:r>
          </w:p>
        </w:tc>
        <w:tc>
          <w:tcPr>
            <w:tcW w:w="2098" w:type="dxa"/>
            <w:hideMark/>
          </w:tcPr>
          <w:p w14:paraId="7583B8B1"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Identifies strengths/weaknesses</w:t>
            </w:r>
          </w:p>
        </w:tc>
        <w:tc>
          <w:tcPr>
            <w:tcW w:w="1723" w:type="dxa"/>
            <w:hideMark/>
          </w:tcPr>
          <w:p w14:paraId="59514D58"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Appraises subtle bias</w:t>
            </w:r>
          </w:p>
        </w:tc>
        <w:tc>
          <w:tcPr>
            <w:tcW w:w="2044" w:type="dxa"/>
            <w:hideMark/>
          </w:tcPr>
          <w:p w14:paraId="1F110A27"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Role models appraisal</w:t>
            </w:r>
          </w:p>
        </w:tc>
      </w:tr>
      <w:tr w:rsidR="00611F66" w:rsidRPr="00611F66" w14:paraId="77545337" w14:textId="77777777" w:rsidTr="00611F66">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878" w:type="dxa"/>
            <w:hideMark/>
          </w:tcPr>
          <w:p w14:paraId="23A81DB0" w14:textId="77777777" w:rsidR="00611F66" w:rsidRPr="00D55203" w:rsidRDefault="00611F66" w:rsidP="00A7406F">
            <w:pPr>
              <w:spacing w:before="80" w:line="240" w:lineRule="auto"/>
              <w:rPr>
                <w:sz w:val="20"/>
                <w:szCs w:val="20"/>
              </w:rPr>
            </w:pPr>
            <w:r w:rsidRPr="00D55203">
              <w:rPr>
                <w:color w:val="000000"/>
                <w:sz w:val="20"/>
                <w:szCs w:val="20"/>
              </w:rPr>
              <w:t>Results</w:t>
            </w:r>
          </w:p>
        </w:tc>
        <w:tc>
          <w:tcPr>
            <w:tcW w:w="1527" w:type="dxa"/>
            <w:hideMark/>
          </w:tcPr>
          <w:p w14:paraId="0387B598"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States conclusion</w:t>
            </w:r>
          </w:p>
        </w:tc>
        <w:tc>
          <w:tcPr>
            <w:tcW w:w="2098" w:type="dxa"/>
            <w:hideMark/>
          </w:tcPr>
          <w:p w14:paraId="084E34BB"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Reports effect + CI</w:t>
            </w:r>
          </w:p>
        </w:tc>
        <w:tc>
          <w:tcPr>
            <w:tcW w:w="1723" w:type="dxa"/>
            <w:hideMark/>
          </w:tcPr>
          <w:p w14:paraId="3B49995D"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Distinguishes clinical vs statistical</w:t>
            </w:r>
          </w:p>
        </w:tc>
        <w:tc>
          <w:tcPr>
            <w:tcW w:w="2044" w:type="dxa"/>
            <w:hideMark/>
          </w:tcPr>
          <w:p w14:paraId="118D5DCE"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Synthesizes multiple studies</w:t>
            </w:r>
          </w:p>
        </w:tc>
      </w:tr>
      <w:tr w:rsidR="00611F66" w:rsidRPr="00611F66" w14:paraId="12A29C79" w14:textId="77777777" w:rsidTr="00611F66">
        <w:trPr>
          <w:trHeight w:val="165"/>
        </w:trPr>
        <w:tc>
          <w:tcPr>
            <w:cnfStyle w:val="001000000000" w:firstRow="0" w:lastRow="0" w:firstColumn="1" w:lastColumn="0" w:oddVBand="0" w:evenVBand="0" w:oddHBand="0" w:evenHBand="0" w:firstRowFirstColumn="0" w:firstRowLastColumn="0" w:lastRowFirstColumn="0" w:lastRowLastColumn="0"/>
            <w:tcW w:w="1878" w:type="dxa"/>
            <w:hideMark/>
          </w:tcPr>
          <w:p w14:paraId="79096BB3" w14:textId="77777777" w:rsidR="00611F66" w:rsidRPr="00D55203" w:rsidRDefault="00611F66" w:rsidP="00A7406F">
            <w:pPr>
              <w:spacing w:before="80" w:line="240" w:lineRule="auto"/>
              <w:rPr>
                <w:sz w:val="20"/>
                <w:szCs w:val="20"/>
              </w:rPr>
            </w:pPr>
            <w:r w:rsidRPr="00D55203">
              <w:rPr>
                <w:color w:val="000000"/>
                <w:sz w:val="20"/>
                <w:szCs w:val="20"/>
              </w:rPr>
              <w:t>Applicability</w:t>
            </w:r>
          </w:p>
        </w:tc>
        <w:tc>
          <w:tcPr>
            <w:tcW w:w="1527" w:type="dxa"/>
            <w:hideMark/>
          </w:tcPr>
          <w:p w14:paraId="7975A27E"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States results could apply</w:t>
            </w:r>
          </w:p>
        </w:tc>
        <w:tc>
          <w:tcPr>
            <w:tcW w:w="2098" w:type="dxa"/>
            <w:hideMark/>
          </w:tcPr>
          <w:p w14:paraId="30E7AE57"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Applies to straightforward patients</w:t>
            </w:r>
          </w:p>
        </w:tc>
        <w:tc>
          <w:tcPr>
            <w:tcW w:w="1723" w:type="dxa"/>
            <w:hideMark/>
          </w:tcPr>
          <w:p w14:paraId="43180F1B"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Weighs uncertainty in nuanced cases</w:t>
            </w:r>
          </w:p>
        </w:tc>
        <w:tc>
          <w:tcPr>
            <w:tcW w:w="2044" w:type="dxa"/>
            <w:hideMark/>
          </w:tcPr>
          <w:p w14:paraId="0D084DF0" w14:textId="77777777" w:rsidR="00611F66" w:rsidRPr="00D55203" w:rsidRDefault="00611F66" w:rsidP="00A7406F">
            <w:pPr>
              <w:spacing w:before="8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D55203">
              <w:rPr>
                <w:color w:val="000000"/>
                <w:sz w:val="20"/>
                <w:szCs w:val="20"/>
              </w:rPr>
              <w:t>Leads guideline integration</w:t>
            </w:r>
          </w:p>
        </w:tc>
      </w:tr>
      <w:tr w:rsidR="00611F66" w:rsidRPr="00611F66" w14:paraId="7A391504" w14:textId="77777777" w:rsidTr="00611F66">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878" w:type="dxa"/>
            <w:hideMark/>
          </w:tcPr>
          <w:p w14:paraId="03598ED9" w14:textId="77777777" w:rsidR="00611F66" w:rsidRPr="00D55203" w:rsidRDefault="00611F66" w:rsidP="00A7406F">
            <w:pPr>
              <w:spacing w:before="80" w:line="240" w:lineRule="auto"/>
              <w:rPr>
                <w:sz w:val="20"/>
                <w:szCs w:val="20"/>
              </w:rPr>
            </w:pPr>
            <w:r w:rsidRPr="00D55203">
              <w:rPr>
                <w:color w:val="000000"/>
                <w:sz w:val="20"/>
                <w:szCs w:val="20"/>
              </w:rPr>
              <w:t>Communication</w:t>
            </w:r>
          </w:p>
        </w:tc>
        <w:tc>
          <w:tcPr>
            <w:tcW w:w="1527" w:type="dxa"/>
            <w:hideMark/>
          </w:tcPr>
          <w:p w14:paraId="1DC9D9D9"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Reads summary</w:t>
            </w:r>
          </w:p>
        </w:tc>
        <w:tc>
          <w:tcPr>
            <w:tcW w:w="2098" w:type="dxa"/>
            <w:hideMark/>
          </w:tcPr>
          <w:p w14:paraId="63B72A74"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Presents concisely</w:t>
            </w:r>
          </w:p>
        </w:tc>
        <w:tc>
          <w:tcPr>
            <w:tcW w:w="1723" w:type="dxa"/>
            <w:hideMark/>
          </w:tcPr>
          <w:p w14:paraId="04E48F11"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Facilitates discussion</w:t>
            </w:r>
          </w:p>
        </w:tc>
        <w:tc>
          <w:tcPr>
            <w:tcW w:w="2044" w:type="dxa"/>
            <w:hideMark/>
          </w:tcPr>
          <w:p w14:paraId="4F513A5E" w14:textId="77777777" w:rsidR="00611F66" w:rsidRPr="00D55203" w:rsidRDefault="00611F66" w:rsidP="00A7406F">
            <w:pPr>
              <w:spacing w:before="8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D55203">
              <w:rPr>
                <w:color w:val="000000"/>
                <w:sz w:val="20"/>
                <w:szCs w:val="20"/>
              </w:rPr>
              <w:t>Teaches appraisal skills</w:t>
            </w:r>
          </w:p>
        </w:tc>
      </w:tr>
    </w:tbl>
    <w:p w14:paraId="146FD6EC" w14:textId="77777777" w:rsidR="00571BF0" w:rsidRDefault="00571BF0" w:rsidP="00611F66">
      <w:pPr>
        <w:pStyle w:val="Heading2"/>
        <w:ind w:right="1260"/>
      </w:pPr>
    </w:p>
    <w:p w14:paraId="39AEF5BF" w14:textId="7163959F" w:rsidR="00611F66" w:rsidRDefault="00611F66" w:rsidP="00611F66">
      <w:pPr>
        <w:pStyle w:val="Heading2"/>
        <w:ind w:right="1260"/>
      </w:pPr>
      <w:r>
        <w:t>4.2 CCC Integration</w:t>
      </w:r>
    </w:p>
    <w:p w14:paraId="0816811F" w14:textId="77777777" w:rsidR="00611F66" w:rsidRDefault="00611F66" w:rsidP="00611F66">
      <w:pPr>
        <w:pStyle w:val="p1"/>
        <w:numPr>
          <w:ilvl w:val="0"/>
          <w:numId w:val="58"/>
        </w:numPr>
        <w:spacing w:before="0" w:beforeAutospacing="0"/>
        <w:ind w:right="1260"/>
      </w:pPr>
      <w:r>
        <w:t xml:space="preserve">Rubrics generate </w:t>
      </w:r>
      <w:r>
        <w:rPr>
          <w:rStyle w:val="s1"/>
          <w:b/>
          <w:bCs/>
        </w:rPr>
        <w:t>longitudinal data</w:t>
      </w:r>
      <w:r>
        <w:t xml:space="preserve"> for semiannual milestone reporting</w:t>
      </w:r>
    </w:p>
    <w:p w14:paraId="626448D8" w14:textId="77777777" w:rsidR="00611F66" w:rsidRDefault="00611F66" w:rsidP="00611F66">
      <w:pPr>
        <w:pStyle w:val="p1"/>
        <w:numPr>
          <w:ilvl w:val="0"/>
          <w:numId w:val="58"/>
        </w:numPr>
        <w:spacing w:before="0" w:beforeAutospacing="0"/>
        <w:ind w:right="1260"/>
      </w:pPr>
      <w:r>
        <w:t>Demonstrates concrete PBLI progression (e.g., CA-1 Level 2 → CA-3 Level 4)</w:t>
      </w:r>
    </w:p>
    <w:p w14:paraId="3C4B645B" w14:textId="77777777" w:rsidR="00611F66" w:rsidRDefault="00611F66" w:rsidP="00611F66">
      <w:pPr>
        <w:pStyle w:val="p1"/>
        <w:numPr>
          <w:ilvl w:val="0"/>
          <w:numId w:val="58"/>
        </w:numPr>
        <w:spacing w:before="0" w:beforeAutospacing="0"/>
        <w:ind w:right="1260"/>
        <w:rPr>
          <w:rStyle w:val="s1"/>
        </w:rPr>
      </w:pPr>
      <w:r>
        <w:t xml:space="preserve">Creates </w:t>
      </w:r>
      <w:r>
        <w:rPr>
          <w:rStyle w:val="s1"/>
          <w:b/>
          <w:bCs/>
        </w:rPr>
        <w:t>defensible documentation</w:t>
      </w:r>
      <w:r>
        <w:t xml:space="preserve"> for the Clinical Competency Committee</w:t>
      </w:r>
    </w:p>
    <w:p w14:paraId="3355C163" w14:textId="77777777" w:rsidR="00611F66" w:rsidRDefault="00611F66" w:rsidP="00611F66">
      <w:pPr>
        <w:pStyle w:val="Heading2"/>
        <w:ind w:right="1260"/>
      </w:pPr>
      <w:r>
        <w:t>Conclusion: From Meeting to Active Learning</w:t>
      </w:r>
    </w:p>
    <w:p w14:paraId="7BE8D3FE" w14:textId="77777777" w:rsidR="00611F66" w:rsidRDefault="00611F66" w:rsidP="00611F66">
      <w:pPr>
        <w:pStyle w:val="p3"/>
        <w:ind w:right="1260"/>
      </w:pPr>
      <w:r>
        <w:t xml:space="preserve">This framework transforms the journal club into a </w:t>
      </w:r>
      <w:r>
        <w:rPr>
          <w:rStyle w:val="s2"/>
          <w:rFonts w:eastAsiaTheme="majorEastAsia"/>
          <w:b/>
          <w:bCs/>
        </w:rPr>
        <w:t>cornerstone of anesthesiology education</w:t>
      </w:r>
      <w:r>
        <w:t>:</w:t>
      </w:r>
    </w:p>
    <w:p w14:paraId="2E19C018" w14:textId="77777777" w:rsidR="00611F66" w:rsidRDefault="00611F66" w:rsidP="00611F66">
      <w:pPr>
        <w:pStyle w:val="p1"/>
        <w:numPr>
          <w:ilvl w:val="0"/>
          <w:numId w:val="59"/>
        </w:numPr>
        <w:ind w:right="1260"/>
      </w:pPr>
      <w:r>
        <w:rPr>
          <w:rStyle w:val="s1"/>
          <w:b/>
          <w:bCs/>
        </w:rPr>
        <w:t>Practical:</w:t>
      </w:r>
      <w:r>
        <w:t xml:space="preserve"> Runs in 2 hours (1 pre + 1 session)</w:t>
      </w:r>
    </w:p>
    <w:p w14:paraId="2CEB261F" w14:textId="77777777" w:rsidR="00611F66" w:rsidRDefault="00611F66" w:rsidP="00611F66">
      <w:pPr>
        <w:pStyle w:val="p1"/>
        <w:numPr>
          <w:ilvl w:val="0"/>
          <w:numId w:val="59"/>
        </w:numPr>
        <w:ind w:right="1260"/>
      </w:pPr>
      <w:r>
        <w:rPr>
          <w:rStyle w:val="s1"/>
          <w:b/>
          <w:bCs/>
        </w:rPr>
        <w:t>Evidence-based:</w:t>
      </w:r>
      <w:r>
        <w:t xml:space="preserve"> Anchored in CONSORT/EBM methodology</w:t>
      </w:r>
    </w:p>
    <w:p w14:paraId="54223F17" w14:textId="77777777" w:rsidR="00611F66" w:rsidRDefault="00611F66" w:rsidP="00611F66">
      <w:pPr>
        <w:pStyle w:val="p1"/>
        <w:numPr>
          <w:ilvl w:val="0"/>
          <w:numId w:val="59"/>
        </w:numPr>
        <w:ind w:right="1260"/>
      </w:pPr>
      <w:r>
        <w:rPr>
          <w:rStyle w:val="s1"/>
          <w:b/>
          <w:bCs/>
        </w:rPr>
        <w:t>Aligned:</w:t>
      </w:r>
      <w:r>
        <w:t xml:space="preserve"> Meets ACGME mandates for scholarship and PBLI</w:t>
      </w:r>
    </w:p>
    <w:p w14:paraId="0FC95AAA" w14:textId="77777777" w:rsidR="00F374BB" w:rsidRDefault="00611F66" w:rsidP="00611F66">
      <w:pPr>
        <w:pStyle w:val="p1"/>
        <w:numPr>
          <w:ilvl w:val="0"/>
          <w:numId w:val="59"/>
        </w:numPr>
        <w:ind w:right="1260"/>
      </w:pPr>
      <w:r>
        <w:rPr>
          <w:rStyle w:val="s1"/>
          <w:b/>
          <w:bCs/>
        </w:rPr>
        <w:t>Assessable:</w:t>
      </w:r>
      <w:r>
        <w:t xml:space="preserve"> Produces standardized milestone data</w:t>
      </w:r>
    </w:p>
    <w:p w14:paraId="6417A647" w14:textId="1A7EDBF7" w:rsidR="00ED2056" w:rsidRDefault="00611F66" w:rsidP="00611F66">
      <w:pPr>
        <w:pStyle w:val="p1"/>
        <w:numPr>
          <w:ilvl w:val="0"/>
          <w:numId w:val="59"/>
        </w:numPr>
        <w:ind w:right="1260"/>
        <w:rPr>
          <w:rStyle w:val="s1"/>
        </w:rPr>
      </w:pPr>
      <w:r w:rsidRPr="00F374BB">
        <w:rPr>
          <w:rStyle w:val="s1"/>
          <w:b/>
          <w:bCs/>
        </w:rPr>
        <w:t>Transferable:</w:t>
      </w:r>
      <w:r>
        <w:t xml:space="preserve"> Residents leave with skills they can teach and apply</w:t>
      </w:r>
    </w:p>
    <w:p w14:paraId="00D37573" w14:textId="77777777" w:rsidR="00ED2056" w:rsidRDefault="00ED2056" w:rsidP="00D55203">
      <w:pPr>
        <w:ind w:right="1260"/>
        <w:rPr>
          <w:rStyle w:val="s1"/>
        </w:rPr>
      </w:pPr>
    </w:p>
    <w:p w14:paraId="17495225" w14:textId="367DDDD6" w:rsidR="00BC26D4" w:rsidRPr="002A3541" w:rsidRDefault="00BC26D4" w:rsidP="00BC26D4">
      <w:pPr>
        <w:pStyle w:val="Heading1"/>
      </w:pPr>
      <w:r>
        <w:br w:type="page"/>
      </w:r>
      <w:r w:rsidRPr="002A3541">
        <w:lastRenderedPageBreak/>
        <w:t>Endnotes:</w:t>
      </w:r>
    </w:p>
    <w:p w14:paraId="72E11F51" w14:textId="77777777" w:rsidR="00BC26D4" w:rsidRPr="00765216" w:rsidRDefault="00BC26D4" w:rsidP="00BC26D4">
      <w:pPr>
        <w:pStyle w:val="ListParagraph"/>
        <w:numPr>
          <w:ilvl w:val="0"/>
          <w:numId w:val="60"/>
        </w:numPr>
        <w:ind w:right="1260"/>
      </w:pPr>
      <w:r w:rsidRPr="00765216">
        <w:rPr>
          <w:b/>
          <w:bCs/>
        </w:rPr>
        <w:t xml:space="preserve">ACGME Requirement 4.15 — Why Journal Club Counts as Scholarship: </w:t>
      </w:r>
      <w:r w:rsidRPr="00765216">
        <w:t xml:space="preserve">requires that </w:t>
      </w:r>
      <w:r w:rsidRPr="00765216">
        <w:rPr>
          <w:i/>
          <w:iCs/>
        </w:rPr>
        <w:t>all residents participate in scholarship</w:t>
      </w:r>
      <w:r w:rsidRPr="00765216">
        <w:t xml:space="preserve"> (Requirement 4.15).</w:t>
      </w:r>
      <w:r>
        <w:t xml:space="preserve"> </w:t>
      </w:r>
      <w:r w:rsidRPr="00765216">
        <w:t xml:space="preserve">Each resident must complete, under faculty supervision, an </w:t>
      </w:r>
      <w:r w:rsidRPr="00765216">
        <w:rPr>
          <w:b/>
          <w:bCs/>
        </w:rPr>
        <w:t>academic assignment</w:t>
      </w:r>
      <w:r w:rsidRPr="00765216">
        <w:t xml:space="preserve"> (Requirement 4.15.a).</w:t>
      </w:r>
      <w:r>
        <w:t xml:space="preserve"> </w:t>
      </w:r>
      <w:r w:rsidRPr="00765216">
        <w:t>Outcomes should be suitable for presentation at a scientific meeting or result in an abstract/manuscript.</w:t>
      </w:r>
    </w:p>
    <w:p w14:paraId="417B6A60" w14:textId="77777777" w:rsidR="00BC26D4" w:rsidRPr="00261EAB" w:rsidRDefault="00BC26D4" w:rsidP="00BC26D4">
      <w:pPr>
        <w:pStyle w:val="ListParagraph"/>
        <w:numPr>
          <w:ilvl w:val="0"/>
          <w:numId w:val="60"/>
        </w:numPr>
        <w:ind w:right="1260"/>
      </w:pPr>
      <w:r w:rsidRPr="00765216">
        <w:rPr>
          <w:b/>
          <w:bCs/>
        </w:rPr>
        <w:t>PBLI 1: Evidence-Based and Informed Practice</w:t>
      </w:r>
      <w:r w:rsidRPr="00765216">
        <w:t xml:space="preserve"> — ACGME Milestones sub-competency describing the progression from </w:t>
      </w:r>
      <w:r w:rsidRPr="00765216">
        <w:rPr>
          <w:i/>
          <w:iCs/>
        </w:rPr>
        <w:t>accessing evidence in routine care (Level 1)</w:t>
      </w:r>
      <w:r w:rsidRPr="00765216">
        <w:t xml:space="preserve"> → </w:t>
      </w:r>
      <w:r w:rsidRPr="00765216">
        <w:rPr>
          <w:i/>
          <w:iCs/>
        </w:rPr>
        <w:t>framing clinical questions (Level 2)</w:t>
      </w:r>
      <w:r w:rsidRPr="00765216">
        <w:t xml:space="preserve"> → </w:t>
      </w:r>
      <w:r w:rsidRPr="00765216">
        <w:rPr>
          <w:i/>
          <w:iCs/>
        </w:rPr>
        <w:t>applying evidence to complex patients (Level 3)</w:t>
      </w:r>
      <w:r w:rsidRPr="00765216">
        <w:t xml:space="preserve"> → </w:t>
      </w:r>
      <w:r w:rsidRPr="00765216">
        <w:rPr>
          <w:i/>
          <w:iCs/>
        </w:rPr>
        <w:t>appraising and applying evidence amid uncertainty (Level 4)</w:t>
      </w:r>
      <w:r w:rsidRPr="00765216">
        <w:t xml:space="preserve"> → </w:t>
      </w:r>
      <w:r w:rsidRPr="00765216">
        <w:rPr>
          <w:i/>
          <w:iCs/>
        </w:rPr>
        <w:t>coaching others and contributing to guideline development (Level 5).</w:t>
      </w:r>
    </w:p>
    <w:p w14:paraId="2295B2ED" w14:textId="36ACB9C5" w:rsidR="00D55203" w:rsidRPr="00BC26D4" w:rsidRDefault="00D55203" w:rsidP="00BC26D4">
      <w:pPr>
        <w:spacing w:after="160" w:line="278" w:lineRule="auto"/>
        <w:sectPr w:rsidR="00D55203" w:rsidRPr="00BC26D4" w:rsidSect="00A02876">
          <w:headerReference w:type="even" r:id="rId8"/>
          <w:headerReference w:type="default" r:id="rId9"/>
          <w:footerReference w:type="even" r:id="rId10"/>
          <w:footerReference w:type="default" r:id="rId11"/>
          <w:headerReference w:type="first" r:id="rId12"/>
          <w:footerReference w:type="first" r:id="rId13"/>
          <w:pgSz w:w="12240" w:h="15840"/>
          <w:pgMar w:top="1440" w:right="0" w:bottom="1440" w:left="1440" w:header="720" w:footer="720" w:gutter="0"/>
          <w:cols w:space="720"/>
          <w:docGrid w:linePitch="360"/>
        </w:sectPr>
      </w:pPr>
    </w:p>
    <w:p w14:paraId="00232E31" w14:textId="77777777" w:rsidR="00261EAB" w:rsidRDefault="00261EAB" w:rsidP="00D55203">
      <w:pPr>
        <w:pStyle w:val="ListParagraph"/>
        <w:ind w:right="1260"/>
        <w:rPr>
          <w:b/>
          <w:bCs/>
        </w:rPr>
      </w:pPr>
    </w:p>
    <w:p w14:paraId="646B7278" w14:textId="77777777" w:rsidR="00B52E64" w:rsidRPr="00261EAB" w:rsidRDefault="00B52E64" w:rsidP="00C516D8">
      <w:pPr>
        <w:ind w:right="1260"/>
        <w:rPr>
          <w:b/>
          <w:bCs/>
        </w:rPr>
      </w:pPr>
      <w:r>
        <w:rPr>
          <w:b/>
          <w:bCs/>
        </w:rPr>
        <w:t xml:space="preserve">Appendix A: </w:t>
      </w:r>
      <w:r w:rsidRPr="00261EAB">
        <w:rPr>
          <w:b/>
          <w:bCs/>
        </w:rPr>
        <w:t>Resident Critical Appraisal Checklist</w:t>
      </w:r>
    </w:p>
    <w:p w14:paraId="304BFA38" w14:textId="77777777" w:rsidR="00B52E64" w:rsidRDefault="00B52E64" w:rsidP="00C516D8">
      <w:pPr>
        <w:ind w:right="1260"/>
      </w:pPr>
      <w:r w:rsidRPr="00261EAB">
        <w:t>(Adapted from CONSORT, STROBE, PRISMA — simplified for busy clinicians)</w:t>
      </w:r>
    </w:p>
    <w:p w14:paraId="20CB9D2C" w14:textId="77777777" w:rsidR="00B52E64" w:rsidRDefault="00B52E64" w:rsidP="00C516D8">
      <w:pPr>
        <w:ind w:right="1260"/>
      </w:pPr>
    </w:p>
    <w:p w14:paraId="1D8466A0" w14:textId="77777777" w:rsidR="00B52E64" w:rsidRPr="00261EAB" w:rsidRDefault="00B52E64" w:rsidP="00C516D8">
      <w:pPr>
        <w:rPr>
          <w:b/>
          <w:bCs/>
        </w:rPr>
      </w:pPr>
      <w:r w:rsidRPr="00797404">
        <w:rPr>
          <w:b/>
          <w:bCs/>
        </w:rPr>
        <w:t>Three guiding EBM questions:</w:t>
      </w:r>
    </w:p>
    <w:p w14:paraId="7B61D333" w14:textId="77777777" w:rsidR="00B52E64" w:rsidRPr="00797404" w:rsidRDefault="00B52E64" w:rsidP="00C516D8">
      <w:pPr>
        <w:pStyle w:val="ListParagraph"/>
        <w:numPr>
          <w:ilvl w:val="0"/>
          <w:numId w:val="63"/>
        </w:numPr>
        <w:ind w:firstLine="0"/>
        <w:rPr>
          <w:b/>
          <w:bCs/>
        </w:rPr>
      </w:pPr>
      <w:r w:rsidRPr="00797404">
        <w:t>Are the results valid? (Internal validity)</w:t>
      </w:r>
    </w:p>
    <w:p w14:paraId="72F04BE0" w14:textId="77777777" w:rsidR="00B52E64" w:rsidRPr="00797404" w:rsidRDefault="00B52E64" w:rsidP="00C516D8">
      <w:pPr>
        <w:pStyle w:val="ListParagraph"/>
        <w:numPr>
          <w:ilvl w:val="0"/>
          <w:numId w:val="63"/>
        </w:numPr>
        <w:ind w:firstLine="0"/>
        <w:rPr>
          <w:b/>
          <w:bCs/>
        </w:rPr>
      </w:pPr>
      <w:r w:rsidRPr="00797404">
        <w:t>What were the results? (Magnitude and precision)</w:t>
      </w:r>
    </w:p>
    <w:p w14:paraId="079BD66D" w14:textId="77777777" w:rsidR="00B52E64" w:rsidRPr="00797404" w:rsidRDefault="00B52E64" w:rsidP="00C516D8">
      <w:pPr>
        <w:pStyle w:val="ListParagraph"/>
        <w:numPr>
          <w:ilvl w:val="0"/>
          <w:numId w:val="63"/>
        </w:numPr>
        <w:ind w:firstLine="0"/>
        <w:rPr>
          <w:b/>
          <w:bCs/>
        </w:rPr>
      </w:pPr>
      <w:r w:rsidRPr="00797404">
        <w:t>Will these results help my patients? (External validity)</w:t>
      </w:r>
    </w:p>
    <w:p w14:paraId="007DC56E" w14:textId="77777777" w:rsidR="00B52E64" w:rsidRPr="00261EAB" w:rsidRDefault="00B52E64" w:rsidP="00C516D8">
      <w:pPr>
        <w:pStyle w:val="ListParagraph"/>
        <w:rPr>
          <w:b/>
          <w:bCs/>
        </w:rPr>
      </w:pPr>
    </w:p>
    <w:tbl>
      <w:tblPr>
        <w:tblStyle w:val="TableGrid"/>
        <w:tblW w:w="13405" w:type="dxa"/>
        <w:tblLook w:val="04A0" w:firstRow="1" w:lastRow="0" w:firstColumn="1" w:lastColumn="0" w:noHBand="0" w:noVBand="1"/>
      </w:tblPr>
      <w:tblGrid>
        <w:gridCol w:w="1795"/>
        <w:gridCol w:w="4320"/>
        <w:gridCol w:w="7290"/>
      </w:tblGrid>
      <w:tr w:rsidR="00B52E64" w:rsidRPr="00261EAB" w14:paraId="45E1C44E" w14:textId="77777777" w:rsidTr="00A7406F">
        <w:tc>
          <w:tcPr>
            <w:tcW w:w="1795" w:type="dxa"/>
          </w:tcPr>
          <w:p w14:paraId="740BB86B" w14:textId="77777777" w:rsidR="00B52E64" w:rsidRPr="00261EAB" w:rsidRDefault="00B52E64" w:rsidP="00C516D8">
            <w:pPr>
              <w:rPr>
                <w:b/>
                <w:bCs/>
              </w:rPr>
            </w:pPr>
            <w:r w:rsidRPr="00261EAB">
              <w:rPr>
                <w:b/>
                <w:bCs/>
              </w:rPr>
              <w:t>Domain</w:t>
            </w:r>
          </w:p>
        </w:tc>
        <w:tc>
          <w:tcPr>
            <w:tcW w:w="4320" w:type="dxa"/>
          </w:tcPr>
          <w:p w14:paraId="00AEC834" w14:textId="77777777" w:rsidR="00B52E64" w:rsidRPr="00261EAB" w:rsidRDefault="00B52E64" w:rsidP="00C516D8">
            <w:pPr>
              <w:rPr>
                <w:b/>
                <w:bCs/>
              </w:rPr>
            </w:pPr>
            <w:r w:rsidRPr="00261EAB">
              <w:rPr>
                <w:b/>
                <w:bCs/>
              </w:rPr>
              <w:t>Guiding Questions</w:t>
            </w:r>
          </w:p>
        </w:tc>
        <w:tc>
          <w:tcPr>
            <w:tcW w:w="7290" w:type="dxa"/>
          </w:tcPr>
          <w:p w14:paraId="4C431DF9" w14:textId="77777777" w:rsidR="00B52E64" w:rsidRPr="00261EAB" w:rsidRDefault="00B52E64" w:rsidP="00C516D8">
            <w:pPr>
              <w:rPr>
                <w:b/>
                <w:bCs/>
              </w:rPr>
            </w:pPr>
            <w:r w:rsidRPr="00261EAB">
              <w:rPr>
                <w:b/>
                <w:bCs/>
              </w:rPr>
              <w:t>Resident Notes</w:t>
            </w:r>
          </w:p>
        </w:tc>
      </w:tr>
      <w:tr w:rsidR="00B52E64" w:rsidRPr="00261EAB" w14:paraId="057636FF" w14:textId="77777777" w:rsidTr="00A7406F">
        <w:tc>
          <w:tcPr>
            <w:tcW w:w="1795" w:type="dxa"/>
          </w:tcPr>
          <w:p w14:paraId="0134CA64" w14:textId="77777777" w:rsidR="00B52E64" w:rsidRPr="00261EAB" w:rsidRDefault="00B52E64" w:rsidP="00C516D8">
            <w:r w:rsidRPr="00261EAB">
              <w:t>1. Validity (Internal)</w:t>
            </w:r>
          </w:p>
        </w:tc>
        <w:tc>
          <w:tcPr>
            <w:tcW w:w="4320" w:type="dxa"/>
          </w:tcPr>
          <w:p w14:paraId="614520F0" w14:textId="77777777" w:rsidR="00B52E64" w:rsidRPr="00261EAB" w:rsidRDefault="00B52E64" w:rsidP="00C516D8">
            <w:r w:rsidRPr="00261EAB">
              <w:t>• Was randomization adequate?</w:t>
            </w:r>
            <w:r w:rsidRPr="00261EAB">
              <w:br/>
              <w:t>• Was allocation concealed?</w:t>
            </w:r>
            <w:r w:rsidRPr="00261EAB">
              <w:br/>
              <w:t>• Were patients/clinicians/assessors blinded?</w:t>
            </w:r>
            <w:r w:rsidRPr="00261EAB">
              <w:br/>
              <w:t>• Were groups similar at baseline?</w:t>
            </w:r>
            <w:r w:rsidRPr="00261EAB">
              <w:br/>
              <w:t>• Was follow-up complete (ITT analysis)?</w:t>
            </w:r>
          </w:p>
        </w:tc>
        <w:tc>
          <w:tcPr>
            <w:tcW w:w="7290" w:type="dxa"/>
          </w:tcPr>
          <w:p w14:paraId="340D8363" w14:textId="77777777" w:rsidR="00B52E64" w:rsidRPr="00261EAB" w:rsidRDefault="00B52E64" w:rsidP="00C516D8"/>
        </w:tc>
      </w:tr>
      <w:tr w:rsidR="00B52E64" w:rsidRPr="00261EAB" w14:paraId="468F7C05" w14:textId="77777777" w:rsidTr="00A7406F">
        <w:tc>
          <w:tcPr>
            <w:tcW w:w="1795" w:type="dxa"/>
          </w:tcPr>
          <w:p w14:paraId="232899CC" w14:textId="77777777" w:rsidR="00B52E64" w:rsidRPr="00261EAB" w:rsidRDefault="00B52E64" w:rsidP="00C516D8">
            <w:r w:rsidRPr="00261EAB">
              <w:t>2. Results (Magnitude &amp; Precision)</w:t>
            </w:r>
          </w:p>
        </w:tc>
        <w:tc>
          <w:tcPr>
            <w:tcW w:w="4320" w:type="dxa"/>
          </w:tcPr>
          <w:p w14:paraId="67A0F3AF" w14:textId="77777777" w:rsidR="00B52E64" w:rsidRPr="00261EAB" w:rsidRDefault="00B52E64" w:rsidP="00C516D8">
            <w:r w:rsidRPr="00261EAB">
              <w:t>• What was the primary outcome and effect size?</w:t>
            </w:r>
            <w:r w:rsidRPr="00261EAB">
              <w:br/>
              <w:t>• Were confidence intervals (CIs) and p-values reported?</w:t>
            </w:r>
            <w:r w:rsidRPr="00261EAB">
              <w:br/>
              <w:t>• What is the clinical significance (ARR, RRR, NNT)?</w:t>
            </w:r>
            <w:r w:rsidRPr="00261EAB">
              <w:br/>
              <w:t>• Were harms/adverse events reported?</w:t>
            </w:r>
          </w:p>
        </w:tc>
        <w:tc>
          <w:tcPr>
            <w:tcW w:w="7290" w:type="dxa"/>
          </w:tcPr>
          <w:p w14:paraId="24B172D8" w14:textId="77777777" w:rsidR="00B52E64" w:rsidRPr="00261EAB" w:rsidRDefault="00B52E64" w:rsidP="00C516D8"/>
        </w:tc>
      </w:tr>
      <w:tr w:rsidR="00B52E64" w:rsidRPr="00261EAB" w14:paraId="2437B4A4" w14:textId="77777777" w:rsidTr="00A7406F">
        <w:tc>
          <w:tcPr>
            <w:tcW w:w="1795" w:type="dxa"/>
          </w:tcPr>
          <w:p w14:paraId="0995A476" w14:textId="77777777" w:rsidR="00B52E64" w:rsidRPr="00261EAB" w:rsidRDefault="00B52E64" w:rsidP="00C516D8">
            <w:r w:rsidRPr="00261EAB">
              <w:t>3. Applicability (External Validity)</w:t>
            </w:r>
          </w:p>
        </w:tc>
        <w:tc>
          <w:tcPr>
            <w:tcW w:w="4320" w:type="dxa"/>
          </w:tcPr>
          <w:p w14:paraId="4CD2F1C6" w14:textId="77777777" w:rsidR="00B52E64" w:rsidRPr="00261EAB" w:rsidRDefault="00B52E64" w:rsidP="00C516D8">
            <w:r w:rsidRPr="00261EAB">
              <w:t xml:space="preserve">• Is the study population </w:t>
            </w:r>
            <w:proofErr w:type="gramStart"/>
            <w:r w:rsidRPr="00261EAB">
              <w:t>similar to</w:t>
            </w:r>
            <w:proofErr w:type="gramEnd"/>
            <w:r w:rsidRPr="00261EAB">
              <w:t xml:space="preserve"> ours?</w:t>
            </w:r>
            <w:r w:rsidRPr="00261EAB">
              <w:br/>
              <w:t>• Is the intervention feasible in our setting?</w:t>
            </w:r>
            <w:r w:rsidRPr="00261EAB">
              <w:br/>
              <w:t>• Were all important patient outcomes considered?</w:t>
            </w:r>
            <w:r w:rsidRPr="00261EAB">
              <w:br/>
              <w:t>• Bottom Line: Should this study change my practice?</w:t>
            </w:r>
          </w:p>
        </w:tc>
        <w:tc>
          <w:tcPr>
            <w:tcW w:w="7290" w:type="dxa"/>
          </w:tcPr>
          <w:p w14:paraId="53920787" w14:textId="77777777" w:rsidR="00B52E64" w:rsidRPr="00261EAB" w:rsidRDefault="00B52E64" w:rsidP="00C516D8"/>
        </w:tc>
      </w:tr>
    </w:tbl>
    <w:p w14:paraId="09134787" w14:textId="77777777" w:rsidR="00B52E64" w:rsidRPr="00B52E64" w:rsidRDefault="00B52E64" w:rsidP="00B52E64">
      <w:pPr>
        <w:ind w:right="1260"/>
        <w:sectPr w:rsidR="00B52E64" w:rsidRPr="00B52E64" w:rsidSect="00B52E64">
          <w:pgSz w:w="15840" w:h="12240" w:orient="landscape"/>
          <w:pgMar w:top="1152" w:right="1152" w:bottom="1440" w:left="1152" w:header="720" w:footer="720" w:gutter="0"/>
          <w:cols w:space="720"/>
          <w:docGrid w:linePitch="360"/>
        </w:sectPr>
      </w:pPr>
    </w:p>
    <w:p w14:paraId="3B3CEAFD" w14:textId="5C598308" w:rsidR="00CB7F52" w:rsidRPr="00B52E64" w:rsidRDefault="00C94F2D" w:rsidP="00B52E64">
      <w:pPr>
        <w:spacing w:after="160" w:line="278" w:lineRule="auto"/>
      </w:pPr>
      <w:r w:rsidRPr="00694BF6">
        <w:rPr>
          <w:b/>
          <w:bCs/>
        </w:rPr>
        <w:lastRenderedPageBreak/>
        <w:t>Example:</w:t>
      </w:r>
    </w:p>
    <w:p w14:paraId="543E9987" w14:textId="5F98296F" w:rsidR="00694BF6" w:rsidRDefault="00694BF6" w:rsidP="00694BF6">
      <w:pPr>
        <w:spacing w:before="100" w:beforeAutospacing="1" w:after="100" w:afterAutospacing="1" w:line="240" w:lineRule="auto"/>
        <w:rPr>
          <w:sz w:val="18"/>
          <w:szCs w:val="18"/>
        </w:rPr>
      </w:pPr>
      <w:proofErr w:type="spellStart"/>
      <w:r w:rsidRPr="00694BF6">
        <w:rPr>
          <w:sz w:val="18"/>
          <w:szCs w:val="18"/>
        </w:rPr>
        <w:t>Roveri</w:t>
      </w:r>
      <w:proofErr w:type="spellEnd"/>
      <w:r w:rsidRPr="00694BF6">
        <w:rPr>
          <w:sz w:val="18"/>
          <w:szCs w:val="18"/>
        </w:rPr>
        <w:t xml:space="preserve">, G., </w:t>
      </w:r>
      <w:proofErr w:type="spellStart"/>
      <w:r w:rsidRPr="00694BF6">
        <w:rPr>
          <w:sz w:val="18"/>
          <w:szCs w:val="18"/>
        </w:rPr>
        <w:t>Camporesi</w:t>
      </w:r>
      <w:proofErr w:type="spellEnd"/>
      <w:r w:rsidRPr="00694BF6">
        <w:rPr>
          <w:sz w:val="18"/>
          <w:szCs w:val="18"/>
        </w:rPr>
        <w:t xml:space="preserve">, A., Hofer, A., Kahlen, S., </w:t>
      </w:r>
      <w:proofErr w:type="spellStart"/>
      <w:r w:rsidRPr="00694BF6">
        <w:rPr>
          <w:sz w:val="18"/>
          <w:szCs w:val="18"/>
        </w:rPr>
        <w:t>Breidt</w:t>
      </w:r>
      <w:proofErr w:type="spellEnd"/>
      <w:r w:rsidRPr="00694BF6">
        <w:rPr>
          <w:sz w:val="18"/>
          <w:szCs w:val="18"/>
        </w:rPr>
        <w:t xml:space="preserve">, F., &amp; Rauch, S. (2025). Preoxygenation with and without positive end-expiratory pressure in lung-healthy volunteers: A randomized clinical trial. </w:t>
      </w:r>
      <w:r w:rsidRPr="00694BF6">
        <w:rPr>
          <w:i/>
          <w:iCs/>
          <w:sz w:val="18"/>
          <w:szCs w:val="18"/>
        </w:rPr>
        <w:t>JAMA Network Open, 8</w:t>
      </w:r>
      <w:r w:rsidRPr="00694BF6">
        <w:rPr>
          <w:sz w:val="18"/>
          <w:szCs w:val="18"/>
        </w:rPr>
        <w:t>(5), e2511569. https://doi.org/10.1001/jamanetworkopen.2025.11569 </w:t>
      </w:r>
    </w:p>
    <w:p w14:paraId="42733224" w14:textId="368881B2" w:rsidR="00694BF6" w:rsidRPr="00694BF6" w:rsidRDefault="00694BF6" w:rsidP="00694BF6">
      <w:pPr>
        <w:pStyle w:val="p1"/>
        <w:rPr>
          <w:sz w:val="18"/>
          <w:szCs w:val="18"/>
        </w:rPr>
      </w:pPr>
      <w:r w:rsidRPr="00694BF6">
        <w:rPr>
          <w:b/>
          <w:bCs/>
          <w:sz w:val="18"/>
          <w:szCs w:val="18"/>
        </w:rPr>
        <w:t>Bottom Line:</w:t>
      </w:r>
      <w:r w:rsidRPr="00694BF6">
        <w:rPr>
          <w:sz w:val="18"/>
          <w:szCs w:val="18"/>
        </w:rPr>
        <w:t xml:space="preserve"> This well-conducted crossover RCT in healthy volunteers shows that NRM is inferior to both BVM and BVM+PEEP for preoxygenation. BVM+PEEP further improves oxygenation and dependent lung ventilation, particularly in obese adults and children. While the trial doesn’t measure clinical endpoints (safe apnea time, desaturation rates), the physiologic rationale and feasibility suggest BVM+PEEP should be preferred over NRM in emergency and perioperative settings, especially when NIV isn’t available.</w:t>
      </w:r>
    </w:p>
    <w:tbl>
      <w:tblPr>
        <w:tblStyle w:val="TableGrid"/>
        <w:tblW w:w="13411" w:type="dxa"/>
        <w:tblLook w:val="04A0" w:firstRow="1" w:lastRow="0" w:firstColumn="1" w:lastColumn="0" w:noHBand="0" w:noVBand="1"/>
      </w:tblPr>
      <w:tblGrid>
        <w:gridCol w:w="1345"/>
        <w:gridCol w:w="2520"/>
        <w:gridCol w:w="9546"/>
      </w:tblGrid>
      <w:tr w:rsidR="00694BF6" w:rsidRPr="00C94F2D" w14:paraId="39549499" w14:textId="77777777" w:rsidTr="00694BF6">
        <w:tc>
          <w:tcPr>
            <w:tcW w:w="1345" w:type="dxa"/>
          </w:tcPr>
          <w:p w14:paraId="10A1D1D1" w14:textId="77777777" w:rsidR="00C94F2D" w:rsidRPr="00261EAB" w:rsidRDefault="00C94F2D" w:rsidP="00A7406F">
            <w:pPr>
              <w:rPr>
                <w:b/>
                <w:bCs/>
                <w:sz w:val="18"/>
                <w:szCs w:val="18"/>
              </w:rPr>
            </w:pPr>
            <w:r w:rsidRPr="00261EAB">
              <w:rPr>
                <w:b/>
                <w:bCs/>
                <w:sz w:val="18"/>
                <w:szCs w:val="18"/>
              </w:rPr>
              <w:t>Domain</w:t>
            </w:r>
          </w:p>
        </w:tc>
        <w:tc>
          <w:tcPr>
            <w:tcW w:w="2520" w:type="dxa"/>
          </w:tcPr>
          <w:p w14:paraId="2AFAFED7" w14:textId="77777777" w:rsidR="00C94F2D" w:rsidRPr="00261EAB" w:rsidRDefault="00C94F2D" w:rsidP="00A7406F">
            <w:pPr>
              <w:rPr>
                <w:b/>
                <w:bCs/>
                <w:sz w:val="18"/>
                <w:szCs w:val="18"/>
              </w:rPr>
            </w:pPr>
            <w:r w:rsidRPr="00261EAB">
              <w:rPr>
                <w:b/>
                <w:bCs/>
                <w:sz w:val="18"/>
                <w:szCs w:val="18"/>
              </w:rPr>
              <w:t>Guiding Questions</w:t>
            </w:r>
          </w:p>
        </w:tc>
        <w:tc>
          <w:tcPr>
            <w:tcW w:w="9546" w:type="dxa"/>
          </w:tcPr>
          <w:p w14:paraId="7A0F559E" w14:textId="77777777" w:rsidR="00C94F2D" w:rsidRPr="00261EAB" w:rsidRDefault="00C94F2D" w:rsidP="00A7406F">
            <w:pPr>
              <w:rPr>
                <w:b/>
                <w:bCs/>
                <w:sz w:val="18"/>
                <w:szCs w:val="18"/>
              </w:rPr>
            </w:pPr>
            <w:r w:rsidRPr="00261EAB">
              <w:rPr>
                <w:b/>
                <w:bCs/>
                <w:sz w:val="18"/>
                <w:szCs w:val="18"/>
              </w:rPr>
              <w:t>Resident Notes</w:t>
            </w:r>
          </w:p>
        </w:tc>
      </w:tr>
      <w:tr w:rsidR="00694BF6" w:rsidRPr="00C94F2D" w14:paraId="198C4E26" w14:textId="77777777" w:rsidTr="00694BF6">
        <w:trPr>
          <w:trHeight w:val="1718"/>
        </w:trPr>
        <w:tc>
          <w:tcPr>
            <w:tcW w:w="1345" w:type="dxa"/>
          </w:tcPr>
          <w:p w14:paraId="7CD57158" w14:textId="77777777" w:rsidR="00C94F2D" w:rsidRPr="00261EAB" w:rsidRDefault="00C94F2D" w:rsidP="00A7406F">
            <w:pPr>
              <w:rPr>
                <w:sz w:val="18"/>
                <w:szCs w:val="18"/>
              </w:rPr>
            </w:pPr>
            <w:r w:rsidRPr="00261EAB">
              <w:rPr>
                <w:sz w:val="18"/>
                <w:szCs w:val="18"/>
              </w:rPr>
              <w:t>1. Validity (Internal)</w:t>
            </w:r>
          </w:p>
        </w:tc>
        <w:tc>
          <w:tcPr>
            <w:tcW w:w="2520" w:type="dxa"/>
          </w:tcPr>
          <w:p w14:paraId="236A2CEA" w14:textId="77777777" w:rsidR="00C94F2D" w:rsidRPr="00261EAB" w:rsidRDefault="00C94F2D" w:rsidP="00A7406F">
            <w:pPr>
              <w:rPr>
                <w:sz w:val="18"/>
                <w:szCs w:val="18"/>
              </w:rPr>
            </w:pPr>
            <w:r w:rsidRPr="00261EAB">
              <w:rPr>
                <w:sz w:val="18"/>
                <w:szCs w:val="18"/>
              </w:rPr>
              <w:t>• Was randomization adequate?</w:t>
            </w:r>
            <w:r w:rsidRPr="00261EAB">
              <w:rPr>
                <w:sz w:val="18"/>
                <w:szCs w:val="18"/>
              </w:rPr>
              <w:br/>
              <w:t>• Was allocation concealed?</w:t>
            </w:r>
            <w:r w:rsidRPr="00261EAB">
              <w:rPr>
                <w:sz w:val="18"/>
                <w:szCs w:val="18"/>
              </w:rPr>
              <w:br/>
              <w:t>• Were patients/clinicians/assessors blinded?</w:t>
            </w:r>
            <w:r w:rsidRPr="00261EAB">
              <w:rPr>
                <w:sz w:val="18"/>
                <w:szCs w:val="18"/>
              </w:rPr>
              <w:br/>
              <w:t>• Were groups similar at baseline?</w:t>
            </w:r>
            <w:r w:rsidRPr="00261EAB">
              <w:rPr>
                <w:sz w:val="18"/>
                <w:szCs w:val="18"/>
              </w:rPr>
              <w:br/>
              <w:t>• Was follow-up complete (ITT analysis)?</w:t>
            </w:r>
          </w:p>
        </w:tc>
        <w:tc>
          <w:tcPr>
            <w:tcW w:w="9546" w:type="dxa"/>
          </w:tcPr>
          <w:p w14:paraId="10A1B98C" w14:textId="77777777" w:rsidR="00C94F2D" w:rsidRPr="00C94F2D" w:rsidRDefault="00C94F2D" w:rsidP="00694BF6">
            <w:pPr>
              <w:numPr>
                <w:ilvl w:val="0"/>
                <w:numId w:val="64"/>
              </w:numPr>
              <w:tabs>
                <w:tab w:val="clear" w:pos="720"/>
                <w:tab w:val="num" w:pos="339"/>
              </w:tabs>
              <w:spacing w:after="0" w:line="240" w:lineRule="auto"/>
              <w:ind w:left="249" w:hanging="249"/>
              <w:rPr>
                <w:sz w:val="18"/>
                <w:szCs w:val="18"/>
              </w:rPr>
            </w:pPr>
            <w:r w:rsidRPr="00C94F2D">
              <w:rPr>
                <w:b/>
                <w:bCs/>
                <w:sz w:val="18"/>
                <w:szCs w:val="18"/>
              </w:rPr>
              <w:t>Randomization adequate?</w:t>
            </w:r>
            <w:r w:rsidRPr="00C94F2D">
              <w:rPr>
                <w:sz w:val="18"/>
                <w:szCs w:val="18"/>
              </w:rPr>
              <w:t xml:space="preserve"> Yes. Computer-generated list with block randomization; crossover design reduced interparticipant variability.</w:t>
            </w:r>
          </w:p>
          <w:p w14:paraId="2757D733" w14:textId="77777777" w:rsidR="00C94F2D" w:rsidRPr="00C94F2D" w:rsidRDefault="00C94F2D" w:rsidP="00694BF6">
            <w:pPr>
              <w:numPr>
                <w:ilvl w:val="0"/>
                <w:numId w:val="64"/>
              </w:numPr>
              <w:tabs>
                <w:tab w:val="clear" w:pos="720"/>
                <w:tab w:val="num" w:pos="339"/>
              </w:tabs>
              <w:spacing w:after="0" w:line="240" w:lineRule="auto"/>
              <w:ind w:left="249" w:hanging="249"/>
              <w:rPr>
                <w:sz w:val="18"/>
                <w:szCs w:val="18"/>
              </w:rPr>
            </w:pPr>
            <w:r w:rsidRPr="00C94F2D">
              <w:rPr>
                <w:b/>
                <w:bCs/>
                <w:sz w:val="18"/>
                <w:szCs w:val="18"/>
              </w:rPr>
              <w:t>Allocation concealed?</w:t>
            </w:r>
            <w:r w:rsidRPr="00C94F2D">
              <w:rPr>
                <w:sz w:val="18"/>
                <w:szCs w:val="18"/>
              </w:rPr>
              <w:t xml:space="preserve"> Sequence concealed from participants; investigators aware of device used.</w:t>
            </w:r>
          </w:p>
          <w:p w14:paraId="6FE780DD" w14:textId="77777777" w:rsidR="00C94F2D" w:rsidRPr="00C94F2D" w:rsidRDefault="00C94F2D" w:rsidP="00694BF6">
            <w:pPr>
              <w:numPr>
                <w:ilvl w:val="0"/>
                <w:numId w:val="64"/>
              </w:numPr>
              <w:tabs>
                <w:tab w:val="clear" w:pos="720"/>
                <w:tab w:val="num" w:pos="339"/>
              </w:tabs>
              <w:spacing w:after="0" w:line="240" w:lineRule="auto"/>
              <w:ind w:left="249" w:hanging="249"/>
              <w:rPr>
                <w:sz w:val="18"/>
                <w:szCs w:val="18"/>
              </w:rPr>
            </w:pPr>
            <w:r w:rsidRPr="00C94F2D">
              <w:rPr>
                <w:b/>
                <w:bCs/>
                <w:sz w:val="18"/>
                <w:szCs w:val="18"/>
              </w:rPr>
              <w:t>Blinding?</w:t>
            </w:r>
            <w:r w:rsidRPr="00C94F2D">
              <w:rPr>
                <w:sz w:val="18"/>
                <w:szCs w:val="18"/>
              </w:rPr>
              <w:t xml:space="preserve"> Participants blinded to order, but investigators could not be blinded due to device differences. Outcome measures (</w:t>
            </w:r>
            <w:proofErr w:type="spellStart"/>
            <w:r w:rsidRPr="00C94F2D">
              <w:rPr>
                <w:sz w:val="18"/>
                <w:szCs w:val="18"/>
              </w:rPr>
              <w:t>FeO</w:t>
            </w:r>
            <w:proofErr w:type="spellEnd"/>
            <w:r w:rsidRPr="00C94F2D">
              <w:rPr>
                <w:sz w:val="18"/>
                <w:szCs w:val="18"/>
              </w:rPr>
              <w:t>₂, ORI, EIT) were objective.</w:t>
            </w:r>
          </w:p>
          <w:p w14:paraId="1F47871D" w14:textId="77777777" w:rsidR="00C94F2D" w:rsidRPr="00C94F2D" w:rsidRDefault="00C94F2D" w:rsidP="00694BF6">
            <w:pPr>
              <w:numPr>
                <w:ilvl w:val="0"/>
                <w:numId w:val="64"/>
              </w:numPr>
              <w:tabs>
                <w:tab w:val="clear" w:pos="720"/>
                <w:tab w:val="num" w:pos="339"/>
              </w:tabs>
              <w:spacing w:after="0" w:line="240" w:lineRule="auto"/>
              <w:ind w:left="249" w:hanging="249"/>
              <w:rPr>
                <w:sz w:val="18"/>
                <w:szCs w:val="18"/>
              </w:rPr>
            </w:pPr>
            <w:r w:rsidRPr="00C94F2D">
              <w:rPr>
                <w:b/>
                <w:bCs/>
                <w:sz w:val="18"/>
                <w:szCs w:val="18"/>
              </w:rPr>
              <w:t>Baseline similarity?</w:t>
            </w:r>
            <w:r w:rsidRPr="00C94F2D">
              <w:rPr>
                <w:sz w:val="18"/>
                <w:szCs w:val="18"/>
              </w:rPr>
              <w:t xml:space="preserve"> Groups well described (normal weight, overweight/obese, pediatric</w:t>
            </w:r>
            <w:proofErr w:type="gramStart"/>
            <w:r w:rsidRPr="00C94F2D">
              <w:rPr>
                <w:sz w:val="18"/>
                <w:szCs w:val="18"/>
              </w:rPr>
              <w:t>);</w:t>
            </w:r>
            <w:proofErr w:type="gramEnd"/>
            <w:r w:rsidRPr="00C94F2D">
              <w:rPr>
                <w:sz w:val="18"/>
                <w:szCs w:val="18"/>
              </w:rPr>
              <w:t xml:space="preserve"> no major imbalances.</w:t>
            </w:r>
          </w:p>
          <w:p w14:paraId="0F871801" w14:textId="3E80B387" w:rsidR="00C94F2D" w:rsidRPr="00C94F2D" w:rsidRDefault="00C94F2D" w:rsidP="00694BF6">
            <w:pPr>
              <w:numPr>
                <w:ilvl w:val="0"/>
                <w:numId w:val="64"/>
              </w:numPr>
              <w:tabs>
                <w:tab w:val="clear" w:pos="720"/>
                <w:tab w:val="num" w:pos="339"/>
              </w:tabs>
              <w:spacing w:after="0" w:line="240" w:lineRule="auto"/>
              <w:ind w:left="249" w:hanging="249"/>
              <w:rPr>
                <w:sz w:val="18"/>
                <w:szCs w:val="18"/>
              </w:rPr>
            </w:pPr>
            <w:r w:rsidRPr="00C94F2D">
              <w:rPr>
                <w:b/>
                <w:bCs/>
                <w:sz w:val="18"/>
                <w:szCs w:val="18"/>
              </w:rPr>
              <w:t>Follow-up/ITT analysis?</w:t>
            </w:r>
            <w:r w:rsidRPr="00C94F2D">
              <w:rPr>
                <w:sz w:val="18"/>
                <w:szCs w:val="18"/>
              </w:rPr>
              <w:t xml:space="preserve"> All 53 participants completed all </w:t>
            </w:r>
            <w:proofErr w:type="gramStart"/>
            <w:r w:rsidRPr="00C94F2D">
              <w:rPr>
                <w:sz w:val="18"/>
                <w:szCs w:val="18"/>
              </w:rPr>
              <w:t>arms;</w:t>
            </w:r>
            <w:proofErr w:type="gramEnd"/>
            <w:r w:rsidRPr="00C94F2D">
              <w:rPr>
                <w:sz w:val="18"/>
                <w:szCs w:val="18"/>
              </w:rPr>
              <w:t xml:space="preserve"> no missing data. ITT not relevant since no dropouts.</w:t>
            </w:r>
          </w:p>
          <w:p w14:paraId="3B49CEB8" w14:textId="6A74107E" w:rsidR="00C94F2D" w:rsidRPr="00261EAB" w:rsidRDefault="00C94F2D" w:rsidP="00694BF6">
            <w:pPr>
              <w:spacing w:after="0" w:line="240" w:lineRule="auto"/>
              <w:rPr>
                <w:sz w:val="18"/>
                <w:szCs w:val="18"/>
              </w:rPr>
            </w:pPr>
            <w:r w:rsidRPr="00C94F2D">
              <w:rPr>
                <w:b/>
                <w:bCs/>
                <w:sz w:val="18"/>
                <w:szCs w:val="18"/>
              </w:rPr>
              <w:t>Overall:</w:t>
            </w:r>
            <w:r w:rsidRPr="00C94F2D">
              <w:rPr>
                <w:sz w:val="18"/>
                <w:szCs w:val="18"/>
              </w:rPr>
              <w:t xml:space="preserve"> Methodologically sound, though limited by lack of assessor blinding and artificial volunteer setting.</w:t>
            </w:r>
          </w:p>
        </w:tc>
      </w:tr>
      <w:tr w:rsidR="00694BF6" w:rsidRPr="00C94F2D" w14:paraId="762BE006" w14:textId="77777777" w:rsidTr="00694BF6">
        <w:tc>
          <w:tcPr>
            <w:tcW w:w="1345" w:type="dxa"/>
          </w:tcPr>
          <w:p w14:paraId="369ED176" w14:textId="77777777" w:rsidR="00C94F2D" w:rsidRPr="00261EAB" w:rsidRDefault="00C94F2D" w:rsidP="00A7406F">
            <w:pPr>
              <w:rPr>
                <w:sz w:val="18"/>
                <w:szCs w:val="18"/>
              </w:rPr>
            </w:pPr>
            <w:r w:rsidRPr="00261EAB">
              <w:rPr>
                <w:sz w:val="18"/>
                <w:szCs w:val="18"/>
              </w:rPr>
              <w:t>2. Results (Magnitude &amp; Precision)</w:t>
            </w:r>
          </w:p>
        </w:tc>
        <w:tc>
          <w:tcPr>
            <w:tcW w:w="2520" w:type="dxa"/>
          </w:tcPr>
          <w:p w14:paraId="05D6648D" w14:textId="77777777" w:rsidR="00C94F2D" w:rsidRPr="00261EAB" w:rsidRDefault="00C94F2D" w:rsidP="00A7406F">
            <w:pPr>
              <w:rPr>
                <w:sz w:val="18"/>
                <w:szCs w:val="18"/>
              </w:rPr>
            </w:pPr>
            <w:r w:rsidRPr="00261EAB">
              <w:rPr>
                <w:sz w:val="18"/>
                <w:szCs w:val="18"/>
              </w:rPr>
              <w:t>• What was the primary outcome and effect size?</w:t>
            </w:r>
            <w:r w:rsidRPr="00261EAB">
              <w:rPr>
                <w:sz w:val="18"/>
                <w:szCs w:val="18"/>
              </w:rPr>
              <w:br/>
              <w:t>• Were confidence intervals (CIs) and p-values reported?</w:t>
            </w:r>
            <w:r w:rsidRPr="00261EAB">
              <w:rPr>
                <w:sz w:val="18"/>
                <w:szCs w:val="18"/>
              </w:rPr>
              <w:br/>
              <w:t>• What is the clinical significance (ARR, RRR, NNT)?</w:t>
            </w:r>
            <w:r w:rsidRPr="00261EAB">
              <w:rPr>
                <w:sz w:val="18"/>
                <w:szCs w:val="18"/>
              </w:rPr>
              <w:br/>
              <w:t>• Were harms/adverse events reported?</w:t>
            </w:r>
          </w:p>
        </w:tc>
        <w:tc>
          <w:tcPr>
            <w:tcW w:w="9546" w:type="dxa"/>
          </w:tcPr>
          <w:p w14:paraId="7DB80F85" w14:textId="77777777" w:rsidR="00C94F2D" w:rsidRPr="00C94F2D" w:rsidRDefault="00C94F2D" w:rsidP="00694BF6">
            <w:pPr>
              <w:pStyle w:val="p1"/>
              <w:numPr>
                <w:ilvl w:val="0"/>
                <w:numId w:val="65"/>
              </w:numPr>
              <w:tabs>
                <w:tab w:val="clear" w:pos="720"/>
                <w:tab w:val="num" w:pos="339"/>
              </w:tabs>
              <w:spacing w:before="0" w:beforeAutospacing="0" w:after="0" w:afterAutospacing="0"/>
              <w:ind w:hanging="651"/>
              <w:rPr>
                <w:sz w:val="18"/>
                <w:szCs w:val="18"/>
              </w:rPr>
            </w:pPr>
            <w:r w:rsidRPr="00C94F2D">
              <w:rPr>
                <w:rStyle w:val="s1"/>
                <w:b/>
                <w:bCs/>
                <w:sz w:val="18"/>
                <w:szCs w:val="18"/>
              </w:rPr>
              <w:t>Primary outcome:</w:t>
            </w:r>
            <w:r w:rsidRPr="00C94F2D">
              <w:rPr>
                <w:sz w:val="18"/>
                <w:szCs w:val="18"/>
              </w:rPr>
              <w:t xml:space="preserve"> Expired O₂ concentration (</w:t>
            </w:r>
            <w:proofErr w:type="spellStart"/>
            <w:r w:rsidRPr="00C94F2D">
              <w:rPr>
                <w:sz w:val="18"/>
                <w:szCs w:val="18"/>
              </w:rPr>
              <w:t>FeO</w:t>
            </w:r>
            <w:proofErr w:type="spellEnd"/>
            <w:r w:rsidRPr="00C94F2D">
              <w:rPr>
                <w:sz w:val="18"/>
                <w:szCs w:val="18"/>
              </w:rPr>
              <w:t>₂) after 3 minutes.</w:t>
            </w:r>
          </w:p>
          <w:p w14:paraId="19386F4F" w14:textId="77777777" w:rsidR="00C94F2D" w:rsidRPr="00C94F2D" w:rsidRDefault="00C94F2D" w:rsidP="00694BF6">
            <w:pPr>
              <w:pStyle w:val="p1"/>
              <w:numPr>
                <w:ilvl w:val="1"/>
                <w:numId w:val="65"/>
              </w:numPr>
              <w:tabs>
                <w:tab w:val="num" w:pos="339"/>
              </w:tabs>
              <w:spacing w:before="0" w:beforeAutospacing="0" w:after="0" w:afterAutospacing="0"/>
              <w:ind w:hanging="651"/>
              <w:rPr>
                <w:sz w:val="18"/>
                <w:szCs w:val="18"/>
              </w:rPr>
            </w:pPr>
            <w:r w:rsidRPr="00C94F2D">
              <w:rPr>
                <w:sz w:val="18"/>
                <w:szCs w:val="18"/>
              </w:rPr>
              <w:t>BVM &gt; NRM (≈72% vs 52% NW; 66% vs 52% OW/OB; 65% vs 39% children).</w:t>
            </w:r>
          </w:p>
          <w:p w14:paraId="2512E545" w14:textId="77777777" w:rsidR="00C94F2D" w:rsidRPr="00C94F2D" w:rsidRDefault="00C94F2D" w:rsidP="00694BF6">
            <w:pPr>
              <w:pStyle w:val="p1"/>
              <w:numPr>
                <w:ilvl w:val="1"/>
                <w:numId w:val="65"/>
              </w:numPr>
              <w:tabs>
                <w:tab w:val="num" w:pos="339"/>
              </w:tabs>
              <w:spacing w:before="0" w:beforeAutospacing="0" w:after="0" w:afterAutospacing="0"/>
              <w:ind w:hanging="651"/>
              <w:rPr>
                <w:sz w:val="18"/>
                <w:szCs w:val="18"/>
              </w:rPr>
            </w:pPr>
            <w:r w:rsidRPr="00C94F2D">
              <w:rPr>
                <w:sz w:val="18"/>
                <w:szCs w:val="18"/>
              </w:rPr>
              <w:t>BVM+PEEP &gt; BVM (≈3–7% higher). All P &lt; .05.</w:t>
            </w:r>
          </w:p>
          <w:p w14:paraId="60F24B0D" w14:textId="77777777" w:rsidR="00C94F2D" w:rsidRPr="00C94F2D" w:rsidRDefault="00C94F2D" w:rsidP="00694BF6">
            <w:pPr>
              <w:pStyle w:val="p1"/>
              <w:numPr>
                <w:ilvl w:val="0"/>
                <w:numId w:val="65"/>
              </w:numPr>
              <w:tabs>
                <w:tab w:val="clear" w:pos="720"/>
                <w:tab w:val="num" w:pos="339"/>
              </w:tabs>
              <w:spacing w:before="0" w:beforeAutospacing="0" w:after="0" w:afterAutospacing="0"/>
              <w:ind w:hanging="651"/>
              <w:rPr>
                <w:sz w:val="18"/>
                <w:szCs w:val="18"/>
              </w:rPr>
            </w:pPr>
            <w:r w:rsidRPr="00C94F2D">
              <w:rPr>
                <w:rStyle w:val="s1"/>
                <w:b/>
                <w:bCs/>
                <w:sz w:val="18"/>
                <w:szCs w:val="18"/>
              </w:rPr>
              <w:t>Confidence intervals / p-values:</w:t>
            </w:r>
            <w:r w:rsidRPr="00C94F2D">
              <w:rPr>
                <w:sz w:val="18"/>
                <w:szCs w:val="18"/>
              </w:rPr>
              <w:t xml:space="preserve"> Reported and statistically significant across comparisons.</w:t>
            </w:r>
          </w:p>
          <w:p w14:paraId="4A361A66" w14:textId="77777777" w:rsidR="00C94F2D" w:rsidRPr="00C94F2D" w:rsidRDefault="00C94F2D" w:rsidP="00694BF6">
            <w:pPr>
              <w:pStyle w:val="p1"/>
              <w:numPr>
                <w:ilvl w:val="0"/>
                <w:numId w:val="65"/>
              </w:numPr>
              <w:tabs>
                <w:tab w:val="clear" w:pos="720"/>
                <w:tab w:val="num" w:pos="339"/>
              </w:tabs>
              <w:spacing w:before="0" w:beforeAutospacing="0" w:after="0" w:afterAutospacing="0"/>
              <w:ind w:hanging="651"/>
              <w:rPr>
                <w:sz w:val="18"/>
                <w:szCs w:val="18"/>
              </w:rPr>
            </w:pPr>
            <w:r w:rsidRPr="00C94F2D">
              <w:rPr>
                <w:rStyle w:val="s1"/>
                <w:b/>
                <w:bCs/>
                <w:sz w:val="18"/>
                <w:szCs w:val="18"/>
              </w:rPr>
              <w:t>Clinical significance:</w:t>
            </w:r>
            <w:r w:rsidRPr="00C94F2D">
              <w:rPr>
                <w:sz w:val="18"/>
                <w:szCs w:val="18"/>
              </w:rPr>
              <w:t xml:space="preserve"> While ARR/RRR/NNT not directly applicable (physiologic outcomes, not clinical events), effect sizes are meaningful: ~20% higher </w:t>
            </w:r>
            <w:proofErr w:type="spellStart"/>
            <w:r w:rsidRPr="00C94F2D">
              <w:rPr>
                <w:sz w:val="18"/>
                <w:szCs w:val="18"/>
              </w:rPr>
              <w:t>FeO</w:t>
            </w:r>
            <w:proofErr w:type="spellEnd"/>
            <w:r w:rsidRPr="00C94F2D">
              <w:rPr>
                <w:sz w:val="18"/>
                <w:szCs w:val="18"/>
              </w:rPr>
              <w:t xml:space="preserve">₂ with BVM vs </w:t>
            </w:r>
            <w:proofErr w:type="gramStart"/>
            <w:r w:rsidRPr="00C94F2D">
              <w:rPr>
                <w:sz w:val="18"/>
                <w:szCs w:val="18"/>
              </w:rPr>
              <w:t>NRM, and</w:t>
            </w:r>
            <w:proofErr w:type="gramEnd"/>
            <w:r w:rsidRPr="00C94F2D">
              <w:rPr>
                <w:sz w:val="18"/>
                <w:szCs w:val="18"/>
              </w:rPr>
              <w:t xml:space="preserve"> added 3–7% gain with PEEP. ORI decline delayed ~40–50 sec in OW/OB and children—potentially more safe apnea time.</w:t>
            </w:r>
          </w:p>
          <w:p w14:paraId="3BB2D74A" w14:textId="02AC3A71" w:rsidR="00C94F2D" w:rsidRPr="00C94F2D" w:rsidRDefault="00C94F2D" w:rsidP="00694BF6">
            <w:pPr>
              <w:pStyle w:val="p1"/>
              <w:numPr>
                <w:ilvl w:val="0"/>
                <w:numId w:val="65"/>
              </w:numPr>
              <w:tabs>
                <w:tab w:val="clear" w:pos="720"/>
                <w:tab w:val="num" w:pos="339"/>
              </w:tabs>
              <w:spacing w:before="0" w:beforeAutospacing="0" w:after="0" w:afterAutospacing="0"/>
              <w:ind w:hanging="651"/>
              <w:rPr>
                <w:sz w:val="18"/>
                <w:szCs w:val="18"/>
              </w:rPr>
            </w:pPr>
            <w:r w:rsidRPr="00C94F2D">
              <w:rPr>
                <w:rStyle w:val="s1"/>
                <w:b/>
                <w:bCs/>
                <w:sz w:val="18"/>
                <w:szCs w:val="18"/>
              </w:rPr>
              <w:t>Harms/adverse events:</w:t>
            </w:r>
            <w:r w:rsidRPr="00C94F2D">
              <w:rPr>
                <w:sz w:val="18"/>
                <w:szCs w:val="18"/>
              </w:rPr>
              <w:t xml:space="preserve"> None reported; all subjects healthy volunteers.</w:t>
            </w:r>
          </w:p>
          <w:p w14:paraId="0CDC300B" w14:textId="29A8002B" w:rsidR="00C94F2D" w:rsidRPr="00261EAB" w:rsidRDefault="00C94F2D" w:rsidP="00694BF6">
            <w:pPr>
              <w:pStyle w:val="p3"/>
              <w:spacing w:before="0" w:beforeAutospacing="0" w:after="0" w:afterAutospacing="0"/>
              <w:rPr>
                <w:sz w:val="18"/>
                <w:szCs w:val="18"/>
              </w:rPr>
            </w:pPr>
            <w:r w:rsidRPr="00C94F2D">
              <w:rPr>
                <w:rStyle w:val="s2"/>
                <w:rFonts w:eastAsiaTheme="majorEastAsia"/>
                <w:b/>
                <w:bCs/>
                <w:sz w:val="18"/>
                <w:szCs w:val="18"/>
              </w:rPr>
              <w:t>Bottom line on results:</w:t>
            </w:r>
            <w:r w:rsidRPr="00C94F2D">
              <w:rPr>
                <w:sz w:val="18"/>
                <w:szCs w:val="18"/>
              </w:rPr>
              <w:t xml:space="preserve"> Clear physiologic benefit of BVM (especially with PEEP) over NRM.</w:t>
            </w:r>
          </w:p>
        </w:tc>
      </w:tr>
      <w:tr w:rsidR="00694BF6" w:rsidRPr="00C94F2D" w14:paraId="35271D71" w14:textId="77777777" w:rsidTr="00694BF6">
        <w:tc>
          <w:tcPr>
            <w:tcW w:w="1345" w:type="dxa"/>
          </w:tcPr>
          <w:p w14:paraId="0C3E31B5" w14:textId="265432AC" w:rsidR="00C94F2D" w:rsidRPr="00261EAB" w:rsidRDefault="00C94F2D" w:rsidP="00A7406F">
            <w:pPr>
              <w:rPr>
                <w:sz w:val="18"/>
                <w:szCs w:val="18"/>
              </w:rPr>
            </w:pPr>
            <w:r w:rsidRPr="00261EAB">
              <w:rPr>
                <w:sz w:val="18"/>
                <w:szCs w:val="18"/>
              </w:rPr>
              <w:t>3.Applicability (External Validity)</w:t>
            </w:r>
          </w:p>
        </w:tc>
        <w:tc>
          <w:tcPr>
            <w:tcW w:w="2520" w:type="dxa"/>
          </w:tcPr>
          <w:p w14:paraId="4905930B" w14:textId="77777777" w:rsidR="00C94F2D" w:rsidRPr="00261EAB" w:rsidRDefault="00C94F2D" w:rsidP="00A7406F">
            <w:pPr>
              <w:rPr>
                <w:sz w:val="18"/>
                <w:szCs w:val="18"/>
              </w:rPr>
            </w:pPr>
            <w:r w:rsidRPr="00261EAB">
              <w:rPr>
                <w:sz w:val="18"/>
                <w:szCs w:val="18"/>
              </w:rPr>
              <w:t xml:space="preserve">• Is the study population </w:t>
            </w:r>
            <w:proofErr w:type="gramStart"/>
            <w:r w:rsidRPr="00261EAB">
              <w:rPr>
                <w:sz w:val="18"/>
                <w:szCs w:val="18"/>
              </w:rPr>
              <w:t>similar to</w:t>
            </w:r>
            <w:proofErr w:type="gramEnd"/>
            <w:r w:rsidRPr="00261EAB">
              <w:rPr>
                <w:sz w:val="18"/>
                <w:szCs w:val="18"/>
              </w:rPr>
              <w:t xml:space="preserve"> ours?</w:t>
            </w:r>
            <w:r w:rsidRPr="00261EAB">
              <w:rPr>
                <w:sz w:val="18"/>
                <w:szCs w:val="18"/>
              </w:rPr>
              <w:br/>
              <w:t>• Is the intervention feasible in our setting?</w:t>
            </w:r>
            <w:r w:rsidRPr="00261EAB">
              <w:rPr>
                <w:sz w:val="18"/>
                <w:szCs w:val="18"/>
              </w:rPr>
              <w:br/>
              <w:t>• Were all important patient outcomes considered?</w:t>
            </w:r>
            <w:r w:rsidRPr="00261EAB">
              <w:rPr>
                <w:sz w:val="18"/>
                <w:szCs w:val="18"/>
              </w:rPr>
              <w:br/>
              <w:t>• Bottom Line: Should this study change my practice?</w:t>
            </w:r>
          </w:p>
        </w:tc>
        <w:tc>
          <w:tcPr>
            <w:tcW w:w="9546" w:type="dxa"/>
          </w:tcPr>
          <w:p w14:paraId="364AC6BB" w14:textId="77777777" w:rsidR="00C94F2D" w:rsidRPr="00C94F2D" w:rsidRDefault="00C94F2D" w:rsidP="00694BF6">
            <w:pPr>
              <w:pStyle w:val="p1"/>
              <w:numPr>
                <w:ilvl w:val="0"/>
                <w:numId w:val="66"/>
              </w:numPr>
              <w:spacing w:before="0" w:beforeAutospacing="0" w:after="0" w:afterAutospacing="0"/>
              <w:ind w:left="339" w:hanging="270"/>
              <w:rPr>
                <w:sz w:val="18"/>
                <w:szCs w:val="18"/>
              </w:rPr>
            </w:pPr>
            <w:r w:rsidRPr="00C94F2D">
              <w:rPr>
                <w:rStyle w:val="s1"/>
                <w:b/>
                <w:bCs/>
                <w:sz w:val="18"/>
                <w:szCs w:val="18"/>
              </w:rPr>
              <w:t>Study population vs ours:</w:t>
            </w:r>
            <w:r w:rsidRPr="00C94F2D">
              <w:rPr>
                <w:sz w:val="18"/>
                <w:szCs w:val="18"/>
              </w:rPr>
              <w:t xml:space="preserve"> Lung-healthy adults and children, not critically ill patients. Generalizable to elective OR preoxygenation but less so to hypoxemic ED/ICU populations.</w:t>
            </w:r>
          </w:p>
          <w:p w14:paraId="6DB6CA40" w14:textId="77777777" w:rsidR="00C94F2D" w:rsidRPr="00C94F2D" w:rsidRDefault="00C94F2D" w:rsidP="00694BF6">
            <w:pPr>
              <w:pStyle w:val="p1"/>
              <w:numPr>
                <w:ilvl w:val="0"/>
                <w:numId w:val="66"/>
              </w:numPr>
              <w:spacing w:before="0" w:beforeAutospacing="0" w:after="0" w:afterAutospacing="0"/>
              <w:ind w:left="339" w:hanging="270"/>
              <w:rPr>
                <w:sz w:val="18"/>
                <w:szCs w:val="18"/>
              </w:rPr>
            </w:pPr>
            <w:r w:rsidRPr="00C94F2D">
              <w:rPr>
                <w:rStyle w:val="s1"/>
                <w:b/>
                <w:bCs/>
                <w:sz w:val="18"/>
                <w:szCs w:val="18"/>
              </w:rPr>
              <w:t>Feasibility:</w:t>
            </w:r>
            <w:r w:rsidRPr="00C94F2D">
              <w:rPr>
                <w:sz w:val="18"/>
                <w:szCs w:val="18"/>
              </w:rPr>
              <w:t xml:space="preserve"> BVM+PEEP is widely available and feasible, especially if NIV not accessible. Requires good mask seal and trained operator.</w:t>
            </w:r>
          </w:p>
          <w:p w14:paraId="1879DCAF" w14:textId="77777777" w:rsidR="00C94F2D" w:rsidRPr="00C94F2D" w:rsidRDefault="00C94F2D" w:rsidP="00694BF6">
            <w:pPr>
              <w:pStyle w:val="p1"/>
              <w:numPr>
                <w:ilvl w:val="0"/>
                <w:numId w:val="66"/>
              </w:numPr>
              <w:spacing w:before="0" w:beforeAutospacing="0" w:after="0" w:afterAutospacing="0"/>
              <w:ind w:left="339" w:hanging="270"/>
              <w:rPr>
                <w:sz w:val="18"/>
                <w:szCs w:val="18"/>
              </w:rPr>
            </w:pPr>
            <w:r w:rsidRPr="00C94F2D">
              <w:rPr>
                <w:rStyle w:val="s1"/>
                <w:b/>
                <w:bCs/>
                <w:sz w:val="18"/>
                <w:szCs w:val="18"/>
              </w:rPr>
              <w:t xml:space="preserve">Patient outcomes </w:t>
            </w:r>
            <w:proofErr w:type="gramStart"/>
            <w:r w:rsidRPr="00C94F2D">
              <w:rPr>
                <w:rStyle w:val="s1"/>
                <w:b/>
                <w:bCs/>
                <w:sz w:val="18"/>
                <w:szCs w:val="18"/>
              </w:rPr>
              <w:t>considered?</w:t>
            </w:r>
            <w:proofErr w:type="gramEnd"/>
            <w:r w:rsidRPr="00C94F2D">
              <w:rPr>
                <w:sz w:val="18"/>
                <w:szCs w:val="18"/>
              </w:rPr>
              <w:t xml:space="preserve"> Surrogates (</w:t>
            </w:r>
            <w:proofErr w:type="spellStart"/>
            <w:r w:rsidRPr="00C94F2D">
              <w:rPr>
                <w:sz w:val="18"/>
                <w:szCs w:val="18"/>
              </w:rPr>
              <w:t>FeO</w:t>
            </w:r>
            <w:proofErr w:type="spellEnd"/>
            <w:r w:rsidRPr="00C94F2D">
              <w:rPr>
                <w:sz w:val="18"/>
                <w:szCs w:val="18"/>
              </w:rPr>
              <w:t>₂, ORI, EIT ventilation), not direct clinical outcomes like desaturation events or intubation success.</w:t>
            </w:r>
          </w:p>
          <w:p w14:paraId="1613DA8D" w14:textId="77777777" w:rsidR="00C94F2D" w:rsidRPr="00C94F2D" w:rsidRDefault="00C94F2D" w:rsidP="00694BF6">
            <w:pPr>
              <w:pStyle w:val="p1"/>
              <w:numPr>
                <w:ilvl w:val="0"/>
                <w:numId w:val="66"/>
              </w:numPr>
              <w:spacing w:before="0" w:beforeAutospacing="0" w:after="0" w:afterAutospacing="0"/>
              <w:ind w:left="339" w:hanging="270"/>
              <w:rPr>
                <w:sz w:val="18"/>
                <w:szCs w:val="18"/>
              </w:rPr>
            </w:pPr>
            <w:r w:rsidRPr="00C94F2D">
              <w:rPr>
                <w:rStyle w:val="s1"/>
                <w:b/>
                <w:bCs/>
                <w:sz w:val="18"/>
                <w:szCs w:val="18"/>
              </w:rPr>
              <w:t>Practice change?</w:t>
            </w:r>
            <w:r w:rsidRPr="00C94F2D">
              <w:rPr>
                <w:sz w:val="18"/>
                <w:szCs w:val="18"/>
              </w:rPr>
              <w:t xml:space="preserve"> Supports using BVM (preferably with PEEP) over NRM when preparing for intubation, especially in pediatrics and obese patients. Direct impact on hypoxemia rates still unproven.</w:t>
            </w:r>
          </w:p>
          <w:p w14:paraId="75E6DFDD" w14:textId="77777777" w:rsidR="00C94F2D" w:rsidRPr="00261EAB" w:rsidRDefault="00C94F2D" w:rsidP="00694BF6">
            <w:pPr>
              <w:spacing w:after="0" w:line="240" w:lineRule="auto"/>
              <w:rPr>
                <w:sz w:val="18"/>
                <w:szCs w:val="18"/>
              </w:rPr>
            </w:pPr>
          </w:p>
        </w:tc>
      </w:tr>
    </w:tbl>
    <w:p w14:paraId="2820EB98" w14:textId="62B5DF64" w:rsidR="00CB7F52" w:rsidRDefault="00CB7F52" w:rsidP="00036860">
      <w:pPr>
        <w:sectPr w:rsidR="00CB7F52" w:rsidSect="00C516D8">
          <w:pgSz w:w="15840" w:h="12240" w:orient="landscape"/>
          <w:pgMar w:top="1152" w:right="1152" w:bottom="1440" w:left="1152" w:header="720" w:footer="720" w:gutter="0"/>
          <w:cols w:space="720"/>
          <w:docGrid w:linePitch="360"/>
        </w:sectPr>
      </w:pPr>
    </w:p>
    <w:p w14:paraId="12ED440A" w14:textId="77777777" w:rsidR="00065888" w:rsidRDefault="00065888" w:rsidP="00880650">
      <w:pPr>
        <w:pStyle w:val="Heading1"/>
        <w:sectPr w:rsidR="00065888" w:rsidSect="003B4772">
          <w:pgSz w:w="12240" w:h="15840"/>
          <w:pgMar w:top="1440" w:right="1800" w:bottom="1440" w:left="1800" w:header="720" w:footer="720" w:gutter="0"/>
          <w:cols w:space="720"/>
          <w:docGrid w:linePitch="360"/>
        </w:sectPr>
      </w:pPr>
    </w:p>
    <w:p w14:paraId="74BE64D8" w14:textId="69C3620A" w:rsidR="003B4772" w:rsidRPr="003B4772" w:rsidRDefault="00190B10" w:rsidP="00880650">
      <w:pPr>
        <w:pStyle w:val="Heading1"/>
      </w:pPr>
      <w:r>
        <w:rPr>
          <w:noProof/>
          <w14:ligatures w14:val="standardContextual"/>
        </w:rPr>
        <mc:AlternateContent>
          <mc:Choice Requires="wps">
            <w:drawing>
              <wp:anchor distT="0" distB="0" distL="114300" distR="114300" simplePos="0" relativeHeight="251659264" behindDoc="0" locked="0" layoutInCell="1" allowOverlap="1" wp14:anchorId="41D78C77" wp14:editId="407220D3">
                <wp:simplePos x="0" y="0"/>
                <wp:positionH relativeFrom="column">
                  <wp:posOffset>-230659</wp:posOffset>
                </wp:positionH>
                <wp:positionV relativeFrom="paragraph">
                  <wp:posOffset>387007</wp:posOffset>
                </wp:positionV>
                <wp:extent cx="5634681" cy="7941276"/>
                <wp:effectExtent l="0" t="0" r="17145" b="9525"/>
                <wp:wrapNone/>
                <wp:docPr id="2092785038" name="Text Box 6"/>
                <wp:cNvGraphicFramePr/>
                <a:graphic xmlns:a="http://schemas.openxmlformats.org/drawingml/2006/main">
                  <a:graphicData uri="http://schemas.microsoft.com/office/word/2010/wordprocessingShape">
                    <wps:wsp>
                      <wps:cNvSpPr txBox="1"/>
                      <wps:spPr>
                        <a:xfrm>
                          <a:off x="0" y="0"/>
                          <a:ext cx="5634681" cy="7941276"/>
                        </a:xfrm>
                        <a:prstGeom prst="rect">
                          <a:avLst/>
                        </a:prstGeom>
                        <a:solidFill>
                          <a:schemeClr val="lt1"/>
                        </a:solidFill>
                        <a:ln w="6350">
                          <a:solidFill>
                            <a:prstClr val="black"/>
                          </a:solidFill>
                        </a:ln>
                      </wps:spPr>
                      <wps:txbx>
                        <w:txbxContent>
                          <w:p w14:paraId="65D80006" w14:textId="6ED8F4C2" w:rsidR="00190B10" w:rsidRDefault="00190B10" w:rsidP="00D2558A">
                            <w:pPr>
                              <w:pStyle w:val="Heading2"/>
                              <w:jc w:val="center"/>
                            </w:pPr>
                            <w:r w:rsidRPr="000E6720">
                              <w:t>Quick Start Toolkit: Critical Appraisal Made Practical</w:t>
                            </w:r>
                          </w:p>
                          <w:p w14:paraId="63C007EF" w14:textId="77777777" w:rsidR="000E6720" w:rsidRPr="000E6720" w:rsidRDefault="000E6720" w:rsidP="000E6720"/>
                          <w:p w14:paraId="6D7B3CFE" w14:textId="2BDFD609" w:rsidR="000E6720" w:rsidRPr="00AF53EB" w:rsidRDefault="00190B10" w:rsidP="000E6720">
                            <w:pPr>
                              <w:pStyle w:val="Heading3"/>
                              <w:spacing w:before="0" w:line="240" w:lineRule="auto"/>
                              <w:rPr>
                                <w:color w:val="156082" w:themeColor="accent1"/>
                                <w:sz w:val="20"/>
                                <w:szCs w:val="20"/>
                              </w:rPr>
                            </w:pPr>
                            <w:r w:rsidRPr="00AF53EB">
                              <w:rPr>
                                <w:color w:val="156082" w:themeColor="accent1"/>
                                <w:sz w:val="20"/>
                                <w:szCs w:val="20"/>
                              </w:rPr>
                              <w:t>1. Why This Matters</w:t>
                            </w:r>
                          </w:p>
                          <w:p w14:paraId="26FA2326"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ACGME Requirement 4.15 → Journal club counts as scholarship.</w:t>
                            </w:r>
                          </w:p>
                          <w:p w14:paraId="652340D8"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PBLI Milestone 1 → Builds from finding evidence → appraising bias → applying to patients.</w:t>
                            </w:r>
                          </w:p>
                          <w:p w14:paraId="147B88B8"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 xml:space="preserve">Two-hour flipped model: 1 </w:t>
                            </w:r>
                            <w:proofErr w:type="spellStart"/>
                            <w:r w:rsidRPr="003B4772">
                              <w:rPr>
                                <w:sz w:val="20"/>
                                <w:szCs w:val="20"/>
                              </w:rPr>
                              <w:t>hr</w:t>
                            </w:r>
                            <w:proofErr w:type="spellEnd"/>
                            <w:r w:rsidRPr="003B4772">
                              <w:rPr>
                                <w:sz w:val="20"/>
                                <w:szCs w:val="20"/>
                              </w:rPr>
                              <w:t xml:space="preserve"> pre-work + 1 </w:t>
                            </w:r>
                            <w:proofErr w:type="spellStart"/>
                            <w:r w:rsidRPr="003B4772">
                              <w:rPr>
                                <w:sz w:val="20"/>
                                <w:szCs w:val="20"/>
                              </w:rPr>
                              <w:t>hr</w:t>
                            </w:r>
                            <w:proofErr w:type="spellEnd"/>
                            <w:r w:rsidRPr="003B4772">
                              <w:rPr>
                                <w:sz w:val="20"/>
                                <w:szCs w:val="20"/>
                              </w:rPr>
                              <w:t xml:space="preserve"> session.</w:t>
                            </w:r>
                          </w:p>
                          <w:p w14:paraId="6238C40C" w14:textId="5E73F43F"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2. Pre-Work: Critical Appraisal Checklist</w:t>
                            </w:r>
                          </w:p>
                          <w:p w14:paraId="36C5EBF5" w14:textId="77777777" w:rsidR="00190B10" w:rsidRPr="003B4772" w:rsidRDefault="00190B10" w:rsidP="000A4E8E">
                            <w:pPr>
                              <w:spacing w:line="240" w:lineRule="auto"/>
                              <w:rPr>
                                <w:sz w:val="20"/>
                                <w:szCs w:val="20"/>
                              </w:rPr>
                            </w:pPr>
                            <w:r w:rsidRPr="003B4772">
                              <w:rPr>
                                <w:sz w:val="20"/>
                                <w:szCs w:val="20"/>
                              </w:rPr>
                              <w:t>Three guiding EBM questions residents answer before session:</w:t>
                            </w:r>
                          </w:p>
                          <w:tbl>
                            <w:tblPr>
                              <w:tblStyle w:val="PlainTable2"/>
                              <w:tblW w:w="0" w:type="auto"/>
                              <w:tblLook w:val="04A0" w:firstRow="1" w:lastRow="0" w:firstColumn="1" w:lastColumn="0" w:noHBand="0" w:noVBand="1"/>
                            </w:tblPr>
                            <w:tblGrid>
                              <w:gridCol w:w="2160"/>
                              <w:gridCol w:w="6300"/>
                            </w:tblGrid>
                            <w:tr w:rsidR="00190B10" w:rsidRPr="003B4772" w14:paraId="443196A7" w14:textId="77777777" w:rsidTr="007B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7F7F7F" w:themeColor="text1" w:themeTint="80"/>
                                    <w:left w:val="single" w:sz="8" w:space="0" w:color="A6A6A6" w:themeColor="background1" w:themeShade="A6"/>
                                    <w:bottom w:val="single" w:sz="12" w:space="0" w:color="auto"/>
                                  </w:tcBorders>
                                  <w:shd w:val="clear" w:color="auto" w:fill="DAE9F7" w:themeFill="text2" w:themeFillTint="1A"/>
                                </w:tcPr>
                                <w:p w14:paraId="61F9E98C" w14:textId="77777777" w:rsidR="00190B10" w:rsidRPr="003B4772" w:rsidRDefault="00190B10" w:rsidP="00752F05">
                                  <w:pPr>
                                    <w:spacing w:before="40" w:after="40" w:line="240" w:lineRule="auto"/>
                                    <w:rPr>
                                      <w:sz w:val="20"/>
                                      <w:szCs w:val="20"/>
                                    </w:rPr>
                                  </w:pPr>
                                  <w:r w:rsidRPr="003B4772">
                                    <w:rPr>
                                      <w:sz w:val="20"/>
                                      <w:szCs w:val="20"/>
                                    </w:rPr>
                                    <w:t>Domain</w:t>
                                  </w:r>
                                </w:p>
                              </w:tc>
                              <w:tc>
                                <w:tcPr>
                                  <w:tcW w:w="6300" w:type="dxa"/>
                                  <w:tcBorders>
                                    <w:top w:val="single" w:sz="4" w:space="0" w:color="7F7F7F" w:themeColor="text1" w:themeTint="80"/>
                                    <w:bottom w:val="single" w:sz="12" w:space="0" w:color="auto"/>
                                    <w:right w:val="single" w:sz="8" w:space="0" w:color="A6A6A6" w:themeColor="background1" w:themeShade="A6"/>
                                  </w:tcBorders>
                                  <w:shd w:val="clear" w:color="auto" w:fill="DAE9F7" w:themeFill="text2" w:themeFillTint="1A"/>
                                </w:tcPr>
                                <w:p w14:paraId="4B818E01" w14:textId="77777777" w:rsidR="00190B10" w:rsidRPr="003B4772" w:rsidRDefault="00190B10" w:rsidP="00752F05">
                                  <w:pPr>
                                    <w:spacing w:before="40" w:after="4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3B4772">
                                    <w:rPr>
                                      <w:sz w:val="20"/>
                                      <w:szCs w:val="20"/>
                                    </w:rPr>
                                    <w:t>Guiding Questions</w:t>
                                  </w:r>
                                </w:p>
                              </w:tc>
                            </w:tr>
                            <w:tr w:rsidR="00190B10" w:rsidRPr="003B4772" w14:paraId="3923ABD5" w14:textId="77777777" w:rsidTr="007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12" w:space="0" w:color="auto"/>
                                    <w:left w:val="single" w:sz="8" w:space="0" w:color="A6A6A6" w:themeColor="background1" w:themeShade="A6"/>
                                  </w:tcBorders>
                                  <w:shd w:val="clear" w:color="auto" w:fill="F2F2F2" w:themeFill="background1" w:themeFillShade="F2"/>
                                </w:tcPr>
                                <w:p w14:paraId="3D6D59C9" w14:textId="77777777" w:rsidR="00190B10" w:rsidRPr="003B4772" w:rsidRDefault="00190B10" w:rsidP="00752F05">
                                  <w:pPr>
                                    <w:spacing w:before="40" w:after="40" w:line="240" w:lineRule="auto"/>
                                    <w:rPr>
                                      <w:sz w:val="20"/>
                                      <w:szCs w:val="20"/>
                                    </w:rPr>
                                  </w:pPr>
                                  <w:r w:rsidRPr="003B4772">
                                    <w:rPr>
                                      <w:sz w:val="20"/>
                                      <w:szCs w:val="20"/>
                                    </w:rPr>
                                    <w:t>Validity</w:t>
                                  </w:r>
                                </w:p>
                              </w:tc>
                              <w:tc>
                                <w:tcPr>
                                  <w:tcW w:w="6300" w:type="dxa"/>
                                  <w:tcBorders>
                                    <w:top w:val="single" w:sz="12" w:space="0" w:color="auto"/>
                                    <w:right w:val="single" w:sz="8" w:space="0" w:color="A6A6A6" w:themeColor="background1" w:themeShade="A6"/>
                                  </w:tcBorders>
                                  <w:shd w:val="clear" w:color="auto" w:fill="F2F2F2" w:themeFill="background1" w:themeFillShade="F2"/>
                                </w:tcPr>
                                <w:p w14:paraId="271A5B0C"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Randomization? Blinding? Baseline similarity? ITT analysis?</w:t>
                                  </w:r>
                                </w:p>
                              </w:tc>
                            </w:tr>
                            <w:tr w:rsidR="00190B10" w:rsidRPr="003B4772" w14:paraId="7A35743F" w14:textId="77777777" w:rsidTr="007B6377">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6A6A6" w:themeColor="background1" w:themeShade="A6"/>
                                  </w:tcBorders>
                                  <w:shd w:val="clear" w:color="auto" w:fill="F2F2F2" w:themeFill="background1" w:themeFillShade="F2"/>
                                </w:tcPr>
                                <w:p w14:paraId="2883E75E" w14:textId="77777777" w:rsidR="00190B10" w:rsidRPr="003B4772" w:rsidRDefault="00190B10" w:rsidP="00752F05">
                                  <w:pPr>
                                    <w:spacing w:before="40" w:after="40" w:line="240" w:lineRule="auto"/>
                                    <w:rPr>
                                      <w:sz w:val="20"/>
                                      <w:szCs w:val="20"/>
                                    </w:rPr>
                                  </w:pPr>
                                  <w:r w:rsidRPr="003B4772">
                                    <w:rPr>
                                      <w:sz w:val="20"/>
                                      <w:szCs w:val="20"/>
                                    </w:rPr>
                                    <w:t>Results</w:t>
                                  </w:r>
                                </w:p>
                              </w:tc>
                              <w:tc>
                                <w:tcPr>
                                  <w:tcW w:w="6300" w:type="dxa"/>
                                  <w:tcBorders>
                                    <w:right w:val="single" w:sz="8" w:space="0" w:color="A6A6A6" w:themeColor="background1" w:themeShade="A6"/>
                                  </w:tcBorders>
                                  <w:shd w:val="clear" w:color="auto" w:fill="F2F2F2" w:themeFill="background1" w:themeFillShade="F2"/>
                                </w:tcPr>
                                <w:p w14:paraId="674FC495"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Effect size? CI/p-value? ARR, RRR, NNT? Harms reported?</w:t>
                                  </w:r>
                                </w:p>
                              </w:tc>
                            </w:tr>
                            <w:tr w:rsidR="00190B10" w:rsidRPr="003B4772" w14:paraId="71E656FE" w14:textId="77777777" w:rsidTr="007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6A6A6" w:themeColor="background1" w:themeShade="A6"/>
                                  </w:tcBorders>
                                  <w:shd w:val="clear" w:color="auto" w:fill="F2F2F2" w:themeFill="background1" w:themeFillShade="F2"/>
                                </w:tcPr>
                                <w:p w14:paraId="6FB99935" w14:textId="77777777" w:rsidR="00190B10" w:rsidRPr="003B4772" w:rsidRDefault="00190B10" w:rsidP="00752F05">
                                  <w:pPr>
                                    <w:spacing w:before="40" w:after="40" w:line="240" w:lineRule="auto"/>
                                    <w:rPr>
                                      <w:sz w:val="20"/>
                                      <w:szCs w:val="20"/>
                                    </w:rPr>
                                  </w:pPr>
                                  <w:r w:rsidRPr="003B4772">
                                    <w:rPr>
                                      <w:sz w:val="20"/>
                                      <w:szCs w:val="20"/>
                                    </w:rPr>
                                    <w:t>Applicability</w:t>
                                  </w:r>
                                </w:p>
                              </w:tc>
                              <w:tc>
                                <w:tcPr>
                                  <w:tcW w:w="6300" w:type="dxa"/>
                                  <w:tcBorders>
                                    <w:right w:val="single" w:sz="8" w:space="0" w:color="A6A6A6" w:themeColor="background1" w:themeShade="A6"/>
                                  </w:tcBorders>
                                  <w:shd w:val="clear" w:color="auto" w:fill="F2F2F2" w:themeFill="background1" w:themeFillShade="F2"/>
                                </w:tcPr>
                                <w:p w14:paraId="3E377DEA"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Similar patients? Feasibility? Outcomes relevant? Change practice?</w:t>
                                  </w:r>
                                </w:p>
                              </w:tc>
                            </w:tr>
                          </w:tbl>
                          <w:p w14:paraId="2CA43813" w14:textId="7B1A6853"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3. Session Agenda (60 minutes)</w:t>
                            </w:r>
                          </w:p>
                          <w:tbl>
                            <w:tblPr>
                              <w:tblStyle w:val="PlainTable2"/>
                              <w:tblW w:w="8459" w:type="dxa"/>
                              <w:tblLook w:val="04A0" w:firstRow="1" w:lastRow="0" w:firstColumn="1" w:lastColumn="0" w:noHBand="0" w:noVBand="1"/>
                            </w:tblPr>
                            <w:tblGrid>
                              <w:gridCol w:w="1516"/>
                              <w:gridCol w:w="2389"/>
                              <w:gridCol w:w="4554"/>
                            </w:tblGrid>
                            <w:tr w:rsidR="005F46A6" w:rsidRPr="003B4772" w14:paraId="6C6FEAF8" w14:textId="77777777" w:rsidTr="005F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7F7F7F" w:themeColor="text1" w:themeTint="80"/>
                                    <w:left w:val="single" w:sz="8" w:space="0" w:color="A6A6A6" w:themeColor="background1" w:themeShade="A6"/>
                                    <w:bottom w:val="single" w:sz="12" w:space="0" w:color="auto"/>
                                  </w:tcBorders>
                                  <w:shd w:val="clear" w:color="auto" w:fill="DAE9F7" w:themeFill="text2" w:themeFillTint="1A"/>
                                </w:tcPr>
                                <w:p w14:paraId="3307F6A9" w14:textId="77777777" w:rsidR="00190B10" w:rsidRPr="003B4772" w:rsidRDefault="00190B10" w:rsidP="00752F05">
                                  <w:pPr>
                                    <w:spacing w:before="40" w:after="40" w:line="240" w:lineRule="auto"/>
                                    <w:rPr>
                                      <w:sz w:val="20"/>
                                      <w:szCs w:val="20"/>
                                    </w:rPr>
                                  </w:pPr>
                                  <w:r w:rsidRPr="003B4772">
                                    <w:rPr>
                                      <w:sz w:val="20"/>
                                      <w:szCs w:val="20"/>
                                    </w:rPr>
                                    <w:t>Time</w:t>
                                  </w:r>
                                </w:p>
                              </w:tc>
                              <w:tc>
                                <w:tcPr>
                                  <w:tcW w:w="2389" w:type="dxa"/>
                                  <w:tcBorders>
                                    <w:top w:val="single" w:sz="4" w:space="0" w:color="7F7F7F" w:themeColor="text1" w:themeTint="80"/>
                                    <w:bottom w:val="single" w:sz="12" w:space="0" w:color="auto"/>
                                  </w:tcBorders>
                                  <w:shd w:val="clear" w:color="auto" w:fill="DAE9F7" w:themeFill="text2" w:themeFillTint="1A"/>
                                </w:tcPr>
                                <w:p w14:paraId="538E8F5B" w14:textId="77777777" w:rsidR="00190B10" w:rsidRPr="003B4772" w:rsidRDefault="00190B10" w:rsidP="00752F05">
                                  <w:pPr>
                                    <w:spacing w:before="40" w:after="4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3B4772">
                                    <w:rPr>
                                      <w:sz w:val="20"/>
                                      <w:szCs w:val="20"/>
                                    </w:rPr>
                                    <w:t>Activity</w:t>
                                  </w:r>
                                </w:p>
                              </w:tc>
                              <w:tc>
                                <w:tcPr>
                                  <w:tcW w:w="4554" w:type="dxa"/>
                                  <w:tcBorders>
                                    <w:top w:val="single" w:sz="4" w:space="0" w:color="7F7F7F" w:themeColor="text1" w:themeTint="80"/>
                                    <w:bottom w:val="single" w:sz="12" w:space="0" w:color="auto"/>
                                    <w:right w:val="single" w:sz="8" w:space="0" w:color="A6A6A6" w:themeColor="background1" w:themeShade="A6"/>
                                  </w:tcBorders>
                                  <w:shd w:val="clear" w:color="auto" w:fill="DAE9F7" w:themeFill="text2" w:themeFillTint="1A"/>
                                </w:tcPr>
                                <w:p w14:paraId="1F1E675C" w14:textId="77777777" w:rsidR="00190B10" w:rsidRPr="003B4772" w:rsidRDefault="00190B10" w:rsidP="00752F05">
                                  <w:pPr>
                                    <w:spacing w:before="40" w:after="4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3B4772">
                                    <w:rPr>
                                      <w:sz w:val="20"/>
                                      <w:szCs w:val="20"/>
                                    </w:rPr>
                                    <w:t>Focus</w:t>
                                  </w:r>
                                </w:p>
                              </w:tc>
                            </w:tr>
                            <w:tr w:rsidR="005F46A6" w:rsidRPr="003B4772" w14:paraId="2BC7137E" w14:textId="77777777" w:rsidTr="005F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auto"/>
                                    <w:left w:val="single" w:sz="8" w:space="0" w:color="A6A6A6" w:themeColor="background1" w:themeShade="A6"/>
                                  </w:tcBorders>
                                  <w:shd w:val="clear" w:color="auto" w:fill="F2F2F2" w:themeFill="background1" w:themeFillShade="F2"/>
                                </w:tcPr>
                                <w:p w14:paraId="1C960EED" w14:textId="77777777" w:rsidR="00190B10" w:rsidRPr="003B4772" w:rsidRDefault="00190B10" w:rsidP="00752F05">
                                  <w:pPr>
                                    <w:spacing w:before="40" w:after="40" w:line="240" w:lineRule="auto"/>
                                    <w:rPr>
                                      <w:sz w:val="20"/>
                                      <w:szCs w:val="20"/>
                                    </w:rPr>
                                  </w:pPr>
                                  <w:r w:rsidRPr="003B4772">
                                    <w:rPr>
                                      <w:sz w:val="20"/>
                                      <w:szCs w:val="20"/>
                                    </w:rPr>
                                    <w:t>0–7 min</w:t>
                                  </w:r>
                                </w:p>
                              </w:tc>
                              <w:tc>
                                <w:tcPr>
                                  <w:tcW w:w="2389" w:type="dxa"/>
                                  <w:tcBorders>
                                    <w:top w:val="single" w:sz="12" w:space="0" w:color="auto"/>
                                  </w:tcBorders>
                                  <w:shd w:val="clear" w:color="auto" w:fill="F2F2F2" w:themeFill="background1" w:themeFillShade="F2"/>
                                </w:tcPr>
                                <w:p w14:paraId="43C7640D"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Context &amp; BLUF</w:t>
                                  </w:r>
                                </w:p>
                              </w:tc>
                              <w:tc>
                                <w:tcPr>
                                  <w:tcW w:w="4554" w:type="dxa"/>
                                  <w:tcBorders>
                                    <w:top w:val="single" w:sz="12" w:space="0" w:color="auto"/>
                                    <w:right w:val="single" w:sz="8" w:space="0" w:color="A6A6A6" w:themeColor="background1" w:themeShade="A6"/>
                                  </w:tcBorders>
                                  <w:shd w:val="clear" w:color="auto" w:fill="F2F2F2" w:themeFill="background1" w:themeFillShade="F2"/>
                                </w:tcPr>
                                <w:p w14:paraId="53562B47"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Clinical question + one-sentence conclusion</w:t>
                                  </w:r>
                                </w:p>
                              </w:tc>
                            </w:tr>
                            <w:tr w:rsidR="005F46A6" w:rsidRPr="003B4772" w14:paraId="670139F0" w14:textId="77777777" w:rsidTr="005F46A6">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0F43944E" w14:textId="77777777" w:rsidR="00190B10" w:rsidRPr="003B4772" w:rsidRDefault="00190B10" w:rsidP="00752F05">
                                  <w:pPr>
                                    <w:spacing w:before="40" w:after="40" w:line="240" w:lineRule="auto"/>
                                    <w:rPr>
                                      <w:sz w:val="20"/>
                                      <w:szCs w:val="20"/>
                                    </w:rPr>
                                  </w:pPr>
                                  <w:r w:rsidRPr="003B4772">
                                    <w:rPr>
                                      <w:sz w:val="20"/>
                                      <w:szCs w:val="20"/>
                                    </w:rPr>
                                    <w:t>7–25 min</w:t>
                                  </w:r>
                                </w:p>
                              </w:tc>
                              <w:tc>
                                <w:tcPr>
                                  <w:tcW w:w="2389" w:type="dxa"/>
                                  <w:shd w:val="clear" w:color="auto" w:fill="F2F2F2" w:themeFill="background1" w:themeFillShade="F2"/>
                                </w:tcPr>
                                <w:p w14:paraId="2E9D2B69"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Validity</w:t>
                                  </w:r>
                                </w:p>
                              </w:tc>
                              <w:tc>
                                <w:tcPr>
                                  <w:tcW w:w="4554" w:type="dxa"/>
                                  <w:tcBorders>
                                    <w:right w:val="single" w:sz="8" w:space="0" w:color="A6A6A6" w:themeColor="background1" w:themeShade="A6"/>
                                  </w:tcBorders>
                                  <w:shd w:val="clear" w:color="auto" w:fill="F2F2F2" w:themeFill="background1" w:themeFillShade="F2"/>
                                </w:tcPr>
                                <w:p w14:paraId="5E972206"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Dissect methods, bias</w:t>
                                  </w:r>
                                </w:p>
                              </w:tc>
                            </w:tr>
                            <w:tr w:rsidR="005F46A6" w:rsidRPr="003B4772" w14:paraId="6C78F2F8" w14:textId="77777777" w:rsidTr="005F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35188C65" w14:textId="77777777" w:rsidR="00190B10" w:rsidRPr="003B4772" w:rsidRDefault="00190B10" w:rsidP="00752F05">
                                  <w:pPr>
                                    <w:spacing w:before="40" w:after="40" w:line="240" w:lineRule="auto"/>
                                    <w:rPr>
                                      <w:sz w:val="20"/>
                                      <w:szCs w:val="20"/>
                                    </w:rPr>
                                  </w:pPr>
                                  <w:r w:rsidRPr="003B4772">
                                    <w:rPr>
                                      <w:sz w:val="20"/>
                                      <w:szCs w:val="20"/>
                                    </w:rPr>
                                    <w:t>25–40 min</w:t>
                                  </w:r>
                                </w:p>
                              </w:tc>
                              <w:tc>
                                <w:tcPr>
                                  <w:tcW w:w="2389" w:type="dxa"/>
                                  <w:shd w:val="clear" w:color="auto" w:fill="F2F2F2" w:themeFill="background1" w:themeFillShade="F2"/>
                                </w:tcPr>
                                <w:p w14:paraId="09CEE13A"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Results</w:t>
                                  </w:r>
                                </w:p>
                              </w:tc>
                              <w:tc>
                                <w:tcPr>
                                  <w:tcW w:w="4554" w:type="dxa"/>
                                  <w:tcBorders>
                                    <w:right w:val="single" w:sz="8" w:space="0" w:color="A6A6A6" w:themeColor="background1" w:themeShade="A6"/>
                                  </w:tcBorders>
                                  <w:shd w:val="clear" w:color="auto" w:fill="F2F2F2" w:themeFill="background1" w:themeFillShade="F2"/>
                                </w:tcPr>
                                <w:p w14:paraId="60A31C13"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Effect size, CI, NNT, harms</w:t>
                                  </w:r>
                                </w:p>
                              </w:tc>
                            </w:tr>
                            <w:tr w:rsidR="005F46A6" w:rsidRPr="003B4772" w14:paraId="55069F63" w14:textId="77777777" w:rsidTr="005F46A6">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770E0DC6" w14:textId="77777777" w:rsidR="00190B10" w:rsidRPr="003B4772" w:rsidRDefault="00190B10" w:rsidP="00752F05">
                                  <w:pPr>
                                    <w:spacing w:before="40" w:after="40" w:line="240" w:lineRule="auto"/>
                                    <w:rPr>
                                      <w:sz w:val="20"/>
                                      <w:szCs w:val="20"/>
                                    </w:rPr>
                                  </w:pPr>
                                  <w:r w:rsidRPr="003B4772">
                                    <w:rPr>
                                      <w:sz w:val="20"/>
                                      <w:szCs w:val="20"/>
                                    </w:rPr>
                                    <w:t>40–55 min</w:t>
                                  </w:r>
                                </w:p>
                              </w:tc>
                              <w:tc>
                                <w:tcPr>
                                  <w:tcW w:w="2389" w:type="dxa"/>
                                  <w:shd w:val="clear" w:color="auto" w:fill="F2F2F2" w:themeFill="background1" w:themeFillShade="F2"/>
                                </w:tcPr>
                                <w:p w14:paraId="71336488"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Clinical Application</w:t>
                                  </w:r>
                                </w:p>
                              </w:tc>
                              <w:tc>
                                <w:tcPr>
                                  <w:tcW w:w="4554" w:type="dxa"/>
                                  <w:tcBorders>
                                    <w:right w:val="single" w:sz="8" w:space="0" w:color="A6A6A6" w:themeColor="background1" w:themeShade="A6"/>
                                  </w:tcBorders>
                                  <w:shd w:val="clear" w:color="auto" w:fill="F2F2F2" w:themeFill="background1" w:themeFillShade="F2"/>
                                </w:tcPr>
                                <w:p w14:paraId="5BA49C22"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Apply to vignettes</w:t>
                                  </w:r>
                                </w:p>
                              </w:tc>
                            </w:tr>
                            <w:tr w:rsidR="005F46A6" w:rsidRPr="003B4772" w14:paraId="1511817B" w14:textId="77777777" w:rsidTr="005F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7A1D8D66" w14:textId="77777777" w:rsidR="00190B10" w:rsidRPr="003B4772" w:rsidRDefault="00190B10" w:rsidP="00752F05">
                                  <w:pPr>
                                    <w:spacing w:before="40" w:after="40" w:line="240" w:lineRule="auto"/>
                                    <w:rPr>
                                      <w:sz w:val="20"/>
                                      <w:szCs w:val="20"/>
                                    </w:rPr>
                                  </w:pPr>
                                  <w:r w:rsidRPr="003B4772">
                                    <w:rPr>
                                      <w:sz w:val="20"/>
                                      <w:szCs w:val="20"/>
                                    </w:rPr>
                                    <w:t>55–60 min</w:t>
                                  </w:r>
                                </w:p>
                              </w:tc>
                              <w:tc>
                                <w:tcPr>
                                  <w:tcW w:w="2389" w:type="dxa"/>
                                  <w:shd w:val="clear" w:color="auto" w:fill="F2F2F2" w:themeFill="background1" w:themeFillShade="F2"/>
                                </w:tcPr>
                                <w:p w14:paraId="5AC68C99"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Wrap-up</w:t>
                                  </w:r>
                                </w:p>
                              </w:tc>
                              <w:tc>
                                <w:tcPr>
                                  <w:tcW w:w="4554" w:type="dxa"/>
                                  <w:tcBorders>
                                    <w:right w:val="single" w:sz="8" w:space="0" w:color="A6A6A6" w:themeColor="background1" w:themeShade="A6"/>
                                  </w:tcBorders>
                                  <w:shd w:val="clear" w:color="auto" w:fill="F2F2F2" w:themeFill="background1" w:themeFillShade="F2"/>
                                </w:tcPr>
                                <w:p w14:paraId="0E0C9DE1"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2–3 takeaways + PBLI link</w:t>
                                  </w:r>
                                </w:p>
                              </w:tc>
                            </w:tr>
                          </w:tbl>
                          <w:p w14:paraId="5BA0FCC3" w14:textId="77777777"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4. Article Selection Guide</w:t>
                            </w:r>
                          </w:p>
                          <w:p w14:paraId="4A0D9DB4"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 xml:space="preserve">Clinical relevance: Common, controversial, or novel </w:t>
                            </w:r>
                            <w:proofErr w:type="spellStart"/>
                            <w:r w:rsidRPr="003B4772">
                              <w:rPr>
                                <w:sz w:val="20"/>
                                <w:szCs w:val="20"/>
                              </w:rPr>
                              <w:t>periop</w:t>
                            </w:r>
                            <w:proofErr w:type="spellEnd"/>
                            <w:r w:rsidRPr="003B4772">
                              <w:rPr>
                                <w:sz w:val="20"/>
                                <w:szCs w:val="20"/>
                              </w:rPr>
                              <w:t xml:space="preserve"> Qs</w:t>
                            </w:r>
                          </w:p>
                          <w:p w14:paraId="0767EC91"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Methodological interest: Strengths and flaws</w:t>
                            </w:r>
                          </w:p>
                          <w:p w14:paraId="38EB38EA"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Design variety: RCTs, cohorts, reviews, diagnostics</w:t>
                            </w:r>
                          </w:p>
                          <w:p w14:paraId="32F3325D"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Source quality: Anesthesiology, A&amp;A, BJA, JAMA, NEJM</w:t>
                            </w:r>
                          </w:p>
                          <w:p w14:paraId="36DFECF5"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Rotating themes: Airway, cardiac, neuro, obstetric, PONV, monitoring</w:t>
                            </w:r>
                          </w:p>
                          <w:p w14:paraId="47923E4F"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Encourage Pro vs Con pairings (e.g., BVM+PEEP vs NRM; Dexamethasone for PONV)</w:t>
                            </w:r>
                          </w:p>
                          <w:p w14:paraId="506D253B" w14:textId="77777777"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5. Faculty Essentials</w:t>
                            </w:r>
                          </w:p>
                          <w:p w14:paraId="063A1BAF"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Prepare with checklist too</w:t>
                            </w:r>
                          </w:p>
                          <w:p w14:paraId="7E44B47B"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Use Socratic questions (e.g., 'The CI crosses 1.0 — how should that affect our confidence?')</w:t>
                            </w:r>
                          </w:p>
                          <w:p w14:paraId="2CCCBD75"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Foster psychological safety for critique</w:t>
                            </w:r>
                          </w:p>
                          <w:p w14:paraId="458D0533"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Keep session on track</w:t>
                            </w:r>
                          </w:p>
                          <w:p w14:paraId="4E0D4B3F" w14:textId="77777777" w:rsidR="00190B10" w:rsidRDefault="00190B10" w:rsidP="00190B10">
                            <w:pPr>
                              <w:pStyle w:val="Heading3"/>
                              <w:spacing w:before="0" w:after="0" w:line="240" w:lineRule="auto"/>
                              <w:rPr>
                                <w:sz w:val="20"/>
                                <w:szCs w:val="20"/>
                              </w:rPr>
                            </w:pPr>
                          </w:p>
                          <w:p w14:paraId="6F0C81EE" w14:textId="77777777" w:rsidR="00190B10" w:rsidRPr="00AF53EB" w:rsidRDefault="00190B10" w:rsidP="00190B10">
                            <w:pPr>
                              <w:pStyle w:val="Heading3"/>
                              <w:spacing w:before="0" w:line="240" w:lineRule="auto"/>
                              <w:rPr>
                                <w:color w:val="156082" w:themeColor="accent1"/>
                                <w:sz w:val="20"/>
                                <w:szCs w:val="20"/>
                              </w:rPr>
                            </w:pPr>
                            <w:r w:rsidRPr="00AF53EB">
                              <w:rPr>
                                <w:color w:val="156082" w:themeColor="accent1"/>
                                <w:sz w:val="20"/>
                                <w:szCs w:val="20"/>
                              </w:rPr>
                              <w:t>6. Example Bottom Line</w:t>
                            </w:r>
                          </w:p>
                          <w:p w14:paraId="4DE183B1" w14:textId="77777777" w:rsidR="00190B10" w:rsidRPr="003B4772" w:rsidRDefault="00190B10" w:rsidP="00190B10">
                            <w:pPr>
                              <w:spacing w:after="0" w:line="240" w:lineRule="auto"/>
                              <w:rPr>
                                <w:sz w:val="20"/>
                                <w:szCs w:val="20"/>
                              </w:rPr>
                            </w:pPr>
                            <w:proofErr w:type="spellStart"/>
                            <w:r w:rsidRPr="003B4772">
                              <w:rPr>
                                <w:sz w:val="20"/>
                                <w:szCs w:val="20"/>
                              </w:rPr>
                              <w:t>Roveri</w:t>
                            </w:r>
                            <w:proofErr w:type="spellEnd"/>
                            <w:r w:rsidRPr="003B4772">
                              <w:rPr>
                                <w:sz w:val="20"/>
                                <w:szCs w:val="20"/>
                              </w:rPr>
                              <w:t xml:space="preserve"> et al. (2025, JAMA </w:t>
                            </w:r>
                            <w:proofErr w:type="spellStart"/>
                            <w:r w:rsidRPr="003B4772">
                              <w:rPr>
                                <w:sz w:val="20"/>
                                <w:szCs w:val="20"/>
                              </w:rPr>
                              <w:t>Netw</w:t>
                            </w:r>
                            <w:proofErr w:type="spellEnd"/>
                            <w:r w:rsidRPr="003B4772">
                              <w:rPr>
                                <w:sz w:val="20"/>
                                <w:szCs w:val="20"/>
                              </w:rPr>
                              <w:t xml:space="preserve"> Open): BVM+PEEP improves oxygenation vs NRM, especially in obese adults &amp; children. No clinical endpoints measured → physiologic rationale supports preference but not definitive practice change.</w:t>
                            </w:r>
                          </w:p>
                          <w:p w14:paraId="5F85FD48" w14:textId="77777777" w:rsidR="00190B10" w:rsidRPr="003B4772" w:rsidRDefault="00190B10" w:rsidP="00190B10">
                            <w:pPr>
                              <w:spacing w:after="0" w:line="240" w:lineRule="auto"/>
                              <w:rPr>
                                <w:sz w:val="20"/>
                                <w:szCs w:val="20"/>
                              </w:rPr>
                            </w:pPr>
                          </w:p>
                          <w:p w14:paraId="01B60B1B" w14:textId="77777777" w:rsidR="00190B10" w:rsidRDefault="0019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78C77" id="_x0000_t202" coordsize="21600,21600" o:spt="202" path="m,l,21600r21600,l21600,xe">
                <v:stroke joinstyle="miter"/>
                <v:path gradientshapeok="t" o:connecttype="rect"/>
              </v:shapetype>
              <v:shape id="Text Box 6" o:spid="_x0000_s1026" type="#_x0000_t202" style="position:absolute;margin-left:-18.15pt;margin-top:30.45pt;width:443.7pt;height:6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" fillcolor="white [3201]" strokeweight=".5pt">
                <v:textbox>
                  <w:txbxContent>
                    <w:p w14:paraId="65D80006" w14:textId="6ED8F4C2" w:rsidR="00190B10" w:rsidRDefault="00190B10" w:rsidP="00D2558A">
                      <w:pPr>
                        <w:pStyle w:val="Heading2"/>
                        <w:jc w:val="center"/>
                      </w:pPr>
                      <w:r w:rsidRPr="000E6720">
                        <w:t>Quick Start Toolkit: Critical Appraisal Made Practical</w:t>
                      </w:r>
                    </w:p>
                    <w:p w14:paraId="63C007EF" w14:textId="77777777" w:rsidR="000E6720" w:rsidRPr="000E6720" w:rsidRDefault="000E6720" w:rsidP="000E6720"/>
                    <w:p w14:paraId="6D7B3CFE" w14:textId="2BDFD609" w:rsidR="000E6720" w:rsidRPr="00AF53EB" w:rsidRDefault="00190B10" w:rsidP="000E6720">
                      <w:pPr>
                        <w:pStyle w:val="Heading3"/>
                        <w:spacing w:before="0" w:line="240" w:lineRule="auto"/>
                        <w:rPr>
                          <w:color w:val="156082" w:themeColor="accent1"/>
                          <w:sz w:val="20"/>
                          <w:szCs w:val="20"/>
                        </w:rPr>
                      </w:pPr>
                      <w:r w:rsidRPr="00AF53EB">
                        <w:rPr>
                          <w:color w:val="156082" w:themeColor="accent1"/>
                          <w:sz w:val="20"/>
                          <w:szCs w:val="20"/>
                        </w:rPr>
                        <w:t>1. Why This Matters</w:t>
                      </w:r>
                    </w:p>
                    <w:p w14:paraId="26FA2326"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ACGME Requirement 4.15 → Journal club counts as scholarship.</w:t>
                      </w:r>
                    </w:p>
                    <w:p w14:paraId="652340D8"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PBLI Milestone 1 → Builds from finding evidence → appraising bias → applying to patients.</w:t>
                      </w:r>
                    </w:p>
                    <w:p w14:paraId="147B88B8"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 xml:space="preserve">Two-hour flipped model: 1 </w:t>
                      </w:r>
                      <w:proofErr w:type="spellStart"/>
                      <w:r w:rsidRPr="003B4772">
                        <w:rPr>
                          <w:sz w:val="20"/>
                          <w:szCs w:val="20"/>
                        </w:rPr>
                        <w:t>hr</w:t>
                      </w:r>
                      <w:proofErr w:type="spellEnd"/>
                      <w:r w:rsidRPr="003B4772">
                        <w:rPr>
                          <w:sz w:val="20"/>
                          <w:szCs w:val="20"/>
                        </w:rPr>
                        <w:t xml:space="preserve"> pre-work + 1 </w:t>
                      </w:r>
                      <w:proofErr w:type="spellStart"/>
                      <w:r w:rsidRPr="003B4772">
                        <w:rPr>
                          <w:sz w:val="20"/>
                          <w:szCs w:val="20"/>
                        </w:rPr>
                        <w:t>hr</w:t>
                      </w:r>
                      <w:proofErr w:type="spellEnd"/>
                      <w:r w:rsidRPr="003B4772">
                        <w:rPr>
                          <w:sz w:val="20"/>
                          <w:szCs w:val="20"/>
                        </w:rPr>
                        <w:t xml:space="preserve"> session.</w:t>
                      </w:r>
                    </w:p>
                    <w:p w14:paraId="6238C40C" w14:textId="5E73F43F"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2. Pre-Work: Critical Appraisal Checklist</w:t>
                      </w:r>
                    </w:p>
                    <w:p w14:paraId="36C5EBF5" w14:textId="77777777" w:rsidR="00190B10" w:rsidRPr="003B4772" w:rsidRDefault="00190B10" w:rsidP="000A4E8E">
                      <w:pPr>
                        <w:spacing w:line="240" w:lineRule="auto"/>
                        <w:rPr>
                          <w:sz w:val="20"/>
                          <w:szCs w:val="20"/>
                        </w:rPr>
                      </w:pPr>
                      <w:r w:rsidRPr="003B4772">
                        <w:rPr>
                          <w:sz w:val="20"/>
                          <w:szCs w:val="20"/>
                        </w:rPr>
                        <w:t>Three guiding EBM questions residents answer before session:</w:t>
                      </w:r>
                    </w:p>
                    <w:tbl>
                      <w:tblPr>
                        <w:tblStyle w:val="PlainTable2"/>
                        <w:tblW w:w="0" w:type="auto"/>
                        <w:tblLook w:val="04A0" w:firstRow="1" w:lastRow="0" w:firstColumn="1" w:lastColumn="0" w:noHBand="0" w:noVBand="1"/>
                      </w:tblPr>
                      <w:tblGrid>
                        <w:gridCol w:w="2160"/>
                        <w:gridCol w:w="6300"/>
                      </w:tblGrid>
                      <w:tr w:rsidR="00190B10" w:rsidRPr="003B4772" w14:paraId="443196A7" w14:textId="77777777" w:rsidTr="007B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7F7F7F" w:themeColor="text1" w:themeTint="80"/>
                              <w:left w:val="single" w:sz="8" w:space="0" w:color="A6A6A6" w:themeColor="background1" w:themeShade="A6"/>
                              <w:bottom w:val="single" w:sz="12" w:space="0" w:color="auto"/>
                            </w:tcBorders>
                            <w:shd w:val="clear" w:color="auto" w:fill="DAE9F7" w:themeFill="text2" w:themeFillTint="1A"/>
                          </w:tcPr>
                          <w:p w14:paraId="61F9E98C" w14:textId="77777777" w:rsidR="00190B10" w:rsidRPr="003B4772" w:rsidRDefault="00190B10" w:rsidP="00752F05">
                            <w:pPr>
                              <w:spacing w:before="40" w:after="40" w:line="240" w:lineRule="auto"/>
                              <w:rPr>
                                <w:sz w:val="20"/>
                                <w:szCs w:val="20"/>
                              </w:rPr>
                            </w:pPr>
                            <w:r w:rsidRPr="003B4772">
                              <w:rPr>
                                <w:sz w:val="20"/>
                                <w:szCs w:val="20"/>
                              </w:rPr>
                              <w:t>Domain</w:t>
                            </w:r>
                          </w:p>
                        </w:tc>
                        <w:tc>
                          <w:tcPr>
                            <w:tcW w:w="6300" w:type="dxa"/>
                            <w:tcBorders>
                              <w:top w:val="single" w:sz="4" w:space="0" w:color="7F7F7F" w:themeColor="text1" w:themeTint="80"/>
                              <w:bottom w:val="single" w:sz="12" w:space="0" w:color="auto"/>
                              <w:right w:val="single" w:sz="8" w:space="0" w:color="A6A6A6" w:themeColor="background1" w:themeShade="A6"/>
                            </w:tcBorders>
                            <w:shd w:val="clear" w:color="auto" w:fill="DAE9F7" w:themeFill="text2" w:themeFillTint="1A"/>
                          </w:tcPr>
                          <w:p w14:paraId="4B818E01" w14:textId="77777777" w:rsidR="00190B10" w:rsidRPr="003B4772" w:rsidRDefault="00190B10" w:rsidP="00752F05">
                            <w:pPr>
                              <w:spacing w:before="40" w:after="4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3B4772">
                              <w:rPr>
                                <w:sz w:val="20"/>
                                <w:szCs w:val="20"/>
                              </w:rPr>
                              <w:t>Guiding Questions</w:t>
                            </w:r>
                          </w:p>
                        </w:tc>
                      </w:tr>
                      <w:tr w:rsidR="00190B10" w:rsidRPr="003B4772" w14:paraId="3923ABD5" w14:textId="77777777" w:rsidTr="007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12" w:space="0" w:color="auto"/>
                              <w:left w:val="single" w:sz="8" w:space="0" w:color="A6A6A6" w:themeColor="background1" w:themeShade="A6"/>
                            </w:tcBorders>
                            <w:shd w:val="clear" w:color="auto" w:fill="F2F2F2" w:themeFill="background1" w:themeFillShade="F2"/>
                          </w:tcPr>
                          <w:p w14:paraId="3D6D59C9" w14:textId="77777777" w:rsidR="00190B10" w:rsidRPr="003B4772" w:rsidRDefault="00190B10" w:rsidP="00752F05">
                            <w:pPr>
                              <w:spacing w:before="40" w:after="40" w:line="240" w:lineRule="auto"/>
                              <w:rPr>
                                <w:sz w:val="20"/>
                                <w:szCs w:val="20"/>
                              </w:rPr>
                            </w:pPr>
                            <w:r w:rsidRPr="003B4772">
                              <w:rPr>
                                <w:sz w:val="20"/>
                                <w:szCs w:val="20"/>
                              </w:rPr>
                              <w:t>Validity</w:t>
                            </w:r>
                          </w:p>
                        </w:tc>
                        <w:tc>
                          <w:tcPr>
                            <w:tcW w:w="6300" w:type="dxa"/>
                            <w:tcBorders>
                              <w:top w:val="single" w:sz="12" w:space="0" w:color="auto"/>
                              <w:right w:val="single" w:sz="8" w:space="0" w:color="A6A6A6" w:themeColor="background1" w:themeShade="A6"/>
                            </w:tcBorders>
                            <w:shd w:val="clear" w:color="auto" w:fill="F2F2F2" w:themeFill="background1" w:themeFillShade="F2"/>
                          </w:tcPr>
                          <w:p w14:paraId="271A5B0C"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Randomization? Blinding? Baseline similarity? ITT analysis?</w:t>
                            </w:r>
                          </w:p>
                        </w:tc>
                      </w:tr>
                      <w:tr w:rsidR="00190B10" w:rsidRPr="003B4772" w14:paraId="7A35743F" w14:textId="77777777" w:rsidTr="007B6377">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6A6A6" w:themeColor="background1" w:themeShade="A6"/>
                            </w:tcBorders>
                            <w:shd w:val="clear" w:color="auto" w:fill="F2F2F2" w:themeFill="background1" w:themeFillShade="F2"/>
                          </w:tcPr>
                          <w:p w14:paraId="2883E75E" w14:textId="77777777" w:rsidR="00190B10" w:rsidRPr="003B4772" w:rsidRDefault="00190B10" w:rsidP="00752F05">
                            <w:pPr>
                              <w:spacing w:before="40" w:after="40" w:line="240" w:lineRule="auto"/>
                              <w:rPr>
                                <w:sz w:val="20"/>
                                <w:szCs w:val="20"/>
                              </w:rPr>
                            </w:pPr>
                            <w:r w:rsidRPr="003B4772">
                              <w:rPr>
                                <w:sz w:val="20"/>
                                <w:szCs w:val="20"/>
                              </w:rPr>
                              <w:t>Results</w:t>
                            </w:r>
                          </w:p>
                        </w:tc>
                        <w:tc>
                          <w:tcPr>
                            <w:tcW w:w="6300" w:type="dxa"/>
                            <w:tcBorders>
                              <w:right w:val="single" w:sz="8" w:space="0" w:color="A6A6A6" w:themeColor="background1" w:themeShade="A6"/>
                            </w:tcBorders>
                            <w:shd w:val="clear" w:color="auto" w:fill="F2F2F2" w:themeFill="background1" w:themeFillShade="F2"/>
                          </w:tcPr>
                          <w:p w14:paraId="674FC495"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Effect size? CI/p-value? ARR, RRR, NNT? Harms reported?</w:t>
                            </w:r>
                          </w:p>
                        </w:tc>
                      </w:tr>
                      <w:tr w:rsidR="00190B10" w:rsidRPr="003B4772" w14:paraId="71E656FE" w14:textId="77777777" w:rsidTr="007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6A6A6" w:themeColor="background1" w:themeShade="A6"/>
                            </w:tcBorders>
                            <w:shd w:val="clear" w:color="auto" w:fill="F2F2F2" w:themeFill="background1" w:themeFillShade="F2"/>
                          </w:tcPr>
                          <w:p w14:paraId="6FB99935" w14:textId="77777777" w:rsidR="00190B10" w:rsidRPr="003B4772" w:rsidRDefault="00190B10" w:rsidP="00752F05">
                            <w:pPr>
                              <w:spacing w:before="40" w:after="40" w:line="240" w:lineRule="auto"/>
                              <w:rPr>
                                <w:sz w:val="20"/>
                                <w:szCs w:val="20"/>
                              </w:rPr>
                            </w:pPr>
                            <w:r w:rsidRPr="003B4772">
                              <w:rPr>
                                <w:sz w:val="20"/>
                                <w:szCs w:val="20"/>
                              </w:rPr>
                              <w:t>Applicability</w:t>
                            </w:r>
                          </w:p>
                        </w:tc>
                        <w:tc>
                          <w:tcPr>
                            <w:tcW w:w="6300" w:type="dxa"/>
                            <w:tcBorders>
                              <w:right w:val="single" w:sz="8" w:space="0" w:color="A6A6A6" w:themeColor="background1" w:themeShade="A6"/>
                            </w:tcBorders>
                            <w:shd w:val="clear" w:color="auto" w:fill="F2F2F2" w:themeFill="background1" w:themeFillShade="F2"/>
                          </w:tcPr>
                          <w:p w14:paraId="3E377DEA"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Similar patients? Feasibility? Outcomes relevant? Change practice?</w:t>
                            </w:r>
                          </w:p>
                        </w:tc>
                      </w:tr>
                    </w:tbl>
                    <w:p w14:paraId="2CA43813" w14:textId="7B1A6853"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3. Session Agenda (60 minutes)</w:t>
                      </w:r>
                    </w:p>
                    <w:tbl>
                      <w:tblPr>
                        <w:tblStyle w:val="PlainTable2"/>
                        <w:tblW w:w="8459" w:type="dxa"/>
                        <w:tblLook w:val="04A0" w:firstRow="1" w:lastRow="0" w:firstColumn="1" w:lastColumn="0" w:noHBand="0" w:noVBand="1"/>
                      </w:tblPr>
                      <w:tblGrid>
                        <w:gridCol w:w="1516"/>
                        <w:gridCol w:w="2389"/>
                        <w:gridCol w:w="4554"/>
                      </w:tblGrid>
                      <w:tr w:rsidR="005F46A6" w:rsidRPr="003B4772" w14:paraId="6C6FEAF8" w14:textId="77777777" w:rsidTr="005F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7F7F7F" w:themeColor="text1" w:themeTint="80"/>
                              <w:left w:val="single" w:sz="8" w:space="0" w:color="A6A6A6" w:themeColor="background1" w:themeShade="A6"/>
                              <w:bottom w:val="single" w:sz="12" w:space="0" w:color="auto"/>
                            </w:tcBorders>
                            <w:shd w:val="clear" w:color="auto" w:fill="DAE9F7" w:themeFill="text2" w:themeFillTint="1A"/>
                          </w:tcPr>
                          <w:p w14:paraId="3307F6A9" w14:textId="77777777" w:rsidR="00190B10" w:rsidRPr="003B4772" w:rsidRDefault="00190B10" w:rsidP="00752F05">
                            <w:pPr>
                              <w:spacing w:before="40" w:after="40" w:line="240" w:lineRule="auto"/>
                              <w:rPr>
                                <w:sz w:val="20"/>
                                <w:szCs w:val="20"/>
                              </w:rPr>
                            </w:pPr>
                            <w:r w:rsidRPr="003B4772">
                              <w:rPr>
                                <w:sz w:val="20"/>
                                <w:szCs w:val="20"/>
                              </w:rPr>
                              <w:t>Time</w:t>
                            </w:r>
                          </w:p>
                        </w:tc>
                        <w:tc>
                          <w:tcPr>
                            <w:tcW w:w="2389" w:type="dxa"/>
                            <w:tcBorders>
                              <w:top w:val="single" w:sz="4" w:space="0" w:color="7F7F7F" w:themeColor="text1" w:themeTint="80"/>
                              <w:bottom w:val="single" w:sz="12" w:space="0" w:color="auto"/>
                            </w:tcBorders>
                            <w:shd w:val="clear" w:color="auto" w:fill="DAE9F7" w:themeFill="text2" w:themeFillTint="1A"/>
                          </w:tcPr>
                          <w:p w14:paraId="538E8F5B" w14:textId="77777777" w:rsidR="00190B10" w:rsidRPr="003B4772" w:rsidRDefault="00190B10" w:rsidP="00752F05">
                            <w:pPr>
                              <w:spacing w:before="40" w:after="4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3B4772">
                              <w:rPr>
                                <w:sz w:val="20"/>
                                <w:szCs w:val="20"/>
                              </w:rPr>
                              <w:t>Activity</w:t>
                            </w:r>
                          </w:p>
                        </w:tc>
                        <w:tc>
                          <w:tcPr>
                            <w:tcW w:w="4554" w:type="dxa"/>
                            <w:tcBorders>
                              <w:top w:val="single" w:sz="4" w:space="0" w:color="7F7F7F" w:themeColor="text1" w:themeTint="80"/>
                              <w:bottom w:val="single" w:sz="12" w:space="0" w:color="auto"/>
                              <w:right w:val="single" w:sz="8" w:space="0" w:color="A6A6A6" w:themeColor="background1" w:themeShade="A6"/>
                            </w:tcBorders>
                            <w:shd w:val="clear" w:color="auto" w:fill="DAE9F7" w:themeFill="text2" w:themeFillTint="1A"/>
                          </w:tcPr>
                          <w:p w14:paraId="1F1E675C" w14:textId="77777777" w:rsidR="00190B10" w:rsidRPr="003B4772" w:rsidRDefault="00190B10" w:rsidP="00752F05">
                            <w:pPr>
                              <w:spacing w:before="40" w:after="4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3B4772">
                              <w:rPr>
                                <w:sz w:val="20"/>
                                <w:szCs w:val="20"/>
                              </w:rPr>
                              <w:t>Focus</w:t>
                            </w:r>
                          </w:p>
                        </w:tc>
                      </w:tr>
                      <w:tr w:rsidR="005F46A6" w:rsidRPr="003B4772" w14:paraId="2BC7137E" w14:textId="77777777" w:rsidTr="005F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auto"/>
                              <w:left w:val="single" w:sz="8" w:space="0" w:color="A6A6A6" w:themeColor="background1" w:themeShade="A6"/>
                            </w:tcBorders>
                            <w:shd w:val="clear" w:color="auto" w:fill="F2F2F2" w:themeFill="background1" w:themeFillShade="F2"/>
                          </w:tcPr>
                          <w:p w14:paraId="1C960EED" w14:textId="77777777" w:rsidR="00190B10" w:rsidRPr="003B4772" w:rsidRDefault="00190B10" w:rsidP="00752F05">
                            <w:pPr>
                              <w:spacing w:before="40" w:after="40" w:line="240" w:lineRule="auto"/>
                              <w:rPr>
                                <w:sz w:val="20"/>
                                <w:szCs w:val="20"/>
                              </w:rPr>
                            </w:pPr>
                            <w:r w:rsidRPr="003B4772">
                              <w:rPr>
                                <w:sz w:val="20"/>
                                <w:szCs w:val="20"/>
                              </w:rPr>
                              <w:t>0–7 min</w:t>
                            </w:r>
                          </w:p>
                        </w:tc>
                        <w:tc>
                          <w:tcPr>
                            <w:tcW w:w="2389" w:type="dxa"/>
                            <w:tcBorders>
                              <w:top w:val="single" w:sz="12" w:space="0" w:color="auto"/>
                            </w:tcBorders>
                            <w:shd w:val="clear" w:color="auto" w:fill="F2F2F2" w:themeFill="background1" w:themeFillShade="F2"/>
                          </w:tcPr>
                          <w:p w14:paraId="43C7640D"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Context &amp; BLUF</w:t>
                            </w:r>
                          </w:p>
                        </w:tc>
                        <w:tc>
                          <w:tcPr>
                            <w:tcW w:w="4554" w:type="dxa"/>
                            <w:tcBorders>
                              <w:top w:val="single" w:sz="12" w:space="0" w:color="auto"/>
                              <w:right w:val="single" w:sz="8" w:space="0" w:color="A6A6A6" w:themeColor="background1" w:themeShade="A6"/>
                            </w:tcBorders>
                            <w:shd w:val="clear" w:color="auto" w:fill="F2F2F2" w:themeFill="background1" w:themeFillShade="F2"/>
                          </w:tcPr>
                          <w:p w14:paraId="53562B47"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Clinical question + one-sentence conclusion</w:t>
                            </w:r>
                          </w:p>
                        </w:tc>
                      </w:tr>
                      <w:tr w:rsidR="005F46A6" w:rsidRPr="003B4772" w14:paraId="670139F0" w14:textId="77777777" w:rsidTr="005F46A6">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0F43944E" w14:textId="77777777" w:rsidR="00190B10" w:rsidRPr="003B4772" w:rsidRDefault="00190B10" w:rsidP="00752F05">
                            <w:pPr>
                              <w:spacing w:before="40" w:after="40" w:line="240" w:lineRule="auto"/>
                              <w:rPr>
                                <w:sz w:val="20"/>
                                <w:szCs w:val="20"/>
                              </w:rPr>
                            </w:pPr>
                            <w:r w:rsidRPr="003B4772">
                              <w:rPr>
                                <w:sz w:val="20"/>
                                <w:szCs w:val="20"/>
                              </w:rPr>
                              <w:t>7–25 min</w:t>
                            </w:r>
                          </w:p>
                        </w:tc>
                        <w:tc>
                          <w:tcPr>
                            <w:tcW w:w="2389" w:type="dxa"/>
                            <w:shd w:val="clear" w:color="auto" w:fill="F2F2F2" w:themeFill="background1" w:themeFillShade="F2"/>
                          </w:tcPr>
                          <w:p w14:paraId="2E9D2B69"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Validity</w:t>
                            </w:r>
                          </w:p>
                        </w:tc>
                        <w:tc>
                          <w:tcPr>
                            <w:tcW w:w="4554" w:type="dxa"/>
                            <w:tcBorders>
                              <w:right w:val="single" w:sz="8" w:space="0" w:color="A6A6A6" w:themeColor="background1" w:themeShade="A6"/>
                            </w:tcBorders>
                            <w:shd w:val="clear" w:color="auto" w:fill="F2F2F2" w:themeFill="background1" w:themeFillShade="F2"/>
                          </w:tcPr>
                          <w:p w14:paraId="5E972206"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Dissect methods, bias</w:t>
                            </w:r>
                          </w:p>
                        </w:tc>
                      </w:tr>
                      <w:tr w:rsidR="005F46A6" w:rsidRPr="003B4772" w14:paraId="6C78F2F8" w14:textId="77777777" w:rsidTr="005F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35188C65" w14:textId="77777777" w:rsidR="00190B10" w:rsidRPr="003B4772" w:rsidRDefault="00190B10" w:rsidP="00752F05">
                            <w:pPr>
                              <w:spacing w:before="40" w:after="40" w:line="240" w:lineRule="auto"/>
                              <w:rPr>
                                <w:sz w:val="20"/>
                                <w:szCs w:val="20"/>
                              </w:rPr>
                            </w:pPr>
                            <w:r w:rsidRPr="003B4772">
                              <w:rPr>
                                <w:sz w:val="20"/>
                                <w:szCs w:val="20"/>
                              </w:rPr>
                              <w:t>25–40 min</w:t>
                            </w:r>
                          </w:p>
                        </w:tc>
                        <w:tc>
                          <w:tcPr>
                            <w:tcW w:w="2389" w:type="dxa"/>
                            <w:shd w:val="clear" w:color="auto" w:fill="F2F2F2" w:themeFill="background1" w:themeFillShade="F2"/>
                          </w:tcPr>
                          <w:p w14:paraId="09CEE13A"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Results</w:t>
                            </w:r>
                          </w:p>
                        </w:tc>
                        <w:tc>
                          <w:tcPr>
                            <w:tcW w:w="4554" w:type="dxa"/>
                            <w:tcBorders>
                              <w:right w:val="single" w:sz="8" w:space="0" w:color="A6A6A6" w:themeColor="background1" w:themeShade="A6"/>
                            </w:tcBorders>
                            <w:shd w:val="clear" w:color="auto" w:fill="F2F2F2" w:themeFill="background1" w:themeFillShade="F2"/>
                          </w:tcPr>
                          <w:p w14:paraId="60A31C13"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Effect size, CI, NNT, harms</w:t>
                            </w:r>
                          </w:p>
                        </w:tc>
                      </w:tr>
                      <w:tr w:rsidR="005F46A6" w:rsidRPr="003B4772" w14:paraId="55069F63" w14:textId="77777777" w:rsidTr="005F46A6">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770E0DC6" w14:textId="77777777" w:rsidR="00190B10" w:rsidRPr="003B4772" w:rsidRDefault="00190B10" w:rsidP="00752F05">
                            <w:pPr>
                              <w:spacing w:before="40" w:after="40" w:line="240" w:lineRule="auto"/>
                              <w:rPr>
                                <w:sz w:val="20"/>
                                <w:szCs w:val="20"/>
                              </w:rPr>
                            </w:pPr>
                            <w:r w:rsidRPr="003B4772">
                              <w:rPr>
                                <w:sz w:val="20"/>
                                <w:szCs w:val="20"/>
                              </w:rPr>
                              <w:t>40–55 min</w:t>
                            </w:r>
                          </w:p>
                        </w:tc>
                        <w:tc>
                          <w:tcPr>
                            <w:tcW w:w="2389" w:type="dxa"/>
                            <w:shd w:val="clear" w:color="auto" w:fill="F2F2F2" w:themeFill="background1" w:themeFillShade="F2"/>
                          </w:tcPr>
                          <w:p w14:paraId="71336488"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Clinical Application</w:t>
                            </w:r>
                          </w:p>
                        </w:tc>
                        <w:tc>
                          <w:tcPr>
                            <w:tcW w:w="4554" w:type="dxa"/>
                            <w:tcBorders>
                              <w:right w:val="single" w:sz="8" w:space="0" w:color="A6A6A6" w:themeColor="background1" w:themeShade="A6"/>
                            </w:tcBorders>
                            <w:shd w:val="clear" w:color="auto" w:fill="F2F2F2" w:themeFill="background1" w:themeFillShade="F2"/>
                          </w:tcPr>
                          <w:p w14:paraId="5BA49C22" w14:textId="77777777" w:rsidR="00190B10" w:rsidRPr="003B4772" w:rsidRDefault="00190B10" w:rsidP="00752F05">
                            <w:pPr>
                              <w:spacing w:before="40" w:after="4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3B4772">
                              <w:rPr>
                                <w:sz w:val="20"/>
                                <w:szCs w:val="20"/>
                              </w:rPr>
                              <w:t>Apply to vignettes</w:t>
                            </w:r>
                          </w:p>
                        </w:tc>
                      </w:tr>
                      <w:tr w:rsidR="005F46A6" w:rsidRPr="003B4772" w14:paraId="1511817B" w14:textId="77777777" w:rsidTr="005F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left w:val="single" w:sz="8" w:space="0" w:color="A6A6A6" w:themeColor="background1" w:themeShade="A6"/>
                            </w:tcBorders>
                            <w:shd w:val="clear" w:color="auto" w:fill="F2F2F2" w:themeFill="background1" w:themeFillShade="F2"/>
                          </w:tcPr>
                          <w:p w14:paraId="7A1D8D66" w14:textId="77777777" w:rsidR="00190B10" w:rsidRPr="003B4772" w:rsidRDefault="00190B10" w:rsidP="00752F05">
                            <w:pPr>
                              <w:spacing w:before="40" w:after="40" w:line="240" w:lineRule="auto"/>
                              <w:rPr>
                                <w:sz w:val="20"/>
                                <w:szCs w:val="20"/>
                              </w:rPr>
                            </w:pPr>
                            <w:r w:rsidRPr="003B4772">
                              <w:rPr>
                                <w:sz w:val="20"/>
                                <w:szCs w:val="20"/>
                              </w:rPr>
                              <w:t>55–60 min</w:t>
                            </w:r>
                          </w:p>
                        </w:tc>
                        <w:tc>
                          <w:tcPr>
                            <w:tcW w:w="2389" w:type="dxa"/>
                            <w:shd w:val="clear" w:color="auto" w:fill="F2F2F2" w:themeFill="background1" w:themeFillShade="F2"/>
                          </w:tcPr>
                          <w:p w14:paraId="5AC68C99"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Wrap-up</w:t>
                            </w:r>
                          </w:p>
                        </w:tc>
                        <w:tc>
                          <w:tcPr>
                            <w:tcW w:w="4554" w:type="dxa"/>
                            <w:tcBorders>
                              <w:right w:val="single" w:sz="8" w:space="0" w:color="A6A6A6" w:themeColor="background1" w:themeShade="A6"/>
                            </w:tcBorders>
                            <w:shd w:val="clear" w:color="auto" w:fill="F2F2F2" w:themeFill="background1" w:themeFillShade="F2"/>
                          </w:tcPr>
                          <w:p w14:paraId="0E0C9DE1" w14:textId="77777777" w:rsidR="00190B10" w:rsidRPr="003B4772" w:rsidRDefault="00190B10" w:rsidP="00752F05">
                            <w:pPr>
                              <w:spacing w:before="40" w:after="4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3B4772">
                              <w:rPr>
                                <w:sz w:val="20"/>
                                <w:szCs w:val="20"/>
                              </w:rPr>
                              <w:t>2–3 takeaways + PBLI link</w:t>
                            </w:r>
                          </w:p>
                        </w:tc>
                      </w:tr>
                    </w:tbl>
                    <w:p w14:paraId="5BA0FCC3" w14:textId="77777777"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4. Article Selection Guide</w:t>
                      </w:r>
                    </w:p>
                    <w:p w14:paraId="4A0D9DB4"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 xml:space="preserve">Clinical relevance: Common, controversial, or novel </w:t>
                      </w:r>
                      <w:proofErr w:type="spellStart"/>
                      <w:r w:rsidRPr="003B4772">
                        <w:rPr>
                          <w:sz w:val="20"/>
                          <w:szCs w:val="20"/>
                        </w:rPr>
                        <w:t>periop</w:t>
                      </w:r>
                      <w:proofErr w:type="spellEnd"/>
                      <w:r w:rsidRPr="003B4772">
                        <w:rPr>
                          <w:sz w:val="20"/>
                          <w:szCs w:val="20"/>
                        </w:rPr>
                        <w:t xml:space="preserve"> Qs</w:t>
                      </w:r>
                    </w:p>
                    <w:p w14:paraId="0767EC91"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Methodological interest: Strengths and flaws</w:t>
                      </w:r>
                    </w:p>
                    <w:p w14:paraId="38EB38EA"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Design variety: RCTs, cohorts, reviews, diagnostics</w:t>
                      </w:r>
                    </w:p>
                    <w:p w14:paraId="32F3325D"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Source quality: Anesthesiology, A&amp;A, BJA, JAMA, NEJM</w:t>
                      </w:r>
                    </w:p>
                    <w:p w14:paraId="36DFECF5"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Rotating themes: Airway, cardiac, neuro, obstetric, PONV, monitoring</w:t>
                      </w:r>
                    </w:p>
                    <w:p w14:paraId="47923E4F"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Encourage Pro vs Con pairings (e.g., BVM+PEEP vs NRM; Dexamethasone for PONV)</w:t>
                      </w:r>
                    </w:p>
                    <w:p w14:paraId="506D253B" w14:textId="77777777" w:rsidR="00190B10" w:rsidRPr="00AF53EB" w:rsidRDefault="00190B10" w:rsidP="00190B10">
                      <w:pPr>
                        <w:pStyle w:val="Heading3"/>
                        <w:spacing w:before="0" w:line="240" w:lineRule="auto"/>
                        <w:rPr>
                          <w:color w:val="156082" w:themeColor="accent1"/>
                          <w:sz w:val="20"/>
                          <w:szCs w:val="20"/>
                        </w:rPr>
                      </w:pPr>
                      <w:r w:rsidRPr="003B4772">
                        <w:rPr>
                          <w:sz w:val="20"/>
                          <w:szCs w:val="20"/>
                        </w:rPr>
                        <w:br/>
                      </w:r>
                      <w:r w:rsidRPr="00AF53EB">
                        <w:rPr>
                          <w:color w:val="156082" w:themeColor="accent1"/>
                          <w:sz w:val="20"/>
                          <w:szCs w:val="20"/>
                        </w:rPr>
                        <w:t>5. Faculty Essentials</w:t>
                      </w:r>
                    </w:p>
                    <w:p w14:paraId="063A1BAF"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Prepare with checklist too</w:t>
                      </w:r>
                    </w:p>
                    <w:p w14:paraId="7E44B47B"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Use Socratic questions (e.g., 'The CI crosses 1.0 — how should that affect our confidence?')</w:t>
                      </w:r>
                    </w:p>
                    <w:p w14:paraId="2CCCBD75"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Foster psychological safety for critique</w:t>
                      </w:r>
                    </w:p>
                    <w:p w14:paraId="458D0533" w14:textId="77777777" w:rsidR="00190B10" w:rsidRPr="003B4772" w:rsidRDefault="00190B10" w:rsidP="00190B10">
                      <w:pPr>
                        <w:pStyle w:val="ListParagraph"/>
                        <w:numPr>
                          <w:ilvl w:val="0"/>
                          <w:numId w:val="69"/>
                        </w:numPr>
                        <w:spacing w:after="0" w:line="240" w:lineRule="auto"/>
                        <w:rPr>
                          <w:sz w:val="20"/>
                          <w:szCs w:val="20"/>
                        </w:rPr>
                      </w:pPr>
                      <w:r w:rsidRPr="003B4772">
                        <w:rPr>
                          <w:sz w:val="20"/>
                          <w:szCs w:val="20"/>
                        </w:rPr>
                        <w:t>Keep session on track</w:t>
                      </w:r>
                    </w:p>
                    <w:p w14:paraId="4E0D4B3F" w14:textId="77777777" w:rsidR="00190B10" w:rsidRDefault="00190B10" w:rsidP="00190B10">
                      <w:pPr>
                        <w:pStyle w:val="Heading3"/>
                        <w:spacing w:before="0" w:after="0" w:line="240" w:lineRule="auto"/>
                        <w:rPr>
                          <w:sz w:val="20"/>
                          <w:szCs w:val="20"/>
                        </w:rPr>
                      </w:pPr>
                    </w:p>
                    <w:p w14:paraId="6F0C81EE" w14:textId="77777777" w:rsidR="00190B10" w:rsidRPr="00AF53EB" w:rsidRDefault="00190B10" w:rsidP="00190B10">
                      <w:pPr>
                        <w:pStyle w:val="Heading3"/>
                        <w:spacing w:before="0" w:line="240" w:lineRule="auto"/>
                        <w:rPr>
                          <w:color w:val="156082" w:themeColor="accent1"/>
                          <w:sz w:val="20"/>
                          <w:szCs w:val="20"/>
                        </w:rPr>
                      </w:pPr>
                      <w:r w:rsidRPr="00AF53EB">
                        <w:rPr>
                          <w:color w:val="156082" w:themeColor="accent1"/>
                          <w:sz w:val="20"/>
                          <w:szCs w:val="20"/>
                        </w:rPr>
                        <w:t>6. Example Bottom Line</w:t>
                      </w:r>
                    </w:p>
                    <w:p w14:paraId="4DE183B1" w14:textId="77777777" w:rsidR="00190B10" w:rsidRPr="003B4772" w:rsidRDefault="00190B10" w:rsidP="00190B10">
                      <w:pPr>
                        <w:spacing w:after="0" w:line="240" w:lineRule="auto"/>
                        <w:rPr>
                          <w:sz w:val="20"/>
                          <w:szCs w:val="20"/>
                        </w:rPr>
                      </w:pPr>
                      <w:proofErr w:type="spellStart"/>
                      <w:r w:rsidRPr="003B4772">
                        <w:rPr>
                          <w:sz w:val="20"/>
                          <w:szCs w:val="20"/>
                        </w:rPr>
                        <w:t>Roveri</w:t>
                      </w:r>
                      <w:proofErr w:type="spellEnd"/>
                      <w:r w:rsidRPr="003B4772">
                        <w:rPr>
                          <w:sz w:val="20"/>
                          <w:szCs w:val="20"/>
                        </w:rPr>
                        <w:t xml:space="preserve"> et al. (2025, JAMA </w:t>
                      </w:r>
                      <w:proofErr w:type="spellStart"/>
                      <w:r w:rsidRPr="003B4772">
                        <w:rPr>
                          <w:sz w:val="20"/>
                          <w:szCs w:val="20"/>
                        </w:rPr>
                        <w:t>Netw</w:t>
                      </w:r>
                      <w:proofErr w:type="spellEnd"/>
                      <w:r w:rsidRPr="003B4772">
                        <w:rPr>
                          <w:sz w:val="20"/>
                          <w:szCs w:val="20"/>
                        </w:rPr>
                        <w:t xml:space="preserve"> Open): BVM+PEEP improves oxygenation vs NRM, especially in obese adults &amp; children. No clinical endpoints measured → physiologic rationale supports preference but not definitive practice change.</w:t>
                      </w:r>
                    </w:p>
                    <w:p w14:paraId="5F85FD48" w14:textId="77777777" w:rsidR="00190B10" w:rsidRPr="003B4772" w:rsidRDefault="00190B10" w:rsidP="00190B10">
                      <w:pPr>
                        <w:spacing w:after="0" w:line="240" w:lineRule="auto"/>
                        <w:rPr>
                          <w:sz w:val="20"/>
                          <w:szCs w:val="20"/>
                        </w:rPr>
                      </w:pPr>
                    </w:p>
                    <w:p w14:paraId="01B60B1B" w14:textId="77777777" w:rsidR="00190B10" w:rsidRDefault="00190B10"/>
                  </w:txbxContent>
                </v:textbox>
              </v:shape>
            </w:pict>
          </mc:Fallback>
        </mc:AlternateContent>
      </w:r>
      <w:r w:rsidR="003B4772">
        <w:t>Appendix B: 1 Page Quick Guide</w:t>
      </w:r>
    </w:p>
    <w:sectPr w:rsidR="003B4772" w:rsidRPr="003B4772" w:rsidSect="000072A5">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4AF26" w14:textId="77777777" w:rsidR="000C23BA" w:rsidRDefault="000C23BA" w:rsidP="001A6981">
      <w:r>
        <w:separator/>
      </w:r>
    </w:p>
  </w:endnote>
  <w:endnote w:type="continuationSeparator" w:id="0">
    <w:p w14:paraId="28C5A230" w14:textId="77777777" w:rsidR="000C23BA" w:rsidRDefault="000C23BA" w:rsidP="001A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8F83A" w14:textId="77777777" w:rsidR="00FC5661" w:rsidRDefault="00FC5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F34AE" w14:textId="30D9D1EB" w:rsidR="00FC5661" w:rsidRPr="00244DBC" w:rsidRDefault="00FC5661">
    <w:pPr>
      <w:pStyle w:val="Footer"/>
      <w:rPr>
        <w:color w:val="A6A6A6" w:themeColor="background1" w:themeShade="A6"/>
      </w:rPr>
    </w:pPr>
    <w:r w:rsidRPr="00244DBC">
      <w:rPr>
        <w:color w:val="A6A6A6" w:themeColor="background1" w:themeShade="A6"/>
      </w:rPr>
      <w:t xml:space="preserve">Page </w:t>
    </w:r>
    <w:r w:rsidRPr="00244DBC">
      <w:rPr>
        <w:color w:val="A6A6A6" w:themeColor="background1" w:themeShade="A6"/>
      </w:rPr>
      <w:fldChar w:fldCharType="begin"/>
    </w:r>
    <w:r w:rsidRPr="00244DBC">
      <w:rPr>
        <w:color w:val="A6A6A6" w:themeColor="background1" w:themeShade="A6"/>
      </w:rPr>
      <w:instrText xml:space="preserve"> PAGE </w:instrText>
    </w:r>
    <w:r w:rsidRPr="00244DBC">
      <w:rPr>
        <w:color w:val="A6A6A6" w:themeColor="background1" w:themeShade="A6"/>
      </w:rPr>
      <w:fldChar w:fldCharType="separate"/>
    </w:r>
    <w:r w:rsidRPr="00244DBC">
      <w:rPr>
        <w:noProof/>
        <w:color w:val="A6A6A6" w:themeColor="background1" w:themeShade="A6"/>
      </w:rPr>
      <w:t>4</w:t>
    </w:r>
    <w:r w:rsidRPr="00244DBC">
      <w:rPr>
        <w:color w:val="A6A6A6" w:themeColor="background1" w:themeShade="A6"/>
      </w:rPr>
      <w:fldChar w:fldCharType="end"/>
    </w:r>
    <w:r w:rsidRPr="00244DBC">
      <w:rPr>
        <w:color w:val="A6A6A6" w:themeColor="background1" w:themeShade="A6"/>
      </w:rPr>
      <w:t xml:space="preserve"> of </w:t>
    </w:r>
    <w:r w:rsidRPr="00244DBC">
      <w:rPr>
        <w:color w:val="A6A6A6" w:themeColor="background1" w:themeShade="A6"/>
      </w:rPr>
      <w:fldChar w:fldCharType="begin"/>
    </w:r>
    <w:r w:rsidRPr="00244DBC">
      <w:rPr>
        <w:color w:val="A6A6A6" w:themeColor="background1" w:themeShade="A6"/>
      </w:rPr>
      <w:instrText xml:space="preserve"> NUMPAGES </w:instrText>
    </w:r>
    <w:r w:rsidRPr="00244DBC">
      <w:rPr>
        <w:color w:val="A6A6A6" w:themeColor="background1" w:themeShade="A6"/>
      </w:rPr>
      <w:fldChar w:fldCharType="separate"/>
    </w:r>
    <w:r w:rsidRPr="00244DBC">
      <w:rPr>
        <w:noProof/>
        <w:color w:val="A6A6A6" w:themeColor="background1" w:themeShade="A6"/>
      </w:rPr>
      <w:t>8</w:t>
    </w:r>
    <w:r w:rsidRPr="00244DBC">
      <w:rPr>
        <w:color w:val="A6A6A6" w:themeColor="background1" w:themeShade="A6"/>
      </w:rPr>
      <w:fldChar w:fldCharType="end"/>
    </w:r>
    <w:r w:rsidRPr="00244DBC">
      <w:rPr>
        <w:color w:val="A6A6A6" w:themeColor="background1" w:themeShade="A6"/>
      </w:rPr>
      <w:tab/>
      <w:t>Draft v1.2</w:t>
    </w:r>
    <w:r w:rsidR="005A201D">
      <w:rPr>
        <w:color w:val="A6A6A6" w:themeColor="background1" w:themeShade="A6"/>
      </w:rPr>
      <w:t xml:space="preserve">  August 18, 2025</w:t>
    </w:r>
    <w:r w:rsidR="00883FA7">
      <w:rPr>
        <w:color w:val="A6A6A6" w:themeColor="background1" w:themeShade="A6"/>
      </w:rPr>
      <w:tab/>
    </w:r>
  </w:p>
  <w:p w14:paraId="3720A3B6" w14:textId="77777777" w:rsidR="00FC5661" w:rsidRDefault="00FC5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066D" w14:textId="77777777" w:rsidR="00FC5661" w:rsidRDefault="00FC5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5A088" w14:textId="77777777" w:rsidR="000C23BA" w:rsidRDefault="000C23BA" w:rsidP="001A6981">
      <w:r>
        <w:separator/>
      </w:r>
    </w:p>
  </w:footnote>
  <w:footnote w:type="continuationSeparator" w:id="0">
    <w:p w14:paraId="45D61EEF" w14:textId="77777777" w:rsidR="000C23BA" w:rsidRDefault="000C23BA" w:rsidP="001A6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2594" w14:textId="77777777" w:rsidR="00FC5661" w:rsidRDefault="00FC5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6703" w14:textId="77777777" w:rsidR="00FC5661" w:rsidRDefault="00FC56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27AFA" w14:textId="77777777" w:rsidR="00FC5661" w:rsidRDefault="00FC5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872"/>
    <w:multiLevelType w:val="multilevel"/>
    <w:tmpl w:val="50F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778"/>
    <w:multiLevelType w:val="multilevel"/>
    <w:tmpl w:val="4E44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A1EED"/>
    <w:multiLevelType w:val="hybridMultilevel"/>
    <w:tmpl w:val="1F4C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D6278"/>
    <w:multiLevelType w:val="multilevel"/>
    <w:tmpl w:val="DDB8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7869"/>
    <w:multiLevelType w:val="multilevel"/>
    <w:tmpl w:val="62B0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E5E6B"/>
    <w:multiLevelType w:val="hybridMultilevel"/>
    <w:tmpl w:val="D3DE9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112A2"/>
    <w:multiLevelType w:val="multilevel"/>
    <w:tmpl w:val="EE1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6158B"/>
    <w:multiLevelType w:val="multilevel"/>
    <w:tmpl w:val="6C4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55733"/>
    <w:multiLevelType w:val="multilevel"/>
    <w:tmpl w:val="2D16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5536A"/>
    <w:multiLevelType w:val="multilevel"/>
    <w:tmpl w:val="921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4D6510"/>
    <w:multiLevelType w:val="multilevel"/>
    <w:tmpl w:val="BD86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B2023"/>
    <w:multiLevelType w:val="multilevel"/>
    <w:tmpl w:val="3AA8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327BD0"/>
    <w:multiLevelType w:val="multilevel"/>
    <w:tmpl w:val="658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05D5F"/>
    <w:multiLevelType w:val="multilevel"/>
    <w:tmpl w:val="8CF6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C5B9B"/>
    <w:multiLevelType w:val="hybridMultilevel"/>
    <w:tmpl w:val="021A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22295B"/>
    <w:multiLevelType w:val="multilevel"/>
    <w:tmpl w:val="B648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47938"/>
    <w:multiLevelType w:val="multilevel"/>
    <w:tmpl w:val="50D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6349"/>
    <w:multiLevelType w:val="multilevel"/>
    <w:tmpl w:val="847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768AB"/>
    <w:multiLevelType w:val="multilevel"/>
    <w:tmpl w:val="513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226DE"/>
    <w:multiLevelType w:val="multilevel"/>
    <w:tmpl w:val="A75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C5EB5"/>
    <w:multiLevelType w:val="hybridMultilevel"/>
    <w:tmpl w:val="3092C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A54E7A"/>
    <w:multiLevelType w:val="multilevel"/>
    <w:tmpl w:val="3AA8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817EDD"/>
    <w:multiLevelType w:val="hybridMultilevel"/>
    <w:tmpl w:val="24600204"/>
    <w:lvl w:ilvl="0" w:tplc="F5369836">
      <w:start w:val="1"/>
      <w:numFmt w:val="bullet"/>
      <w:lvlText w:val=""/>
      <w:lvlJc w:val="left"/>
      <w:pPr>
        <w:ind w:left="720" w:hanging="360"/>
      </w:pPr>
      <w:rPr>
        <w:rFonts w:ascii="Symbol" w:hAnsi="Symbol" w:hint="default"/>
        <w:color w:val="BFBFBF" w:themeColor="background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B71E6A"/>
    <w:multiLevelType w:val="multilevel"/>
    <w:tmpl w:val="240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216F7"/>
    <w:multiLevelType w:val="multilevel"/>
    <w:tmpl w:val="8938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121E1A"/>
    <w:multiLevelType w:val="multilevel"/>
    <w:tmpl w:val="11CA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25B27"/>
    <w:multiLevelType w:val="multilevel"/>
    <w:tmpl w:val="D91A3376"/>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6CB049B"/>
    <w:multiLevelType w:val="multilevel"/>
    <w:tmpl w:val="DAF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B7D7A"/>
    <w:multiLevelType w:val="multilevel"/>
    <w:tmpl w:val="1D5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0232AF"/>
    <w:multiLevelType w:val="multilevel"/>
    <w:tmpl w:val="2A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9614D"/>
    <w:multiLevelType w:val="multilevel"/>
    <w:tmpl w:val="2B7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15486"/>
    <w:multiLevelType w:val="multilevel"/>
    <w:tmpl w:val="D3A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BF5EE4"/>
    <w:multiLevelType w:val="hybridMultilevel"/>
    <w:tmpl w:val="3C3C17D2"/>
    <w:lvl w:ilvl="0" w:tplc="B9F683D4">
      <w:start w:val="1"/>
      <w:numFmt w:val="bullet"/>
      <w:lvlText w:val=""/>
      <w:lvlJc w:val="left"/>
      <w:pPr>
        <w:ind w:left="720" w:hanging="360"/>
      </w:pPr>
      <w:rPr>
        <w:rFonts w:ascii="Arial" w:hAnsi="Arial" w:cs="Times New Roman" w:hint="default"/>
        <w:b w:val="0"/>
        <w:i w:val="0"/>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2227ED2"/>
    <w:multiLevelType w:val="multilevel"/>
    <w:tmpl w:val="37E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6C76C1"/>
    <w:multiLevelType w:val="multilevel"/>
    <w:tmpl w:val="4A261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6281D"/>
    <w:multiLevelType w:val="multilevel"/>
    <w:tmpl w:val="5B5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C90611"/>
    <w:multiLevelType w:val="multilevel"/>
    <w:tmpl w:val="E62C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541A76"/>
    <w:multiLevelType w:val="multilevel"/>
    <w:tmpl w:val="914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613056"/>
    <w:multiLevelType w:val="multilevel"/>
    <w:tmpl w:val="11B0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19570B"/>
    <w:multiLevelType w:val="multilevel"/>
    <w:tmpl w:val="A46C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537C60"/>
    <w:multiLevelType w:val="multilevel"/>
    <w:tmpl w:val="6D1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12326"/>
    <w:multiLevelType w:val="multilevel"/>
    <w:tmpl w:val="4FF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84045"/>
    <w:multiLevelType w:val="multilevel"/>
    <w:tmpl w:val="A49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9B1034"/>
    <w:multiLevelType w:val="multilevel"/>
    <w:tmpl w:val="840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201A0E"/>
    <w:multiLevelType w:val="multilevel"/>
    <w:tmpl w:val="5DB2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D11619"/>
    <w:multiLevelType w:val="multilevel"/>
    <w:tmpl w:val="B648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106F73"/>
    <w:multiLevelType w:val="multilevel"/>
    <w:tmpl w:val="B648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7B19E8"/>
    <w:multiLevelType w:val="multilevel"/>
    <w:tmpl w:val="1BB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6D2276"/>
    <w:multiLevelType w:val="multilevel"/>
    <w:tmpl w:val="6110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BC167D"/>
    <w:multiLevelType w:val="multilevel"/>
    <w:tmpl w:val="C13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F72474"/>
    <w:multiLevelType w:val="multilevel"/>
    <w:tmpl w:val="60E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6F04A4"/>
    <w:multiLevelType w:val="multilevel"/>
    <w:tmpl w:val="6DC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18617A"/>
    <w:multiLevelType w:val="multilevel"/>
    <w:tmpl w:val="BBD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9B6062"/>
    <w:multiLevelType w:val="multilevel"/>
    <w:tmpl w:val="CC4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2D0F88"/>
    <w:multiLevelType w:val="multilevel"/>
    <w:tmpl w:val="FD5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312ED"/>
    <w:multiLevelType w:val="multilevel"/>
    <w:tmpl w:val="7D1AC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3225B4"/>
    <w:multiLevelType w:val="multilevel"/>
    <w:tmpl w:val="356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6B2B7C"/>
    <w:multiLevelType w:val="multilevel"/>
    <w:tmpl w:val="E214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FA2730"/>
    <w:multiLevelType w:val="multilevel"/>
    <w:tmpl w:val="07AA6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1B28E0"/>
    <w:multiLevelType w:val="multilevel"/>
    <w:tmpl w:val="C60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16459E"/>
    <w:multiLevelType w:val="multilevel"/>
    <w:tmpl w:val="63BEF83E"/>
    <w:lvl w:ilvl="0">
      <w:start w:val="1"/>
      <w:numFmt w:val="bullet"/>
      <w:pStyle w:val="List"/>
      <w:lvlText w:val=""/>
      <w:lvlJc w:val="left"/>
      <w:pPr>
        <w:ind w:left="720" w:hanging="360"/>
      </w:pPr>
      <w:rPr>
        <w:rFonts w:ascii="Symbol" w:hAnsi="Symbol" w:hint="default"/>
        <w:color w:val="BFBFBF" w:themeColor="background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6D16E2"/>
    <w:multiLevelType w:val="multilevel"/>
    <w:tmpl w:val="254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9926A4"/>
    <w:multiLevelType w:val="multilevel"/>
    <w:tmpl w:val="31BA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A170AC"/>
    <w:multiLevelType w:val="multilevel"/>
    <w:tmpl w:val="AF3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86694"/>
    <w:multiLevelType w:val="multilevel"/>
    <w:tmpl w:val="1F9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A84B78"/>
    <w:multiLevelType w:val="multilevel"/>
    <w:tmpl w:val="FF6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5312E0"/>
    <w:multiLevelType w:val="multilevel"/>
    <w:tmpl w:val="AFA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ED372A"/>
    <w:multiLevelType w:val="multilevel"/>
    <w:tmpl w:val="11F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824EDA"/>
    <w:multiLevelType w:val="multilevel"/>
    <w:tmpl w:val="AF0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883C6E"/>
    <w:multiLevelType w:val="hybridMultilevel"/>
    <w:tmpl w:val="FDCAECAC"/>
    <w:lvl w:ilvl="0" w:tplc="F5369836">
      <w:start w:val="1"/>
      <w:numFmt w:val="bullet"/>
      <w:lvlText w:val=""/>
      <w:lvlJc w:val="left"/>
      <w:pPr>
        <w:ind w:left="720" w:hanging="360"/>
      </w:pPr>
      <w:rPr>
        <w:rFonts w:ascii="Symbol" w:hAnsi="Symbol" w:hint="default"/>
        <w:color w:val="BFBFBF" w:themeColor="background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F22615"/>
    <w:multiLevelType w:val="multilevel"/>
    <w:tmpl w:val="3D56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1C2DF4"/>
    <w:multiLevelType w:val="multilevel"/>
    <w:tmpl w:val="6CA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123593">
    <w:abstractNumId w:val="36"/>
  </w:num>
  <w:num w:numId="2" w16cid:durableId="681131230">
    <w:abstractNumId w:val="38"/>
  </w:num>
  <w:num w:numId="3" w16cid:durableId="169298538">
    <w:abstractNumId w:val="55"/>
  </w:num>
  <w:num w:numId="4" w16cid:durableId="1007633765">
    <w:abstractNumId w:val="10"/>
  </w:num>
  <w:num w:numId="5" w16cid:durableId="777260586">
    <w:abstractNumId w:val="3"/>
  </w:num>
  <w:num w:numId="6" w16cid:durableId="1834881292">
    <w:abstractNumId w:val="7"/>
  </w:num>
  <w:num w:numId="7" w16cid:durableId="1829445783">
    <w:abstractNumId w:val="35"/>
  </w:num>
  <w:num w:numId="8" w16cid:durableId="624700245">
    <w:abstractNumId w:val="63"/>
  </w:num>
  <w:num w:numId="9" w16cid:durableId="36052847">
    <w:abstractNumId w:val="13"/>
  </w:num>
  <w:num w:numId="10" w16cid:durableId="438374858">
    <w:abstractNumId w:val="19"/>
  </w:num>
  <w:num w:numId="11" w16cid:durableId="841358543">
    <w:abstractNumId w:val="18"/>
  </w:num>
  <w:num w:numId="12" w16cid:durableId="1246718528">
    <w:abstractNumId w:val="56"/>
  </w:num>
  <w:num w:numId="13" w16cid:durableId="656567028">
    <w:abstractNumId w:val="61"/>
  </w:num>
  <w:num w:numId="14" w16cid:durableId="444466118">
    <w:abstractNumId w:val="50"/>
  </w:num>
  <w:num w:numId="15" w16cid:durableId="295532176">
    <w:abstractNumId w:val="71"/>
  </w:num>
  <w:num w:numId="16" w16cid:durableId="633024239">
    <w:abstractNumId w:val="16"/>
  </w:num>
  <w:num w:numId="17" w16cid:durableId="2010254504">
    <w:abstractNumId w:val="49"/>
  </w:num>
  <w:num w:numId="18" w16cid:durableId="1046179133">
    <w:abstractNumId w:val="40"/>
  </w:num>
  <w:num w:numId="19" w16cid:durableId="548221">
    <w:abstractNumId w:val="8"/>
  </w:num>
  <w:num w:numId="20" w16cid:durableId="1498033125">
    <w:abstractNumId w:val="44"/>
  </w:num>
  <w:num w:numId="21" w16cid:durableId="1297879208">
    <w:abstractNumId w:val="17"/>
  </w:num>
  <w:num w:numId="22" w16cid:durableId="1177385979">
    <w:abstractNumId w:val="43"/>
  </w:num>
  <w:num w:numId="23" w16cid:durableId="1518233126">
    <w:abstractNumId w:val="24"/>
  </w:num>
  <w:num w:numId="24" w16cid:durableId="312684247">
    <w:abstractNumId w:val="0"/>
  </w:num>
  <w:num w:numId="25" w16cid:durableId="1539276564">
    <w:abstractNumId w:val="33"/>
  </w:num>
  <w:num w:numId="26" w16cid:durableId="609439332">
    <w:abstractNumId w:val="65"/>
  </w:num>
  <w:num w:numId="27" w16cid:durableId="1541742119">
    <w:abstractNumId w:val="47"/>
  </w:num>
  <w:num w:numId="28" w16cid:durableId="1499928422">
    <w:abstractNumId w:val="6"/>
  </w:num>
  <w:num w:numId="29" w16cid:durableId="1151336762">
    <w:abstractNumId w:val="25"/>
  </w:num>
  <w:num w:numId="30" w16cid:durableId="649679846">
    <w:abstractNumId w:val="26"/>
  </w:num>
  <w:num w:numId="31" w16cid:durableId="441264900">
    <w:abstractNumId w:val="31"/>
  </w:num>
  <w:num w:numId="32" w16cid:durableId="1475372657">
    <w:abstractNumId w:val="41"/>
  </w:num>
  <w:num w:numId="33" w16cid:durableId="1764953666">
    <w:abstractNumId w:val="48"/>
  </w:num>
  <w:num w:numId="34" w16cid:durableId="2031906361">
    <w:abstractNumId w:val="30"/>
  </w:num>
  <w:num w:numId="35" w16cid:durableId="827327773">
    <w:abstractNumId w:val="53"/>
  </w:num>
  <w:num w:numId="36" w16cid:durableId="1636912235">
    <w:abstractNumId w:val="51"/>
  </w:num>
  <w:num w:numId="37" w16cid:durableId="2140024704">
    <w:abstractNumId w:val="68"/>
  </w:num>
  <w:num w:numId="38" w16cid:durableId="7682992">
    <w:abstractNumId w:val="66"/>
  </w:num>
  <w:num w:numId="39" w16cid:durableId="1610158876">
    <w:abstractNumId w:val="9"/>
  </w:num>
  <w:num w:numId="40" w16cid:durableId="269969050">
    <w:abstractNumId w:val="42"/>
  </w:num>
  <w:num w:numId="41" w16cid:durableId="1275551336">
    <w:abstractNumId w:val="62"/>
  </w:num>
  <w:num w:numId="42" w16cid:durableId="678434743">
    <w:abstractNumId w:val="70"/>
  </w:num>
  <w:num w:numId="43" w16cid:durableId="789478098">
    <w:abstractNumId w:val="64"/>
  </w:num>
  <w:num w:numId="44" w16cid:durableId="2112234974">
    <w:abstractNumId w:val="11"/>
  </w:num>
  <w:num w:numId="45" w16cid:durableId="1884246464">
    <w:abstractNumId w:val="21"/>
  </w:num>
  <w:num w:numId="46" w16cid:durableId="204829090">
    <w:abstractNumId w:val="32"/>
  </w:num>
  <w:num w:numId="47" w16cid:durableId="311493669">
    <w:abstractNumId w:val="22"/>
  </w:num>
  <w:num w:numId="48" w16cid:durableId="710617890">
    <w:abstractNumId w:val="69"/>
  </w:num>
  <w:num w:numId="49" w16cid:durableId="328869467">
    <w:abstractNumId w:val="60"/>
  </w:num>
  <w:num w:numId="50" w16cid:durableId="1414354733">
    <w:abstractNumId w:val="14"/>
  </w:num>
  <w:num w:numId="51" w16cid:durableId="1523547267">
    <w:abstractNumId w:val="57"/>
  </w:num>
  <w:num w:numId="52" w16cid:durableId="798063231">
    <w:abstractNumId w:val="4"/>
  </w:num>
  <w:num w:numId="53" w16cid:durableId="1186942924">
    <w:abstractNumId w:val="28"/>
  </w:num>
  <w:num w:numId="54" w16cid:durableId="1832285116">
    <w:abstractNumId w:val="1"/>
  </w:num>
  <w:num w:numId="55" w16cid:durableId="1560021835">
    <w:abstractNumId w:val="37"/>
  </w:num>
  <w:num w:numId="56" w16cid:durableId="1363243700">
    <w:abstractNumId w:val="67"/>
  </w:num>
  <w:num w:numId="57" w16cid:durableId="1983189351">
    <w:abstractNumId w:val="23"/>
  </w:num>
  <w:num w:numId="58" w16cid:durableId="1037238507">
    <w:abstractNumId w:val="29"/>
  </w:num>
  <w:num w:numId="59" w16cid:durableId="885332081">
    <w:abstractNumId w:val="54"/>
  </w:num>
  <w:num w:numId="60" w16cid:durableId="1450970525">
    <w:abstractNumId w:val="2"/>
  </w:num>
  <w:num w:numId="61" w16cid:durableId="1206216912">
    <w:abstractNumId w:val="27"/>
  </w:num>
  <w:num w:numId="62" w16cid:durableId="2020040824">
    <w:abstractNumId w:val="20"/>
  </w:num>
  <w:num w:numId="63" w16cid:durableId="1551070722">
    <w:abstractNumId w:val="5"/>
  </w:num>
  <w:num w:numId="64" w16cid:durableId="1228691710">
    <w:abstractNumId w:val="12"/>
  </w:num>
  <w:num w:numId="65" w16cid:durableId="13925801">
    <w:abstractNumId w:val="58"/>
  </w:num>
  <w:num w:numId="66" w16cid:durableId="1413354424">
    <w:abstractNumId w:val="59"/>
  </w:num>
  <w:num w:numId="67" w16cid:durableId="1177111547">
    <w:abstractNumId w:val="52"/>
  </w:num>
  <w:num w:numId="68" w16cid:durableId="1854221298">
    <w:abstractNumId w:val="34"/>
  </w:num>
  <w:num w:numId="69" w16cid:durableId="18748419">
    <w:abstractNumId w:val="39"/>
  </w:num>
  <w:num w:numId="70" w16cid:durableId="117915021">
    <w:abstractNumId w:val="15"/>
  </w:num>
  <w:num w:numId="71" w16cid:durableId="1844852183">
    <w:abstractNumId w:val="46"/>
  </w:num>
  <w:num w:numId="72" w16cid:durableId="114786649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52"/>
    <w:rsid w:val="000072A5"/>
    <w:rsid w:val="00013CA6"/>
    <w:rsid w:val="00014B03"/>
    <w:rsid w:val="00036860"/>
    <w:rsid w:val="00036B68"/>
    <w:rsid w:val="00065888"/>
    <w:rsid w:val="00094E99"/>
    <w:rsid w:val="00096045"/>
    <w:rsid w:val="000A17D9"/>
    <w:rsid w:val="000A4E8E"/>
    <w:rsid w:val="000B682E"/>
    <w:rsid w:val="000C23BA"/>
    <w:rsid w:val="000D0F74"/>
    <w:rsid w:val="000E6720"/>
    <w:rsid w:val="000F0540"/>
    <w:rsid w:val="000F5C38"/>
    <w:rsid w:val="00124F0F"/>
    <w:rsid w:val="00127900"/>
    <w:rsid w:val="00127F49"/>
    <w:rsid w:val="00150180"/>
    <w:rsid w:val="00151698"/>
    <w:rsid w:val="00155319"/>
    <w:rsid w:val="00157BE2"/>
    <w:rsid w:val="00170AB3"/>
    <w:rsid w:val="001874F2"/>
    <w:rsid w:val="00190B10"/>
    <w:rsid w:val="00196516"/>
    <w:rsid w:val="001A18D9"/>
    <w:rsid w:val="001A6981"/>
    <w:rsid w:val="001E0EDB"/>
    <w:rsid w:val="001E19E7"/>
    <w:rsid w:val="002068A3"/>
    <w:rsid w:val="00206EAC"/>
    <w:rsid w:val="00217F0D"/>
    <w:rsid w:val="0022631F"/>
    <w:rsid w:val="00227A75"/>
    <w:rsid w:val="002314BA"/>
    <w:rsid w:val="00244DBC"/>
    <w:rsid w:val="00247524"/>
    <w:rsid w:val="00261EAB"/>
    <w:rsid w:val="00291985"/>
    <w:rsid w:val="002A1B25"/>
    <w:rsid w:val="002A3541"/>
    <w:rsid w:val="002B5213"/>
    <w:rsid w:val="002C0234"/>
    <w:rsid w:val="002E67F9"/>
    <w:rsid w:val="00326F2D"/>
    <w:rsid w:val="00332BC7"/>
    <w:rsid w:val="003805CA"/>
    <w:rsid w:val="00396FFB"/>
    <w:rsid w:val="003B4772"/>
    <w:rsid w:val="003C5493"/>
    <w:rsid w:val="003E34EB"/>
    <w:rsid w:val="00417CBE"/>
    <w:rsid w:val="004226D9"/>
    <w:rsid w:val="0043039C"/>
    <w:rsid w:val="004329EB"/>
    <w:rsid w:val="0045573C"/>
    <w:rsid w:val="00477390"/>
    <w:rsid w:val="00486141"/>
    <w:rsid w:val="00497014"/>
    <w:rsid w:val="004A39F1"/>
    <w:rsid w:val="004B4FC7"/>
    <w:rsid w:val="004F1BDC"/>
    <w:rsid w:val="00505692"/>
    <w:rsid w:val="005075B6"/>
    <w:rsid w:val="00512DC9"/>
    <w:rsid w:val="00512EA9"/>
    <w:rsid w:val="00566A1C"/>
    <w:rsid w:val="00571BF0"/>
    <w:rsid w:val="005919FB"/>
    <w:rsid w:val="00593070"/>
    <w:rsid w:val="005A201D"/>
    <w:rsid w:val="005A441A"/>
    <w:rsid w:val="005B2505"/>
    <w:rsid w:val="005B7B7C"/>
    <w:rsid w:val="005C73DA"/>
    <w:rsid w:val="005F46A6"/>
    <w:rsid w:val="005F4794"/>
    <w:rsid w:val="00611F66"/>
    <w:rsid w:val="006300D0"/>
    <w:rsid w:val="00633A74"/>
    <w:rsid w:val="00650DA7"/>
    <w:rsid w:val="006578D8"/>
    <w:rsid w:val="006777E0"/>
    <w:rsid w:val="00694BF6"/>
    <w:rsid w:val="006B7FBC"/>
    <w:rsid w:val="006C2012"/>
    <w:rsid w:val="0072532E"/>
    <w:rsid w:val="00737B07"/>
    <w:rsid w:val="00747085"/>
    <w:rsid w:val="00752F05"/>
    <w:rsid w:val="00765216"/>
    <w:rsid w:val="00776863"/>
    <w:rsid w:val="00785E63"/>
    <w:rsid w:val="00793DC7"/>
    <w:rsid w:val="00797404"/>
    <w:rsid w:val="007B0EBC"/>
    <w:rsid w:val="007B24DA"/>
    <w:rsid w:val="007B289E"/>
    <w:rsid w:val="007B6377"/>
    <w:rsid w:val="007D26EB"/>
    <w:rsid w:val="00800799"/>
    <w:rsid w:val="0081557D"/>
    <w:rsid w:val="00832AD4"/>
    <w:rsid w:val="00842B4D"/>
    <w:rsid w:val="00850A24"/>
    <w:rsid w:val="008606FD"/>
    <w:rsid w:val="008711BF"/>
    <w:rsid w:val="00880650"/>
    <w:rsid w:val="00883FA7"/>
    <w:rsid w:val="00891909"/>
    <w:rsid w:val="0089343D"/>
    <w:rsid w:val="00897560"/>
    <w:rsid w:val="008A47B3"/>
    <w:rsid w:val="008B188D"/>
    <w:rsid w:val="008D5A06"/>
    <w:rsid w:val="008F5996"/>
    <w:rsid w:val="008F698E"/>
    <w:rsid w:val="00907120"/>
    <w:rsid w:val="00926F30"/>
    <w:rsid w:val="00934BE6"/>
    <w:rsid w:val="009422E1"/>
    <w:rsid w:val="00964435"/>
    <w:rsid w:val="00970F16"/>
    <w:rsid w:val="00985D1F"/>
    <w:rsid w:val="00986732"/>
    <w:rsid w:val="00992500"/>
    <w:rsid w:val="009A6374"/>
    <w:rsid w:val="009C6E39"/>
    <w:rsid w:val="009D64A9"/>
    <w:rsid w:val="009E22D1"/>
    <w:rsid w:val="00A02876"/>
    <w:rsid w:val="00A03363"/>
    <w:rsid w:val="00A05269"/>
    <w:rsid w:val="00A1086B"/>
    <w:rsid w:val="00A529EB"/>
    <w:rsid w:val="00A72CC3"/>
    <w:rsid w:val="00A94A11"/>
    <w:rsid w:val="00AD6A7A"/>
    <w:rsid w:val="00AE0BF4"/>
    <w:rsid w:val="00AE579A"/>
    <w:rsid w:val="00AF53EB"/>
    <w:rsid w:val="00AF6635"/>
    <w:rsid w:val="00B069F4"/>
    <w:rsid w:val="00B21F38"/>
    <w:rsid w:val="00B52E64"/>
    <w:rsid w:val="00B7610A"/>
    <w:rsid w:val="00B85D52"/>
    <w:rsid w:val="00B9076F"/>
    <w:rsid w:val="00BB1B0C"/>
    <w:rsid w:val="00BC26D4"/>
    <w:rsid w:val="00BD06BD"/>
    <w:rsid w:val="00BD4472"/>
    <w:rsid w:val="00BE6C3F"/>
    <w:rsid w:val="00BF4E34"/>
    <w:rsid w:val="00BF67C3"/>
    <w:rsid w:val="00C12DF4"/>
    <w:rsid w:val="00C267BC"/>
    <w:rsid w:val="00C516D8"/>
    <w:rsid w:val="00C702C0"/>
    <w:rsid w:val="00C747BD"/>
    <w:rsid w:val="00C75C14"/>
    <w:rsid w:val="00C84E71"/>
    <w:rsid w:val="00C92BF9"/>
    <w:rsid w:val="00C94F2D"/>
    <w:rsid w:val="00CB3122"/>
    <w:rsid w:val="00CB7F52"/>
    <w:rsid w:val="00CC30E9"/>
    <w:rsid w:val="00CD4757"/>
    <w:rsid w:val="00CF1513"/>
    <w:rsid w:val="00CF1F52"/>
    <w:rsid w:val="00D01C19"/>
    <w:rsid w:val="00D21983"/>
    <w:rsid w:val="00D22EE8"/>
    <w:rsid w:val="00D2558A"/>
    <w:rsid w:val="00D55203"/>
    <w:rsid w:val="00D6571E"/>
    <w:rsid w:val="00D67E56"/>
    <w:rsid w:val="00D777DE"/>
    <w:rsid w:val="00D92C15"/>
    <w:rsid w:val="00D937C9"/>
    <w:rsid w:val="00DA5F69"/>
    <w:rsid w:val="00DA704A"/>
    <w:rsid w:val="00DC1162"/>
    <w:rsid w:val="00DD73DC"/>
    <w:rsid w:val="00DF6885"/>
    <w:rsid w:val="00E156DE"/>
    <w:rsid w:val="00E23C3B"/>
    <w:rsid w:val="00E422B5"/>
    <w:rsid w:val="00E56371"/>
    <w:rsid w:val="00E72F4E"/>
    <w:rsid w:val="00E86DA5"/>
    <w:rsid w:val="00E900D7"/>
    <w:rsid w:val="00EA1DDA"/>
    <w:rsid w:val="00EC7290"/>
    <w:rsid w:val="00ED2056"/>
    <w:rsid w:val="00EE57CB"/>
    <w:rsid w:val="00F107F2"/>
    <w:rsid w:val="00F172F2"/>
    <w:rsid w:val="00F374BB"/>
    <w:rsid w:val="00F54177"/>
    <w:rsid w:val="00F93D9B"/>
    <w:rsid w:val="00FB2EB6"/>
    <w:rsid w:val="00FC5661"/>
    <w:rsid w:val="00FD6A42"/>
    <w:rsid w:val="00FE280B"/>
    <w:rsid w:val="00FE6CAC"/>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D7392"/>
  <w15:chartTrackingRefBased/>
  <w15:docId w15:val="{D1AD25D0-CD17-4640-A9C9-DABAA26E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FB"/>
    <w:pPr>
      <w:spacing w:after="80" w:line="276" w:lineRule="auto"/>
    </w:pPr>
    <w:rPr>
      <w:rFonts w:ascii="Times New Roman" w:eastAsia="Times New Roman" w:hAnsi="Times New Roman" w:cs="Times New Roman"/>
      <w:kern w:val="0"/>
      <w:sz w:val="22"/>
      <w:szCs w:val="22"/>
      <w14:ligatures w14:val="none"/>
    </w:rPr>
  </w:style>
  <w:style w:type="paragraph" w:styleId="Heading1">
    <w:name w:val="heading 1"/>
    <w:basedOn w:val="Heading2"/>
    <w:next w:val="Normal"/>
    <w:link w:val="Heading1Char"/>
    <w:uiPriority w:val="9"/>
    <w:qFormat/>
    <w:rsid w:val="00880650"/>
    <w:pPr>
      <w:outlineLvl w:val="0"/>
    </w:pPr>
    <w:rPr>
      <w:sz w:val="28"/>
      <w:szCs w:val="28"/>
    </w:rPr>
  </w:style>
  <w:style w:type="paragraph" w:styleId="Heading2">
    <w:name w:val="heading 2"/>
    <w:basedOn w:val="Heading3"/>
    <w:next w:val="Normal"/>
    <w:link w:val="Heading2Char"/>
    <w:uiPriority w:val="9"/>
    <w:unhideWhenUsed/>
    <w:qFormat/>
    <w:rsid w:val="00880650"/>
    <w:pPr>
      <w:outlineLvl w:val="1"/>
    </w:pPr>
  </w:style>
  <w:style w:type="paragraph" w:styleId="Heading3">
    <w:name w:val="heading 3"/>
    <w:basedOn w:val="Normal"/>
    <w:next w:val="Normal"/>
    <w:link w:val="Heading3Char"/>
    <w:uiPriority w:val="9"/>
    <w:unhideWhenUsed/>
    <w:qFormat/>
    <w:rsid w:val="009E22D1"/>
    <w:pPr>
      <w:keepNext/>
      <w:keepLines/>
      <w:spacing w:before="240"/>
      <w:outlineLvl w:val="2"/>
    </w:pPr>
    <w:rPr>
      <w:b/>
      <w:bCs/>
    </w:rPr>
  </w:style>
  <w:style w:type="paragraph" w:styleId="Heading4">
    <w:name w:val="heading 4"/>
    <w:basedOn w:val="Normal"/>
    <w:next w:val="Normal"/>
    <w:link w:val="Heading4Char"/>
    <w:uiPriority w:val="9"/>
    <w:unhideWhenUsed/>
    <w:qFormat/>
    <w:rsid w:val="00CF1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50"/>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9"/>
    <w:rsid w:val="00880650"/>
    <w:rPr>
      <w:rFonts w:ascii="Times New Roman" w:eastAsia="Times New Roman" w:hAnsi="Times New Roman" w:cs="Times New Roman"/>
      <w:b/>
      <w:bCs/>
      <w:kern w:val="0"/>
      <w:sz w:val="22"/>
      <w:szCs w:val="22"/>
      <w14:ligatures w14:val="none"/>
    </w:rPr>
  </w:style>
  <w:style w:type="character" w:customStyle="1" w:styleId="Heading3Char">
    <w:name w:val="Heading 3 Char"/>
    <w:basedOn w:val="DefaultParagraphFont"/>
    <w:link w:val="Heading3"/>
    <w:uiPriority w:val="9"/>
    <w:rsid w:val="009E22D1"/>
    <w:rPr>
      <w:rFonts w:ascii="Times New Roman" w:eastAsia="Times New Roman" w:hAnsi="Times New Roman" w:cs="Times New Roman"/>
      <w:b/>
      <w:bCs/>
      <w:kern w:val="0"/>
      <w:sz w:val="22"/>
      <w:szCs w:val="22"/>
      <w14:ligatures w14:val="none"/>
    </w:rPr>
  </w:style>
  <w:style w:type="character" w:customStyle="1" w:styleId="Heading4Char">
    <w:name w:val="Heading 4 Char"/>
    <w:basedOn w:val="DefaultParagraphFont"/>
    <w:link w:val="Heading4"/>
    <w:uiPriority w:val="9"/>
    <w:rsid w:val="00CF1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F52"/>
    <w:rPr>
      <w:rFonts w:eastAsiaTheme="majorEastAsia" w:cstheme="majorBidi"/>
      <w:color w:val="272727" w:themeColor="text1" w:themeTint="D8"/>
    </w:rPr>
  </w:style>
  <w:style w:type="paragraph" w:styleId="Title">
    <w:name w:val="Title"/>
    <w:basedOn w:val="Normal"/>
    <w:next w:val="Normal"/>
    <w:link w:val="TitleChar"/>
    <w:uiPriority w:val="10"/>
    <w:qFormat/>
    <w:rsid w:val="001A6981"/>
    <w:pPr>
      <w:contextualSpacing/>
    </w:pPr>
    <w:rPr>
      <w:spacing w:val="-10"/>
      <w:kern w:val="28"/>
      <w:sz w:val="48"/>
      <w:szCs w:val="48"/>
    </w:rPr>
  </w:style>
  <w:style w:type="character" w:customStyle="1" w:styleId="TitleChar">
    <w:name w:val="Title Char"/>
    <w:basedOn w:val="DefaultParagraphFont"/>
    <w:link w:val="Title"/>
    <w:uiPriority w:val="10"/>
    <w:rsid w:val="001A6981"/>
    <w:rPr>
      <w:rFonts w:ascii="Times New Roman" w:eastAsia="Times New Roman" w:hAnsi="Times New Roman" w:cs="Times New Roman"/>
      <w:spacing w:val="-10"/>
      <w:kern w:val="28"/>
      <w:sz w:val="48"/>
      <w:szCs w:val="48"/>
      <w14:ligatures w14:val="none"/>
    </w:rPr>
  </w:style>
  <w:style w:type="paragraph" w:styleId="Subtitle">
    <w:name w:val="Subtitle"/>
    <w:basedOn w:val="Normal"/>
    <w:next w:val="Normal"/>
    <w:link w:val="SubtitleChar"/>
    <w:uiPriority w:val="11"/>
    <w:qFormat/>
    <w:rsid w:val="00CF1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F52"/>
    <w:pPr>
      <w:spacing w:before="160"/>
      <w:jc w:val="center"/>
    </w:pPr>
    <w:rPr>
      <w:i/>
      <w:iCs/>
      <w:color w:val="404040" w:themeColor="text1" w:themeTint="BF"/>
    </w:rPr>
  </w:style>
  <w:style w:type="character" w:customStyle="1" w:styleId="QuoteChar">
    <w:name w:val="Quote Char"/>
    <w:basedOn w:val="DefaultParagraphFont"/>
    <w:link w:val="Quote"/>
    <w:uiPriority w:val="29"/>
    <w:rsid w:val="00CF1F52"/>
    <w:rPr>
      <w:i/>
      <w:iCs/>
      <w:color w:val="404040" w:themeColor="text1" w:themeTint="BF"/>
    </w:rPr>
  </w:style>
  <w:style w:type="paragraph" w:styleId="ListParagraph">
    <w:name w:val="List Paragraph"/>
    <w:basedOn w:val="Normal"/>
    <w:uiPriority w:val="34"/>
    <w:qFormat/>
    <w:rsid w:val="00CF1F52"/>
    <w:pPr>
      <w:ind w:left="720"/>
      <w:contextualSpacing/>
    </w:pPr>
  </w:style>
  <w:style w:type="character" w:styleId="IntenseEmphasis">
    <w:name w:val="Intense Emphasis"/>
    <w:basedOn w:val="DefaultParagraphFont"/>
    <w:uiPriority w:val="21"/>
    <w:qFormat/>
    <w:rsid w:val="00CF1F52"/>
    <w:rPr>
      <w:i/>
      <w:iCs/>
      <w:color w:val="0F4761" w:themeColor="accent1" w:themeShade="BF"/>
    </w:rPr>
  </w:style>
  <w:style w:type="paragraph" w:styleId="IntenseQuote">
    <w:name w:val="Intense Quote"/>
    <w:basedOn w:val="Normal"/>
    <w:next w:val="Normal"/>
    <w:link w:val="IntenseQuoteChar"/>
    <w:uiPriority w:val="30"/>
    <w:qFormat/>
    <w:rsid w:val="00CF1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F52"/>
    <w:rPr>
      <w:i/>
      <w:iCs/>
      <w:color w:val="0F4761" w:themeColor="accent1" w:themeShade="BF"/>
    </w:rPr>
  </w:style>
  <w:style w:type="character" w:styleId="IntenseReference">
    <w:name w:val="Intense Reference"/>
    <w:basedOn w:val="DefaultParagraphFont"/>
    <w:uiPriority w:val="32"/>
    <w:qFormat/>
    <w:rsid w:val="00CF1F52"/>
    <w:rPr>
      <w:b/>
      <w:bCs/>
      <w:smallCaps/>
      <w:color w:val="0F4761" w:themeColor="accent1" w:themeShade="BF"/>
      <w:spacing w:val="5"/>
    </w:rPr>
  </w:style>
  <w:style w:type="paragraph" w:customStyle="1" w:styleId="p1">
    <w:name w:val="p1"/>
    <w:basedOn w:val="Normal"/>
    <w:rsid w:val="008F698E"/>
    <w:pPr>
      <w:spacing w:before="100" w:beforeAutospacing="1" w:after="100" w:afterAutospacing="1" w:line="240" w:lineRule="auto"/>
    </w:pPr>
  </w:style>
  <w:style w:type="character" w:customStyle="1" w:styleId="s1">
    <w:name w:val="s1"/>
    <w:basedOn w:val="DefaultParagraphFont"/>
    <w:rsid w:val="008F698E"/>
  </w:style>
  <w:style w:type="paragraph" w:customStyle="1" w:styleId="p2">
    <w:name w:val="p2"/>
    <w:basedOn w:val="Normal"/>
    <w:rsid w:val="008F698E"/>
    <w:pPr>
      <w:spacing w:before="100" w:beforeAutospacing="1" w:after="100" w:afterAutospacing="1" w:line="240" w:lineRule="auto"/>
    </w:pPr>
  </w:style>
  <w:style w:type="character" w:customStyle="1" w:styleId="s2">
    <w:name w:val="s2"/>
    <w:basedOn w:val="DefaultParagraphFont"/>
    <w:rsid w:val="008F698E"/>
  </w:style>
  <w:style w:type="paragraph" w:customStyle="1" w:styleId="p3">
    <w:name w:val="p3"/>
    <w:basedOn w:val="Normal"/>
    <w:rsid w:val="008F698E"/>
    <w:pPr>
      <w:spacing w:before="100" w:beforeAutospacing="1" w:after="100" w:afterAutospacing="1" w:line="240" w:lineRule="auto"/>
    </w:pPr>
  </w:style>
  <w:style w:type="paragraph" w:customStyle="1" w:styleId="p4">
    <w:name w:val="p4"/>
    <w:basedOn w:val="Normal"/>
    <w:rsid w:val="008F698E"/>
    <w:pPr>
      <w:spacing w:before="100" w:beforeAutospacing="1" w:after="100" w:afterAutospacing="1" w:line="240" w:lineRule="auto"/>
    </w:pPr>
  </w:style>
  <w:style w:type="paragraph" w:customStyle="1" w:styleId="whitespace-normal">
    <w:name w:val="whitespace-normal"/>
    <w:basedOn w:val="Normal"/>
    <w:rsid w:val="008F698E"/>
    <w:pPr>
      <w:spacing w:before="100" w:beforeAutospacing="1" w:after="100" w:afterAutospacing="1" w:line="240" w:lineRule="auto"/>
    </w:pPr>
  </w:style>
  <w:style w:type="character" w:styleId="Strong">
    <w:name w:val="Strong"/>
    <w:basedOn w:val="DefaultParagraphFont"/>
    <w:uiPriority w:val="22"/>
    <w:qFormat/>
    <w:rsid w:val="008F698E"/>
    <w:rPr>
      <w:b/>
      <w:bCs/>
    </w:rPr>
  </w:style>
  <w:style w:type="character" w:styleId="Emphasis">
    <w:name w:val="Emphasis"/>
    <w:basedOn w:val="DefaultParagraphFont"/>
    <w:uiPriority w:val="20"/>
    <w:qFormat/>
    <w:rsid w:val="008F698E"/>
    <w:rPr>
      <w:i/>
      <w:iCs/>
    </w:rPr>
  </w:style>
  <w:style w:type="paragraph" w:customStyle="1" w:styleId="task-list-item">
    <w:name w:val="task-list-item"/>
    <w:basedOn w:val="Normal"/>
    <w:rsid w:val="008F698E"/>
    <w:pPr>
      <w:spacing w:before="100" w:beforeAutospacing="1" w:after="100" w:afterAutospacing="1" w:line="240" w:lineRule="auto"/>
    </w:pPr>
  </w:style>
  <w:style w:type="paragraph" w:styleId="NormalWeb">
    <w:name w:val="Normal (Web)"/>
    <w:basedOn w:val="Normal"/>
    <w:uiPriority w:val="99"/>
    <w:semiHidden/>
    <w:unhideWhenUsed/>
    <w:rsid w:val="000D0F74"/>
    <w:pPr>
      <w:spacing w:before="100" w:beforeAutospacing="1" w:after="100" w:afterAutospacing="1" w:line="240" w:lineRule="auto"/>
    </w:pPr>
  </w:style>
  <w:style w:type="character" w:customStyle="1" w:styleId="mord">
    <w:name w:val="mord"/>
    <w:basedOn w:val="DefaultParagraphFont"/>
    <w:rsid w:val="000D0F74"/>
  </w:style>
  <w:style w:type="character" w:customStyle="1" w:styleId="vlist-s">
    <w:name w:val="vlist-s"/>
    <w:basedOn w:val="DefaultParagraphFont"/>
    <w:rsid w:val="000D0F74"/>
  </w:style>
  <w:style w:type="character" w:customStyle="1" w:styleId="mrel">
    <w:name w:val="mrel"/>
    <w:basedOn w:val="DefaultParagraphFont"/>
    <w:rsid w:val="000D0F74"/>
  </w:style>
  <w:style w:type="paragraph" w:customStyle="1" w:styleId="msonormal0">
    <w:name w:val="msonormal"/>
    <w:basedOn w:val="Normal"/>
    <w:rsid w:val="000D0F74"/>
    <w:pPr>
      <w:spacing w:before="100" w:beforeAutospacing="1" w:after="100" w:afterAutospacing="1" w:line="240" w:lineRule="auto"/>
    </w:pPr>
  </w:style>
  <w:style w:type="character" w:customStyle="1" w:styleId="mat-mdc-button-persistent-ripple">
    <w:name w:val="mat-mdc-button-persistent-ripple"/>
    <w:basedOn w:val="DefaultParagraphFont"/>
    <w:rsid w:val="000D0F74"/>
  </w:style>
  <w:style w:type="character" w:customStyle="1" w:styleId="mdc-buttonlabel">
    <w:name w:val="mdc-button__label"/>
    <w:basedOn w:val="DefaultParagraphFont"/>
    <w:rsid w:val="000D0F74"/>
  </w:style>
  <w:style w:type="character" w:customStyle="1" w:styleId="export-sheets-button">
    <w:name w:val="export-sheets-button"/>
    <w:basedOn w:val="DefaultParagraphFont"/>
    <w:rsid w:val="000D0F74"/>
  </w:style>
  <w:style w:type="character" w:customStyle="1" w:styleId="export-sheets-icon">
    <w:name w:val="export-sheets-icon"/>
    <w:basedOn w:val="DefaultParagraphFont"/>
    <w:rsid w:val="000D0F74"/>
  </w:style>
  <w:style w:type="character" w:customStyle="1" w:styleId="mat-focus-indicator">
    <w:name w:val="mat-focus-indicator"/>
    <w:basedOn w:val="DefaultParagraphFont"/>
    <w:rsid w:val="000D0F74"/>
  </w:style>
  <w:style w:type="character" w:customStyle="1" w:styleId="mat-mdc-button-touch-target">
    <w:name w:val="mat-mdc-button-touch-target"/>
    <w:basedOn w:val="DefaultParagraphFont"/>
    <w:rsid w:val="000D0F74"/>
  </w:style>
  <w:style w:type="character" w:customStyle="1" w:styleId="user-query-container">
    <w:name w:val="user-query-container"/>
    <w:basedOn w:val="DefaultParagraphFont"/>
    <w:rsid w:val="000D0F74"/>
  </w:style>
  <w:style w:type="character" w:customStyle="1" w:styleId="user-query-bubble-with-background">
    <w:name w:val="user-query-bubble-with-background"/>
    <w:basedOn w:val="DefaultParagraphFont"/>
    <w:rsid w:val="000D0F74"/>
  </w:style>
  <w:style w:type="character" w:customStyle="1" w:styleId="horizontal-container">
    <w:name w:val="horizontal-container"/>
    <w:basedOn w:val="DefaultParagraphFont"/>
    <w:rsid w:val="000D0F74"/>
  </w:style>
  <w:style w:type="paragraph" w:customStyle="1" w:styleId="query-text-line">
    <w:name w:val="query-text-line"/>
    <w:basedOn w:val="Normal"/>
    <w:rsid w:val="000D0F74"/>
    <w:pPr>
      <w:spacing w:before="100" w:beforeAutospacing="1" w:after="100" w:afterAutospacing="1" w:line="240" w:lineRule="auto"/>
    </w:pPr>
  </w:style>
  <w:style w:type="character" w:customStyle="1" w:styleId="ng-tns-c2105936982-354">
    <w:name w:val="ng-tns-c2105936982-354"/>
    <w:basedOn w:val="DefaultParagraphFont"/>
    <w:rsid w:val="000D0F74"/>
  </w:style>
  <w:style w:type="character" w:customStyle="1" w:styleId="math-inline">
    <w:name w:val="math-inline"/>
    <w:basedOn w:val="DefaultParagraphFont"/>
    <w:rsid w:val="000D0F74"/>
  </w:style>
  <w:style w:type="character" w:customStyle="1" w:styleId="katex">
    <w:name w:val="katex"/>
    <w:basedOn w:val="DefaultParagraphFont"/>
    <w:rsid w:val="000D0F74"/>
  </w:style>
  <w:style w:type="character" w:customStyle="1" w:styleId="katex-html">
    <w:name w:val="katex-html"/>
    <w:basedOn w:val="DefaultParagraphFont"/>
    <w:rsid w:val="000D0F74"/>
  </w:style>
  <w:style w:type="character" w:customStyle="1" w:styleId="base">
    <w:name w:val="base"/>
    <w:basedOn w:val="DefaultParagraphFont"/>
    <w:rsid w:val="000D0F74"/>
  </w:style>
  <w:style w:type="character" w:customStyle="1" w:styleId="strut">
    <w:name w:val="strut"/>
    <w:basedOn w:val="DefaultParagraphFont"/>
    <w:rsid w:val="000D0F74"/>
  </w:style>
  <w:style w:type="character" w:customStyle="1" w:styleId="msupsub">
    <w:name w:val="msupsub"/>
    <w:basedOn w:val="DefaultParagraphFont"/>
    <w:rsid w:val="000D0F74"/>
  </w:style>
  <w:style w:type="character" w:customStyle="1" w:styleId="vlist-t">
    <w:name w:val="vlist-t"/>
    <w:basedOn w:val="DefaultParagraphFont"/>
    <w:rsid w:val="000D0F74"/>
  </w:style>
  <w:style w:type="character" w:customStyle="1" w:styleId="vlist-r">
    <w:name w:val="vlist-r"/>
    <w:basedOn w:val="DefaultParagraphFont"/>
    <w:rsid w:val="000D0F74"/>
  </w:style>
  <w:style w:type="character" w:customStyle="1" w:styleId="vlist">
    <w:name w:val="vlist"/>
    <w:basedOn w:val="DefaultParagraphFont"/>
    <w:rsid w:val="000D0F74"/>
  </w:style>
  <w:style w:type="character" w:customStyle="1" w:styleId="pstrut">
    <w:name w:val="pstrut"/>
    <w:basedOn w:val="DefaultParagraphFont"/>
    <w:rsid w:val="000D0F74"/>
  </w:style>
  <w:style w:type="character" w:customStyle="1" w:styleId="sizing">
    <w:name w:val="sizing"/>
    <w:basedOn w:val="DefaultParagraphFont"/>
    <w:rsid w:val="000D0F74"/>
  </w:style>
  <w:style w:type="character" w:customStyle="1" w:styleId="ng-tns-c2105936982-365">
    <w:name w:val="ng-tns-c2105936982-365"/>
    <w:basedOn w:val="DefaultParagraphFont"/>
    <w:rsid w:val="000D0F74"/>
  </w:style>
  <w:style w:type="character" w:customStyle="1" w:styleId="mspace">
    <w:name w:val="mspace"/>
    <w:basedOn w:val="DefaultParagraphFont"/>
    <w:rsid w:val="000D0F74"/>
  </w:style>
  <w:style w:type="character" w:customStyle="1" w:styleId="mat-ripple">
    <w:name w:val="mat-ripple"/>
    <w:basedOn w:val="DefaultParagraphFont"/>
    <w:rsid w:val="000D0F74"/>
  </w:style>
  <w:style w:type="character" w:customStyle="1" w:styleId="apple-converted-space">
    <w:name w:val="apple-converted-space"/>
    <w:basedOn w:val="DefaultParagraphFont"/>
    <w:rsid w:val="00127900"/>
  </w:style>
  <w:style w:type="character" w:customStyle="1" w:styleId="s3">
    <w:name w:val="s3"/>
    <w:basedOn w:val="DefaultParagraphFont"/>
    <w:rsid w:val="00CC30E9"/>
  </w:style>
  <w:style w:type="table" w:styleId="PlainTable2">
    <w:name w:val="Plain Table 2"/>
    <w:basedOn w:val="TableNormal"/>
    <w:uiPriority w:val="42"/>
    <w:rsid w:val="00E23C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23C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D4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472"/>
    <w:rPr>
      <w:rFonts w:ascii="Times New Roman" w:hAnsi="Times New Roman" w:cs="Times New Roman"/>
    </w:rPr>
  </w:style>
  <w:style w:type="paragraph" w:styleId="Footer">
    <w:name w:val="footer"/>
    <w:basedOn w:val="Normal"/>
    <w:link w:val="FooterChar"/>
    <w:uiPriority w:val="99"/>
    <w:unhideWhenUsed/>
    <w:rsid w:val="00BD4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472"/>
    <w:rPr>
      <w:rFonts w:ascii="Times New Roman" w:hAnsi="Times New Roman" w:cs="Times New Roman"/>
    </w:rPr>
  </w:style>
  <w:style w:type="paragraph" w:styleId="List">
    <w:name w:val="List"/>
    <w:basedOn w:val="Normal"/>
    <w:uiPriority w:val="99"/>
    <w:unhideWhenUsed/>
    <w:rsid w:val="00170AB3"/>
    <w:pPr>
      <w:numPr>
        <w:numId w:val="49"/>
      </w:numPr>
      <w:contextualSpacing/>
    </w:pPr>
  </w:style>
  <w:style w:type="paragraph" w:customStyle="1" w:styleId="Title-2">
    <w:name w:val="Title-2"/>
    <w:basedOn w:val="Normal"/>
    <w:qFormat/>
    <w:rsid w:val="008606FD"/>
    <w:rPr>
      <w:sz w:val="44"/>
      <w:szCs w:val="44"/>
    </w:rPr>
  </w:style>
  <w:style w:type="paragraph" w:styleId="FootnoteText">
    <w:name w:val="footnote text"/>
    <w:basedOn w:val="Normal"/>
    <w:link w:val="FootnoteTextChar"/>
    <w:uiPriority w:val="99"/>
    <w:semiHidden/>
    <w:unhideWhenUsed/>
    <w:rsid w:val="003E34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4EB"/>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E34EB"/>
    <w:rPr>
      <w:vertAlign w:val="superscript"/>
    </w:rPr>
  </w:style>
  <w:style w:type="paragraph" w:styleId="EndnoteText">
    <w:name w:val="endnote text"/>
    <w:basedOn w:val="Normal"/>
    <w:link w:val="EndnoteTextChar"/>
    <w:uiPriority w:val="99"/>
    <w:semiHidden/>
    <w:unhideWhenUsed/>
    <w:rsid w:val="003E34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34EB"/>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3E34EB"/>
    <w:rPr>
      <w:vertAlign w:val="superscript"/>
    </w:rPr>
  </w:style>
  <w:style w:type="table" w:styleId="TableGrid">
    <w:name w:val="Table Grid"/>
    <w:basedOn w:val="TableNormal"/>
    <w:uiPriority w:val="39"/>
    <w:rsid w:val="00261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B4772"/>
    <w:pPr>
      <w:spacing w:after="0" w:line="240" w:lineRule="auto"/>
    </w:pPr>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ageNumber">
    <w:name w:val="page number"/>
    <w:basedOn w:val="DefaultParagraphFont"/>
    <w:uiPriority w:val="99"/>
    <w:semiHidden/>
    <w:unhideWhenUsed/>
    <w:rsid w:val="00FC5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EAB15B-69B8-5F44-AAB0-65ACEBDF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Pitts</dc:creator>
  <cp:keywords/>
  <dc:description/>
  <cp:lastModifiedBy>Brian Pitts</cp:lastModifiedBy>
  <cp:revision>93</cp:revision>
  <dcterms:created xsi:type="dcterms:W3CDTF">2025-08-18T16:41:00Z</dcterms:created>
  <dcterms:modified xsi:type="dcterms:W3CDTF">2025-08-18T20:47:00Z</dcterms:modified>
</cp:coreProperties>
</file>