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center"/>
      </w:pPr>
      <w:r>
        <w:rPr>
          <w:rFonts w:ascii="Times New Roman" w:cs="Times New Roman" w:eastAsia="Times New Roman" w:hAnsi="Times New Roman"/>
          <w:b/>
          <w:bCs/>
          <w:sz w:val="24"/>
          <w:szCs w:val="24"/>
        </w:rPr>
        <w:t xml:space="preserve">Southern University and A&amp;M College</w:t>
      </w:r>
    </w:p>
    <w:p>
      <w:pPr>
        <w:spacing w:after="40"/>
        <w:jc w:val="center"/>
      </w:pPr>
      <w:r>
        <w:rPr>
          <w:rFonts w:ascii="Times New Roman" w:cs="Times New Roman" w:eastAsia="Times New Roman" w:hAnsi="Times New Roman"/>
          <w:b/>
          <w:bCs/>
          <w:sz w:val="24"/>
          <w:szCs w:val="24"/>
        </w:rPr>
        <w:t xml:space="preserve">Southern University Industrial Training and Assessment Center (SU ITAC)</w:t>
      </w:r>
    </w:p>
    <w:p>
      <w:pPr>
        <w:spacing w:after="40"/>
        <w:jc w:val="center"/>
      </w:pPr>
      <w:r>
        <w:rPr>
          <w:rFonts w:ascii="Times New Roman" w:cs="Times New Roman" w:eastAsia="Times New Roman" w:hAnsi="Times New Roman"/>
          <w:sz w:val="24"/>
          <w:szCs w:val="24"/>
        </w:rPr>
        <w:t xml:space="preserve">University-Based ITAC — Track 1: Manufacturing</w:t>
      </w:r>
    </w:p>
    <w:p>
      <w:pPr>
        <w:spacing w:after="40"/>
        <w:jc w:val="center"/>
      </w:pPr>
      <w:r>
        <w:rPr>
          <w:rFonts w:ascii="Times New Roman" w:cs="Times New Roman" w:eastAsia="Times New Roman" w:hAnsi="Times New Roman"/>
          <w:sz w:val="24"/>
          <w:szCs w:val="24"/>
        </w:rPr>
        <w:t xml:space="preserve">Project Narrative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8"/>
        <w:gridCol w:w="6552"/>
      </w:tblGrid>
      <w:tr>
        <w:trPr>
          <w:cantSplit/>
          <w:tblHeader/>
        </w:trPr>
        <w:tc>
          <w:tcPr>
            <w:tcW w:type="dxa" w:w="2808"/>
            <w:shd w:fill="D9E2F3" w:color="auto" w:val="clear"/>
            <w:tcMar>
              <w:top w:type="dxa" w:w="20"/>
              <w:left w:type="dxa" w:w="60"/>
              <w:bottom w:type="dxa" w:w="20"/>
              <w:right w:type="dxa" w:w="60"/>
            </w:tcMar>
          </w:tcPr>
          <w:p>
            <w:r>
              <w:rPr>
                <w:rFonts w:ascii="Times New Roman" w:cs="Times New Roman" w:eastAsia="Times New Roman" w:hAnsi="Times New Roman"/>
                <w:b/>
                <w:bCs/>
                <w:sz w:val="24"/>
                <w:szCs w:val="24"/>
              </w:rPr>
              <w:t xml:space="preserve">Item</w:t>
            </w:r>
          </w:p>
        </w:tc>
        <w:tc>
          <w:tcPr>
            <w:tcW w:type="dxa" w:w="6552"/>
            <w:shd w:fill="D9E2F3" w:color="auto" w:val="clear"/>
            <w:tcMar>
              <w:top w:type="dxa" w:w="20"/>
              <w:left w:type="dxa" w:w="60"/>
              <w:bottom w:type="dxa" w:w="20"/>
              <w:right w:type="dxa" w:w="60"/>
            </w:tcMar>
          </w:tcPr>
          <w:p>
            <w:r>
              <w:rPr>
                <w:rFonts w:ascii="Times New Roman" w:cs="Times New Roman" w:eastAsia="Times New Roman" w:hAnsi="Times New Roman"/>
                <w:b/>
                <w:bCs/>
                <w:sz w:val="24"/>
                <w:szCs w:val="24"/>
              </w:rPr>
              <w:t xml:space="preserve">Entry</w:t>
            </w:r>
          </w:p>
        </w:tc>
      </w:tr>
      <w:tr>
        <w:trPr>
          <w:cantSplit/>
          <w:tblHeader w:val="off"/>
        </w:trPr>
        <w:tc>
          <w:tcPr>
            <w:tcW w:type="dxa" w:w="2808"/>
            <w:tcMar>
              <w:top w:type="dxa" w:w="20"/>
              <w:left w:type="dxa" w:w="60"/>
              <w:bottom w:type="dxa" w:w="20"/>
              <w:right w:type="dxa" w:w="60"/>
            </w:tcMar>
          </w:tcPr>
          <w:p>
            <w:r>
              <w:rPr>
                <w:rFonts w:ascii="Times New Roman" w:cs="Times New Roman" w:eastAsia="Times New Roman" w:hAnsi="Times New Roman"/>
                <w:b w:val="false"/>
                <w:bCs w:val="false"/>
                <w:sz w:val="24"/>
                <w:szCs w:val="24"/>
              </w:rPr>
              <w:t xml:space="preserve">Lead applicant</w:t>
            </w:r>
          </w:p>
        </w:tc>
        <w:tc>
          <w:tcPr>
            <w:tcW w:type="dxa" w:w="6552"/>
            <w:tcMar>
              <w:top w:type="dxa" w:w="20"/>
              <w:left w:type="dxa" w:w="60"/>
              <w:bottom w:type="dxa" w:w="20"/>
              <w:right w:type="dxa" w:w="60"/>
            </w:tcMar>
          </w:tcPr>
          <w:p>
            <w:r>
              <w:rPr>
                <w:rFonts w:ascii="Times New Roman" w:cs="Times New Roman" w:eastAsia="Times New Roman" w:hAnsi="Times New Roman"/>
                <w:b w:val="false"/>
                <w:bCs w:val="false"/>
                <w:sz w:val="24"/>
                <w:szCs w:val="24"/>
              </w:rPr>
              <w:t xml:space="preserve">Southern University and A&amp;M College, Baton Rouge, LA (UEI H7CJA7NX9WN3) — Department of Mechanical Engineering, College of Sciences and Engineering (B.S.M.E. accredited by the Engineering Accreditation Commission of ABET)</w:t>
            </w:r>
          </w:p>
        </w:tc>
      </w:tr>
      <w:tr>
        <w:trPr>
          <w:cantSplit/>
          <w:tblHeader w:val="off"/>
        </w:trPr>
        <w:tc>
          <w:tcPr>
            <w:tcW w:type="dxa" w:w="2808"/>
            <w:tcMar>
              <w:top w:type="dxa" w:w="20"/>
              <w:left w:type="dxa" w:w="60"/>
              <w:bottom w:type="dxa" w:w="20"/>
              <w:right w:type="dxa" w:w="60"/>
            </w:tcMar>
          </w:tcPr>
          <w:p>
            <w:r>
              <w:rPr>
                <w:rFonts w:ascii="Times New Roman" w:cs="Times New Roman" w:eastAsia="Times New Roman" w:hAnsi="Times New Roman"/>
                <w:b w:val="false"/>
                <w:bCs w:val="false"/>
                <w:sz w:val="24"/>
                <w:szCs w:val="24"/>
              </w:rPr>
              <w:t xml:space="preserve">Institution type</w:t>
            </w:r>
          </w:p>
        </w:tc>
        <w:tc>
          <w:tcPr>
            <w:tcW w:type="dxa" w:w="6552"/>
            <w:tcMar>
              <w:top w:type="dxa" w:w="20"/>
              <w:left w:type="dxa" w:w="60"/>
              <w:bottom w:type="dxa" w:w="20"/>
              <w:right w:type="dxa" w:w="60"/>
            </w:tcMar>
          </w:tcPr>
          <w:p>
            <w:r>
              <w:rPr>
                <w:rFonts w:ascii="Times New Roman" w:cs="Times New Roman" w:eastAsia="Times New Roman" w:hAnsi="Times New Roman"/>
                <w:b w:val="false"/>
                <w:bCs w:val="false"/>
                <w:sz w:val="24"/>
                <w:szCs w:val="24"/>
              </w:rPr>
              <w:t xml:space="preserve">Public 1890 land-grant Historically Black College and University</w:t>
            </w:r>
          </w:p>
        </w:tc>
      </w:tr>
      <w:tr>
        <w:trPr>
          <w:cantSplit/>
          <w:tblHeader w:val="off"/>
        </w:trPr>
        <w:tc>
          <w:tcPr>
            <w:tcW w:type="dxa" w:w="2808"/>
            <w:tcMar>
              <w:top w:type="dxa" w:w="20"/>
              <w:left w:type="dxa" w:w="60"/>
              <w:bottom w:type="dxa" w:w="20"/>
              <w:right w:type="dxa" w:w="60"/>
            </w:tcMar>
          </w:tcPr>
          <w:p>
            <w:r>
              <w:rPr>
                <w:rFonts w:ascii="Times New Roman" w:cs="Times New Roman" w:eastAsia="Times New Roman" w:hAnsi="Times New Roman"/>
                <w:b w:val="false"/>
                <w:bCs w:val="false"/>
                <w:sz w:val="24"/>
                <w:szCs w:val="24"/>
              </w:rPr>
              <w:t xml:space="preserve">Principal Investigator and ITAC Director</w:t>
            </w:r>
          </w:p>
        </w:tc>
        <w:tc>
          <w:tcPr>
            <w:tcW w:type="dxa" w:w="6552"/>
            <w:tcMar>
              <w:top w:type="dxa" w:w="20"/>
              <w:left w:type="dxa" w:w="60"/>
              <w:bottom w:type="dxa" w:w="20"/>
              <w:right w:type="dxa" w:w="60"/>
            </w:tcMar>
          </w:tcPr>
          <w:p>
            <w:r>
              <w:rPr>
                <w:rFonts w:ascii="Times New Roman" w:cs="Times New Roman" w:eastAsia="Times New Roman" w:hAnsi="Times New Roman"/>
                <w:b w:val="false"/>
                <w:bCs w:val="false"/>
                <w:sz w:val="24"/>
                <w:szCs w:val="24"/>
              </w:rPr>
              <w:t xml:space="preserve">Dr. Fareed Dawan, Tenured Associate Professor and former Interim Chair, Mechanical Engineering</w:t>
            </w:r>
          </w:p>
        </w:tc>
      </w:tr>
      <w:tr>
        <w:trPr>
          <w:cantSplit/>
          <w:tblHeader w:val="off"/>
        </w:trPr>
        <w:tc>
          <w:tcPr>
            <w:tcW w:type="dxa" w:w="2808"/>
            <w:tcMar>
              <w:top w:type="dxa" w:w="20"/>
              <w:left w:type="dxa" w:w="60"/>
              <w:bottom w:type="dxa" w:w="20"/>
              <w:right w:type="dxa" w:w="60"/>
            </w:tcMar>
          </w:tcPr>
          <w:p>
            <w:r>
              <w:rPr>
                <w:rFonts w:ascii="Times New Roman" w:cs="Times New Roman" w:eastAsia="Times New Roman" w:hAnsi="Times New Roman"/>
                <w:b w:val="false"/>
                <w:bCs w:val="false"/>
                <w:sz w:val="24"/>
                <w:szCs w:val="24"/>
              </w:rPr>
              <w:t xml:space="preserve">Co-Principal Investigators</w:t>
            </w:r>
          </w:p>
        </w:tc>
        <w:tc>
          <w:tcPr>
            <w:tcW w:type="dxa" w:w="6552"/>
            <w:tcMar>
              <w:top w:type="dxa" w:w="20"/>
              <w:left w:type="dxa" w:w="60"/>
              <w:bottom w:type="dxa" w:w="20"/>
              <w:right w:type="dxa" w:w="60"/>
            </w:tcMar>
          </w:tcPr>
          <w:p>
            <w:r>
              <w:rPr>
                <w:rFonts w:ascii="Times New Roman" w:cs="Times New Roman" w:eastAsia="Times New Roman" w:hAnsi="Times New Roman"/>
                <w:b w:val="false"/>
                <w:bCs w:val="false"/>
                <w:sz w:val="24"/>
                <w:szCs w:val="24"/>
              </w:rPr>
              <w:t xml:space="preserve">Dr. Brian C. Warren (Mechanical Engineering); Dr. Patrick F. Mensah (Senior Associate Vice Chancellor for Academic Affairs); Dr. Michael A. Stubblefield (Vice Chancellor for Research, Strategic Initiatives, and Economic Development)</w:t>
            </w:r>
          </w:p>
        </w:tc>
      </w:tr>
      <w:tr>
        <w:trPr>
          <w:cantSplit/>
          <w:tblHeader w:val="off"/>
        </w:trPr>
        <w:tc>
          <w:tcPr>
            <w:tcW w:type="dxa" w:w="2808"/>
            <w:tcMar>
              <w:top w:type="dxa" w:w="20"/>
              <w:left w:type="dxa" w:w="60"/>
              <w:bottom w:type="dxa" w:w="20"/>
              <w:right w:type="dxa" w:w="60"/>
            </w:tcMar>
          </w:tcPr>
          <w:p>
            <w:r>
              <w:rPr>
                <w:rFonts w:ascii="Times New Roman" w:cs="Times New Roman" w:eastAsia="Times New Roman" w:hAnsi="Times New Roman"/>
                <w:b w:val="false"/>
                <w:bCs w:val="false"/>
                <w:sz w:val="24"/>
                <w:szCs w:val="24"/>
              </w:rPr>
              <w:t xml:space="preserve">Primary implementation partner</w:t>
            </w:r>
          </w:p>
        </w:tc>
        <w:tc>
          <w:tcPr>
            <w:tcW w:type="dxa" w:w="6552"/>
            <w:tcMar>
              <w:top w:type="dxa" w:w="20"/>
              <w:left w:type="dxa" w:w="60"/>
              <w:bottom w:type="dxa" w:w="20"/>
              <w:right w:type="dxa" w:w="60"/>
            </w:tcMar>
          </w:tcPr>
          <w:p>
            <w:r>
              <w:rPr>
                <w:rFonts w:ascii="Times New Roman" w:cs="Times New Roman" w:eastAsia="Times New Roman" w:hAnsi="Times New Roman"/>
                <w:b w:val="false"/>
                <w:bCs w:val="false"/>
                <w:sz w:val="24"/>
                <w:szCs w:val="24"/>
              </w:rPr>
              <w:t xml:space="preserve">Strategic Value Plus Solutions, LLC (subrecipient)</w:t>
            </w:r>
          </w:p>
        </w:tc>
      </w:tr>
      <w:tr>
        <w:trPr>
          <w:cantSplit/>
          <w:tblHeader w:val="off"/>
        </w:trPr>
        <w:tc>
          <w:tcPr>
            <w:tcW w:type="dxa" w:w="2808"/>
            <w:tcMar>
              <w:top w:type="dxa" w:w="20"/>
              <w:left w:type="dxa" w:w="60"/>
              <w:bottom w:type="dxa" w:w="20"/>
              <w:right w:type="dxa" w:w="60"/>
            </w:tcMar>
          </w:tcPr>
          <w:p>
            <w:r>
              <w:rPr>
                <w:rFonts w:ascii="Times New Roman" w:cs="Times New Roman" w:eastAsia="Times New Roman" w:hAnsi="Times New Roman"/>
                <w:b w:val="false"/>
                <w:bCs w:val="false"/>
                <w:sz w:val="24"/>
                <w:szCs w:val="24"/>
              </w:rPr>
              <w:t xml:space="preserve">Focus</w:t>
            </w:r>
          </w:p>
        </w:tc>
        <w:tc>
          <w:tcPr>
            <w:tcW w:type="dxa" w:w="6552"/>
            <w:tcMar>
              <w:top w:type="dxa" w:w="20"/>
              <w:left w:type="dxa" w:w="60"/>
              <w:bottom w:type="dxa" w:w="20"/>
              <w:right w:type="dxa" w:w="60"/>
            </w:tcMar>
          </w:tcPr>
          <w:p>
            <w:r>
              <w:rPr>
                <w:rFonts w:ascii="Times New Roman" w:cs="Times New Roman" w:eastAsia="Times New Roman" w:hAnsi="Times New Roman"/>
                <w:b w:val="false"/>
                <w:bCs w:val="false"/>
                <w:sz w:val="24"/>
                <w:szCs w:val="24"/>
              </w:rPr>
              <w:t xml:space="preserve">Small and medium-sized manufacturers in north and central Louisiana, the Delta, and southwest Mississippi, and defense and federal supply-chain manufacturers statewide</w:t>
            </w:r>
          </w:p>
        </w:tc>
      </w:tr>
      <w:tr>
        <w:trPr>
          <w:cantSplit/>
          <w:tblHeader w:val="off"/>
        </w:trPr>
        <w:tc>
          <w:tcPr>
            <w:tcW w:type="dxa" w:w="2808"/>
            <w:tcMar>
              <w:top w:type="dxa" w:w="20"/>
              <w:left w:type="dxa" w:w="60"/>
              <w:bottom w:type="dxa" w:w="20"/>
              <w:right w:type="dxa" w:w="60"/>
            </w:tcMar>
          </w:tcPr>
          <w:p>
            <w:r>
              <w:rPr>
                <w:rFonts w:ascii="Times New Roman" w:cs="Times New Roman" w:eastAsia="Times New Roman" w:hAnsi="Times New Roman"/>
                <w:b w:val="false"/>
                <w:bCs w:val="false"/>
                <w:sz w:val="24"/>
                <w:szCs w:val="24"/>
              </w:rPr>
              <w:t xml:space="preserve">Federal request</w:t>
            </w:r>
          </w:p>
        </w:tc>
        <w:tc>
          <w:tcPr>
            <w:tcW w:type="dxa" w:w="6552"/>
            <w:tcMar>
              <w:top w:type="dxa" w:w="20"/>
              <w:left w:type="dxa" w:w="60"/>
              <w:bottom w:type="dxa" w:w="20"/>
              <w:right w:type="dxa" w:w="60"/>
            </w:tcMar>
          </w:tcPr>
          <w:p>
            <w:r>
              <w:rPr>
                <w:rFonts w:ascii="Times New Roman" w:cs="Times New Roman" w:eastAsia="Times New Roman" w:hAnsi="Times New Roman"/>
                <w:b w:val="false"/>
                <w:bCs w:val="false"/>
                <w:sz w:val="24"/>
                <w:szCs w:val="24"/>
              </w:rPr>
              <w:t xml:space="preserve">$375,000 per year; $1,875,000 over five years</w:t>
            </w:r>
          </w:p>
        </w:tc>
      </w:tr>
      <w:tr>
        <w:trPr>
          <w:cantSplit/>
          <w:tblHeader w:val="off"/>
        </w:trPr>
        <w:tc>
          <w:tcPr>
            <w:tcW w:type="dxa" w:w="2808"/>
            <w:tcMar>
              <w:top w:type="dxa" w:w="20"/>
              <w:left w:type="dxa" w:w="60"/>
              <w:bottom w:type="dxa" w:w="20"/>
              <w:right w:type="dxa" w:w="60"/>
            </w:tcMar>
          </w:tcPr>
          <w:p>
            <w:r>
              <w:rPr>
                <w:rFonts w:ascii="Times New Roman" w:cs="Times New Roman" w:eastAsia="Times New Roman" w:hAnsi="Times New Roman"/>
                <w:b w:val="false"/>
                <w:bCs w:val="false"/>
                <w:sz w:val="24"/>
                <w:szCs w:val="24"/>
              </w:rPr>
              <w:t xml:space="preserve">Cost share</w:t>
            </w:r>
          </w:p>
        </w:tc>
        <w:tc>
          <w:tcPr>
            <w:tcW w:type="dxa" w:w="6552"/>
            <w:tcMar>
              <w:top w:type="dxa" w:w="20"/>
              <w:left w:type="dxa" w:w="60"/>
              <w:bottom w:type="dxa" w:w="20"/>
              <w:right w:type="dxa" w:w="60"/>
            </w:tcMar>
          </w:tcPr>
          <w:p>
            <w:r>
              <w:rPr>
                <w:rFonts w:ascii="Times New Roman" w:cs="Times New Roman" w:eastAsia="Times New Roman" w:hAnsi="Times New Roman"/>
                <w:b w:val="false"/>
                <w:bCs w:val="false"/>
                <w:sz w:val="24"/>
                <w:szCs w:val="24"/>
              </w:rPr>
              <w:t xml:space="preserve">$120,750 per year; $603,750 over five years (24.4% of $2,478,750 total project cost; 20% required)</w:t>
            </w:r>
          </w:p>
        </w:tc>
      </w:tr>
      <w:tr>
        <w:trPr>
          <w:cantSplit/>
          <w:tblHeader w:val="off"/>
        </w:trPr>
        <w:tc>
          <w:tcPr>
            <w:tcW w:type="dxa" w:w="2808"/>
            <w:tcMar>
              <w:top w:type="dxa" w:w="20"/>
              <w:left w:type="dxa" w:w="60"/>
              <w:bottom w:type="dxa" w:w="20"/>
              <w:right w:type="dxa" w:w="60"/>
            </w:tcMar>
          </w:tcPr>
          <w:p>
            <w:r>
              <w:rPr>
                <w:rFonts w:ascii="Times New Roman" w:cs="Times New Roman" w:eastAsia="Times New Roman" w:hAnsi="Times New Roman"/>
                <w:b w:val="false"/>
                <w:bCs w:val="false"/>
                <w:sz w:val="24"/>
                <w:szCs w:val="24"/>
              </w:rPr>
              <w:t xml:space="preserve">Period of performance</w:t>
            </w:r>
          </w:p>
        </w:tc>
        <w:tc>
          <w:tcPr>
            <w:tcW w:type="dxa" w:w="6552"/>
            <w:tcMar>
              <w:top w:type="dxa" w:w="20"/>
              <w:left w:type="dxa" w:w="60"/>
              <w:bottom w:type="dxa" w:w="20"/>
              <w:right w:type="dxa" w:w="60"/>
            </w:tcMar>
          </w:tcPr>
          <w:p>
            <w:r>
              <w:rPr>
                <w:rFonts w:ascii="Times New Roman" w:cs="Times New Roman" w:eastAsia="Times New Roman" w:hAnsi="Times New Roman"/>
                <w:b w:val="false"/>
                <w:bCs w:val="false"/>
                <w:sz w:val="24"/>
                <w:szCs w:val="24"/>
              </w:rPr>
              <w:t xml:space="preserve">Five one-year budget periods beginning January 2027</w:t>
            </w:r>
          </w:p>
        </w:tc>
      </w:tr>
      <w:tr>
        <w:trPr>
          <w:cantSplit/>
          <w:tblHeader w:val="off"/>
        </w:trPr>
        <w:tc>
          <w:tcPr>
            <w:tcW w:type="dxa" w:w="2808"/>
            <w:tcMar>
              <w:top w:type="dxa" w:w="20"/>
              <w:left w:type="dxa" w:w="60"/>
              <w:bottom w:type="dxa" w:w="20"/>
              <w:right w:type="dxa" w:w="60"/>
            </w:tcMar>
          </w:tcPr>
          <w:p>
            <w:r>
              <w:rPr>
                <w:rFonts w:ascii="Times New Roman" w:cs="Times New Roman" w:eastAsia="Times New Roman" w:hAnsi="Times New Roman"/>
                <w:b w:val="false"/>
                <w:bCs w:val="false"/>
                <w:sz w:val="24"/>
                <w:szCs w:val="24"/>
              </w:rPr>
              <w:t xml:space="preserve">Point of contact</w:t>
            </w:r>
          </w:p>
        </w:tc>
        <w:tc>
          <w:tcPr>
            <w:tcW w:type="dxa" w:w="6552"/>
            <w:tcMar>
              <w:top w:type="dxa" w:w="20"/>
              <w:left w:type="dxa" w:w="60"/>
              <w:bottom w:type="dxa" w:w="20"/>
              <w:right w:type="dxa" w:w="60"/>
            </w:tcMar>
          </w:tcPr>
          <w:p>
            <w:r>
              <w:rPr>
                <w:rFonts w:ascii="Times New Roman" w:cs="Times New Roman" w:eastAsia="Times New Roman" w:hAnsi="Times New Roman"/>
                <w:b w:val="false"/>
                <w:bCs w:val="false"/>
                <w:sz w:val="24"/>
                <w:szCs w:val="24"/>
              </w:rPr>
              <w:t xml:space="preserve">Deanna Smith, Executive Director for Strategic Engagement, Office of Research — (225) 771-2810, deanna.smith@sus.edu</w:t>
            </w:r>
          </w:p>
        </w:tc>
      </w:tr>
    </w:tbl>
    <w:p>
      <w:pPr>
        <w:spacing w:after="40"/>
      </w:pPr>
    </w:p>
    <w:p>
      <w:pPr>
        <w:sectPr>
          <w:pgSz w:w="12240" w:h="15840" w:orient="portrait"/>
          <w:pgMar w:top="1440" w:right="1440" w:bottom="1440" w:left="1440" w:header="708" w:footer="708" w:gutter="0"/>
          <w:pgNumType/>
          <w:docGrid w:linePitch="360"/>
        </w:sectPr>
      </w:pPr>
    </w:p>
    <w:p>
      <w:pPr>
        <w:keepNext/>
        <w:spacing w:after="60" w:before="120"/>
      </w:pPr>
      <w:r>
        <w:rPr>
          <w:rFonts w:ascii="Times New Roman" w:cs="Times New Roman" w:eastAsia="Times New Roman" w:hAnsi="Times New Roman"/>
          <w:b/>
          <w:bCs/>
          <w:sz w:val="24"/>
          <w:szCs w:val="24"/>
        </w:rPr>
        <w:t xml:space="preserve">Criterion 1: Project Management Approach</w:t>
      </w:r>
    </w:p>
    <w:p>
      <w:pPr>
        <w:keepNext/>
        <w:spacing w:after="40" w:before="60"/>
      </w:pPr>
      <w:r>
        <w:rPr>
          <w:rFonts w:ascii="Times New Roman" w:cs="Times New Roman" w:eastAsia="Times New Roman" w:hAnsi="Times New Roman"/>
          <w:b/>
          <w:bCs/>
          <w:i/>
          <w:iCs/>
          <w:sz w:val="24"/>
          <w:szCs w:val="24"/>
        </w:rPr>
        <w:t xml:space="preserve">1.1 Understanding of program goals, objectives, and responsibilities</w:t>
      </w:r>
    </w:p>
    <w:p>
      <w:pPr>
        <w:spacing w:after="60" w:before="0" w:line="240"/>
        <w:jc w:val="both"/>
      </w:pPr>
      <w:r>
        <w:rPr>
          <w:rFonts w:ascii="Times New Roman" w:cs="Times New Roman" w:eastAsia="Times New Roman" w:hAnsi="Times New Roman"/>
          <w:sz w:val="24"/>
          <w:szCs w:val="24"/>
        </w:rPr>
        <w:t xml:space="preserve">The SU ITAC will do two things every year for five years: deliver about 20 no-cost energy, productivity, and resilience assessments to small and medium-sized manufacturers (SMEs), and turn Southern engineering students into certified industrial energy engineers. Clients will meet DOE's Track 1 definition: SIC 20–39 or 49, gross annual sales below $250 million, fewer than 500 employees, and annual energy bills of $100,000–$3.5 million. Any exception will be a DOE-approved special assessment. The Center commits to every Track 1 responsibility:</w:t>
      </w:r>
    </w:p>
    <w:p>
      <w:pPr>
        <w:pStyle w:val="ListParagraph"/>
        <w:numPr>
          <w:ilvl w:val="0"/>
          <w:numId w:val="2"/>
        </w:numPr>
        <w:spacing w:after="20"/>
      </w:pPr>
      <w:r>
        <w:rPr>
          <w:rFonts w:ascii="Times New Roman" w:cs="Times New Roman" w:eastAsia="Times New Roman" w:hAnsi="Times New Roman"/>
          <w:b/>
          <w:bCs/>
          <w:sz w:val="24"/>
          <w:szCs w:val="24"/>
        </w:rPr>
        <w:t xml:space="preserve">Train new and existing students annually:</w:t>
      </w:r>
      <w:r>
        <w:rPr>
          <w:rFonts w:ascii="Times New Roman" w:cs="Times New Roman" w:eastAsia="Times New Roman" w:hAnsi="Times New Roman"/>
          <w:sz w:val="24"/>
          <w:szCs w:val="24"/>
        </w:rPr>
        <w:t xml:space="preserve"> 24 or more paid students a year from Year 2, about 75% undergraduate and 25% graduate, with certified returning students leading teams.</w:t>
      </w:r>
    </w:p>
    <w:p>
      <w:pPr>
        <w:pStyle w:val="ListParagraph"/>
        <w:numPr>
          <w:ilvl w:val="0"/>
          <w:numId w:val="2"/>
        </w:numPr>
        <w:spacing w:after="20"/>
      </w:pPr>
      <w:r>
        <w:rPr>
          <w:rFonts w:ascii="Times New Roman" w:cs="Times New Roman" w:eastAsia="Times New Roman" w:hAnsi="Times New Roman"/>
          <w:b/>
          <w:bCs/>
          <w:sz w:val="24"/>
          <w:szCs w:val="24"/>
        </w:rPr>
        <w:t xml:space="preserve">Certificates of Achievement:</w:t>
      </w:r>
      <w:r>
        <w:rPr>
          <w:rFonts w:ascii="Times New Roman" w:cs="Times New Roman" w:eastAsia="Times New Roman" w:hAnsi="Times New Roman"/>
          <w:sz w:val="24"/>
          <w:szCs w:val="24"/>
        </w:rPr>
        <w:t xml:space="preserve"> at least 60% of incoming students certified each year from Year 2, above DOE's 50% minimum.</w:t>
      </w:r>
    </w:p>
    <w:p>
      <w:pPr>
        <w:pStyle w:val="ListParagraph"/>
        <w:numPr>
          <w:ilvl w:val="0"/>
          <w:numId w:val="2"/>
        </w:numPr>
        <w:spacing w:after="20"/>
      </w:pPr>
      <w:r>
        <w:rPr>
          <w:rFonts w:ascii="Times New Roman" w:cs="Times New Roman" w:eastAsia="Times New Roman" w:hAnsi="Times New Roman"/>
          <w:b/>
          <w:bCs/>
          <w:sz w:val="24"/>
          <w:szCs w:val="24"/>
        </w:rPr>
        <w:t xml:space="preserve">Timely reporting and follow-up:</w:t>
      </w:r>
      <w:r>
        <w:rPr>
          <w:rFonts w:ascii="Times New Roman" w:cs="Times New Roman" w:eastAsia="Times New Roman" w:hAnsi="Times New Roman"/>
          <w:sz w:val="24"/>
          <w:szCs w:val="24"/>
        </w:rPr>
        <w:t xml:space="preserve"> reports average 45 days and never exceed 60; implementation status confirmed with every client at 9–12 months.</w:t>
      </w:r>
    </w:p>
    <w:p>
      <w:pPr>
        <w:pStyle w:val="ListParagraph"/>
        <w:numPr>
          <w:ilvl w:val="0"/>
          <w:numId w:val="2"/>
        </w:numPr>
        <w:spacing w:after="20"/>
      </w:pPr>
      <w:r>
        <w:rPr>
          <w:rFonts w:ascii="Times New Roman" w:cs="Times New Roman" w:eastAsia="Times New Roman" w:hAnsi="Times New Roman"/>
          <w:b/>
          <w:bCs/>
          <w:sz w:val="24"/>
          <w:szCs w:val="24"/>
        </w:rPr>
        <w:t xml:space="preserve">Regional industrial base:</w:t>
      </w:r>
      <w:r>
        <w:rPr>
          <w:rFonts w:ascii="Times New Roman" w:cs="Times New Roman" w:eastAsia="Times New Roman" w:hAnsi="Times New Roman"/>
          <w:sz w:val="24"/>
          <w:szCs w:val="24"/>
        </w:rPr>
        <w:t xml:space="preserve"> targeted outreach to five SME segments through utilities, MEP, economic developers, and associations (1.2).</w:t>
      </w:r>
    </w:p>
    <w:p>
      <w:pPr>
        <w:pStyle w:val="ListParagraph"/>
        <w:numPr>
          <w:ilvl w:val="0"/>
          <w:numId w:val="2"/>
        </w:numPr>
        <w:spacing w:after="20"/>
      </w:pPr>
      <w:r>
        <w:rPr>
          <w:rFonts w:ascii="Times New Roman" w:cs="Times New Roman" w:eastAsia="Times New Roman" w:hAnsi="Times New Roman"/>
          <w:b/>
          <w:bCs/>
          <w:sz w:val="24"/>
          <w:szCs w:val="24"/>
        </w:rPr>
        <w:t xml:space="preserve">ITAC Implementation Grants:</w:t>
      </w:r>
      <w:r>
        <w:rPr>
          <w:rFonts w:ascii="Times New Roman" w:cs="Times New Roman" w:eastAsia="Times New Roman" w:hAnsi="Times New Roman"/>
          <w:sz w:val="24"/>
          <w:szCs w:val="24"/>
        </w:rPr>
        <w:t xml:space="preserve"> every eligible client receives a grant-readiness packet; the Center tracks applications filed.</w:t>
      </w:r>
    </w:p>
    <w:p>
      <w:pPr>
        <w:pStyle w:val="ListParagraph"/>
        <w:numPr>
          <w:ilvl w:val="0"/>
          <w:numId w:val="2"/>
        </w:numPr>
        <w:spacing w:after="20"/>
      </w:pPr>
      <w:r>
        <w:rPr>
          <w:rFonts w:ascii="Times New Roman" w:cs="Times New Roman" w:eastAsia="Times New Roman" w:hAnsi="Times New Roman"/>
          <w:b/>
          <w:bCs/>
          <w:sz w:val="24"/>
          <w:szCs w:val="24"/>
        </w:rPr>
        <w:t xml:space="preserve">Replicable resources:</w:t>
      </w:r>
      <w:r>
        <w:rPr>
          <w:rFonts w:ascii="Times New Roman" w:cs="Times New Roman" w:eastAsia="Times New Roman" w:hAnsi="Times New Roman"/>
          <w:sz w:val="24"/>
          <w:szCs w:val="24"/>
        </w:rPr>
        <w:t xml:space="preserve"> at least one case study each year, shared across the network.</w:t>
      </w:r>
    </w:p>
    <w:p>
      <w:pPr>
        <w:pStyle w:val="ListParagraph"/>
        <w:numPr>
          <w:ilvl w:val="0"/>
          <w:numId w:val="2"/>
        </w:numPr>
        <w:spacing w:after="20"/>
      </w:pPr>
      <w:r>
        <w:rPr>
          <w:rFonts w:ascii="Times New Roman" w:cs="Times New Roman" w:eastAsia="Times New Roman" w:hAnsi="Times New Roman"/>
          <w:b/>
          <w:bCs/>
          <w:sz w:val="24"/>
          <w:szCs w:val="24"/>
        </w:rPr>
        <w:t xml:space="preserve">Special projects and value-added services:</w:t>
      </w:r>
      <w:r>
        <w:rPr>
          <w:rFonts w:ascii="Times New Roman" w:cs="Times New Roman" w:eastAsia="Times New Roman" w:hAnsi="Times New Roman"/>
          <w:sz w:val="24"/>
          <w:szCs w:val="24"/>
        </w:rPr>
        <w:t xml:space="preserve"> assessment-inspired student research; AI and smart-manufacturing retrofit feasibility; cybersecurity, supply-chain, and resilience screening; and metal-part repair by additive manufacturing, which keeps scarce alloys in service and reduces demand for critical materials.</w:t>
      </w:r>
    </w:p>
    <w:p>
      <w:pPr>
        <w:keepNext/>
        <w:spacing w:after="40" w:before="60"/>
      </w:pPr>
      <w:r>
        <w:rPr>
          <w:rFonts w:ascii="Times New Roman" w:cs="Times New Roman" w:eastAsia="Times New Roman" w:hAnsi="Times New Roman"/>
          <w:b/>
          <w:bCs/>
          <w:i/>
          <w:iCs/>
          <w:sz w:val="24"/>
          <w:szCs w:val="24"/>
        </w:rPr>
        <w:t xml:space="preserve">1.2 Regional industrial base and complementary role</w:t>
      </w:r>
    </w:p>
    <w:p>
      <w:pPr>
        <w:spacing w:after="60" w:before="0" w:line="240"/>
        <w:jc w:val="both"/>
      </w:pPr>
      <w:r>
        <w:rPr>
          <w:rFonts w:ascii="Times New Roman" w:cs="Times New Roman" w:eastAsia="Times New Roman" w:hAnsi="Times New Roman"/>
          <w:sz w:val="24"/>
          <w:szCs w:val="24"/>
        </w:rPr>
        <w:t xml:space="preserve">LSU has operated a Baton Rouge ITAC since 2017 and serves the south Louisiana industrial corridor well. The SU ITAC is designed to add capacity where Louisiana is underserved, not to compete. A written agreement with LSU's ITAC sets two boundaries: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85"/>
        <w:gridCol w:w="4399"/>
        <w:gridCol w:w="3276"/>
      </w:tblGrid>
      <w:tr>
        <w:trPr>
          <w:cantSplit/>
          <w:tblHeader/>
        </w:trPr>
        <w:tc>
          <w:tcPr>
            <w:tcW w:type="dxa" w:w="1685"/>
            <w:shd w:fill="D9E2F3" w:color="auto" w:val="clear"/>
            <w:tcMar>
              <w:top w:type="dxa" w:w="20"/>
              <w:left w:type="dxa" w:w="60"/>
              <w:bottom w:type="dxa" w:w="20"/>
              <w:right w:type="dxa" w:w="60"/>
            </w:tcMar>
          </w:tcPr>
          <w:p>
            <w:r>
              <w:rPr>
                <w:rFonts w:ascii="Times New Roman" w:cs="Times New Roman" w:eastAsia="Times New Roman" w:hAnsi="Times New Roman"/>
                <w:b/>
                <w:bCs/>
                <w:sz w:val="24"/>
                <w:szCs w:val="24"/>
              </w:rPr>
              <w:t xml:space="preserve">Boundary</w:t>
            </w:r>
          </w:p>
        </w:tc>
        <w:tc>
          <w:tcPr>
            <w:tcW w:type="dxa" w:w="4399"/>
            <w:shd w:fill="D9E2F3" w:color="auto" w:val="clear"/>
            <w:tcMar>
              <w:top w:type="dxa" w:w="20"/>
              <w:left w:type="dxa" w:w="60"/>
              <w:bottom w:type="dxa" w:w="20"/>
              <w:right w:type="dxa" w:w="60"/>
            </w:tcMar>
          </w:tcPr>
          <w:p>
            <w:r>
              <w:rPr>
                <w:rFonts w:ascii="Times New Roman" w:cs="Times New Roman" w:eastAsia="Times New Roman" w:hAnsi="Times New Roman"/>
                <w:b/>
                <w:bCs/>
                <w:sz w:val="24"/>
                <w:szCs w:val="24"/>
              </w:rPr>
              <w:t xml:space="preserve">SU ITAC</w:t>
            </w:r>
          </w:p>
        </w:tc>
        <w:tc>
          <w:tcPr>
            <w:tcW w:type="dxa" w:w="3276"/>
            <w:shd w:fill="D9E2F3" w:color="auto" w:val="clear"/>
            <w:tcMar>
              <w:top w:type="dxa" w:w="20"/>
              <w:left w:type="dxa" w:w="60"/>
              <w:bottom w:type="dxa" w:w="20"/>
              <w:right w:type="dxa" w:w="60"/>
            </w:tcMar>
          </w:tcPr>
          <w:p>
            <w:r>
              <w:rPr>
                <w:rFonts w:ascii="Times New Roman" w:cs="Times New Roman" w:eastAsia="Times New Roman" w:hAnsi="Times New Roman"/>
                <w:b/>
                <w:bCs/>
                <w:sz w:val="24"/>
                <w:szCs w:val="24"/>
              </w:rPr>
              <w:t xml:space="preserve">LSU ITAC</w:t>
            </w:r>
          </w:p>
        </w:tc>
      </w:tr>
      <w:tr>
        <w:trPr>
          <w:cantSplit/>
          <w:tblHeader w:val="off"/>
        </w:trPr>
        <w:tc>
          <w:tcPr>
            <w:tcW w:type="dxa" w:w="1685"/>
            <w:tcMar>
              <w:top w:type="dxa" w:w="20"/>
              <w:left w:type="dxa" w:w="60"/>
              <w:bottom w:type="dxa" w:w="20"/>
              <w:right w:type="dxa" w:w="60"/>
            </w:tcMar>
          </w:tcPr>
          <w:p>
            <w:r>
              <w:rPr>
                <w:rFonts w:ascii="Times New Roman" w:cs="Times New Roman" w:eastAsia="Times New Roman" w:hAnsi="Times New Roman"/>
                <w:b w:val="false"/>
                <w:bCs w:val="false"/>
                <w:sz w:val="24"/>
                <w:szCs w:val="24"/>
              </w:rPr>
              <w:t xml:space="preserve">Geography</w:t>
            </w:r>
          </w:p>
        </w:tc>
        <w:tc>
          <w:tcPr>
            <w:tcW w:type="dxa" w:w="4399"/>
            <w:tcMar>
              <w:top w:type="dxa" w:w="20"/>
              <w:left w:type="dxa" w:w="60"/>
              <w:bottom w:type="dxa" w:w="20"/>
              <w:right w:type="dxa" w:w="60"/>
            </w:tcMar>
          </w:tcPr>
          <w:p>
            <w:r>
              <w:rPr>
                <w:rFonts w:ascii="Times New Roman" w:cs="Times New Roman" w:eastAsia="Times New Roman" w:hAnsi="Times New Roman"/>
                <w:b w:val="false"/>
                <w:bCs w:val="false"/>
                <w:sz w:val="24"/>
                <w:szCs w:val="24"/>
              </w:rPr>
              <w:t xml:space="preserve">North and central Louisiana (Shreveport–Bossier, Monroe, Ruston, Alexandria), the Delta parishes, and southwest Mississippi; served from Baton Rouge and a satellite at Southern University at Shreveport</w:t>
            </w:r>
          </w:p>
        </w:tc>
        <w:tc>
          <w:tcPr>
            <w:tcW w:type="dxa" w:w="3276"/>
            <w:tcMar>
              <w:top w:type="dxa" w:w="20"/>
              <w:left w:type="dxa" w:w="60"/>
              <w:bottom w:type="dxa" w:w="20"/>
              <w:right w:type="dxa" w:w="60"/>
            </w:tcMar>
          </w:tcPr>
          <w:p>
            <w:r>
              <w:rPr>
                <w:rFonts w:ascii="Times New Roman" w:cs="Times New Roman" w:eastAsia="Times New Roman" w:hAnsi="Times New Roman"/>
                <w:b w:val="false"/>
                <w:bCs w:val="false"/>
                <w:sz w:val="24"/>
                <w:szCs w:val="24"/>
              </w:rPr>
              <w:t xml:space="preserve">South Louisiana: Baton Rouge–New Orleans corridor, Acadiana, Florida Parishes</w:t>
            </w:r>
          </w:p>
        </w:tc>
      </w:tr>
      <w:tr>
        <w:trPr>
          <w:cantSplit/>
          <w:tblHeader w:val="off"/>
        </w:trPr>
        <w:tc>
          <w:tcPr>
            <w:tcW w:type="dxa" w:w="1685"/>
            <w:tcMar>
              <w:top w:type="dxa" w:w="20"/>
              <w:left w:type="dxa" w:w="60"/>
              <w:bottom w:type="dxa" w:w="20"/>
              <w:right w:type="dxa" w:w="60"/>
            </w:tcMar>
          </w:tcPr>
          <w:p>
            <w:r>
              <w:rPr>
                <w:rFonts w:ascii="Times New Roman" w:cs="Times New Roman" w:eastAsia="Times New Roman" w:hAnsi="Times New Roman"/>
                <w:b w:val="false"/>
                <w:bCs w:val="false"/>
                <w:sz w:val="24"/>
                <w:szCs w:val="24"/>
              </w:rPr>
              <w:t xml:space="preserve">Client focus</w:t>
            </w:r>
          </w:p>
        </w:tc>
        <w:tc>
          <w:tcPr>
            <w:tcW w:type="dxa" w:w="4399"/>
            <w:tcMar>
              <w:top w:type="dxa" w:w="20"/>
              <w:left w:type="dxa" w:w="60"/>
              <w:bottom w:type="dxa" w:w="20"/>
              <w:right w:type="dxa" w:w="60"/>
            </w:tcMar>
          </w:tcPr>
          <w:p>
            <w:r>
              <w:rPr>
                <w:rFonts w:ascii="Times New Roman" w:cs="Times New Roman" w:eastAsia="Times New Roman" w:hAnsi="Times New Roman"/>
                <w:b w:val="false"/>
                <w:bCs w:val="false"/>
                <w:sz w:val="24"/>
                <w:szCs w:val="24"/>
              </w:rPr>
              <w:t xml:space="preserve">Statewide: manufacturers that supply, or are preparing to supply, the Department of War, aerospace, and other federal supply chains</w:t>
            </w:r>
          </w:p>
        </w:tc>
        <w:tc>
          <w:tcPr>
            <w:tcW w:type="dxa" w:w="3276"/>
            <w:tcMar>
              <w:top w:type="dxa" w:w="20"/>
              <w:left w:type="dxa" w:w="60"/>
              <w:bottom w:type="dxa" w:w="20"/>
              <w:right w:type="dxa" w:w="60"/>
            </w:tcMar>
          </w:tcPr>
          <w:p>
            <w:r>
              <w:rPr>
                <w:rFonts w:ascii="Times New Roman" w:cs="Times New Roman" w:eastAsia="Times New Roman" w:hAnsi="Times New Roman"/>
                <w:b w:val="false"/>
                <w:bCs w:val="false"/>
                <w:sz w:val="24"/>
                <w:szCs w:val="24"/>
              </w:rPr>
              <w:t xml:space="preserve">All other eligible manufacturers in its region</w:t>
            </w:r>
          </w:p>
        </w:tc>
      </w:tr>
    </w:tbl>
    <w:p>
      <w:pPr>
        <w:spacing w:after="40"/>
      </w:pPr>
    </w:p>
    <w:p>
      <w:pPr>
        <w:spacing w:after="60" w:before="0" w:line="240"/>
        <w:jc w:val="both"/>
      </w:pPr>
      <w:r>
        <w:rPr>
          <w:rFonts w:ascii="Times New Roman" w:cs="Times New Roman" w:eastAsia="Times New Roman" w:hAnsi="Times New Roman"/>
          <w:sz w:val="24"/>
          <w:szCs w:val="24"/>
        </w:rPr>
        <w:t xml:space="preserve">Leads outside each center's lane are referred to the other, and the Center checks the national ITAC database and LSU's client list before scheduling any visit, so no plant is assessed twice. The two centers will share training events and case studies; Dr. Mensah already co-leads a $4.0 million additive-manufacturing consortium with LSU and Auburn.</w:t>
      </w:r>
    </w:p>
    <w:p>
      <w:pPr>
        <w:spacing w:after="60" w:before="0" w:line="240"/>
        <w:jc w:val="both"/>
      </w:pPr>
      <w:r>
        <w:rPr>
          <w:rFonts w:ascii="Times New Roman" w:cs="Times New Roman" w:eastAsia="Times New Roman" w:hAnsi="Times New Roman"/>
          <w:sz w:val="24"/>
          <w:szCs w:val="24"/>
        </w:rPr>
        <w:t xml:space="preserve">North and central Louisiana combine rural plants with a growing defense economy around Barksdale Air Force Base, Fort Johnson, and the Shreveport–Bossier cyber and aerospace cluster. Outreach concentrates on five segments: </w:t>
      </w:r>
      <w:r>
        <w:rPr>
          <w:rFonts w:ascii="Times New Roman" w:cs="Times New Roman" w:eastAsia="Times New Roman" w:hAnsi="Times New Roman"/>
          <w:b/>
          <w:bCs/>
          <w:sz w:val="24"/>
          <w:szCs w:val="24"/>
        </w:rPr>
        <w:t xml:space="preserve">defense and aerospace suppliers</w:t>
      </w:r>
      <w:r>
        <w:rPr>
          <w:rFonts w:ascii="Times New Roman" w:cs="Times New Roman" w:eastAsia="Times New Roman" w:hAnsi="Times New Roman"/>
          <w:sz w:val="24"/>
          <w:szCs w:val="24"/>
        </w:rPr>
        <w:t xml:space="preserve"> (machine shops, fabricators, electronics assemblers, SIC 34–38); </w:t>
      </w:r>
      <w:r>
        <w:rPr>
          <w:rFonts w:ascii="Times New Roman" w:cs="Times New Roman" w:eastAsia="Times New Roman" w:hAnsi="Times New Roman"/>
          <w:b/>
          <w:bCs/>
          <w:sz w:val="24"/>
          <w:szCs w:val="24"/>
        </w:rPr>
        <w:t xml:space="preserve">wood products and paper</w:t>
      </w:r>
      <w:r>
        <w:rPr>
          <w:rFonts w:ascii="Times New Roman" w:cs="Times New Roman" w:eastAsia="Times New Roman" w:hAnsi="Times New Roman"/>
          <w:sz w:val="24"/>
          <w:szCs w:val="24"/>
        </w:rPr>
        <w:t xml:space="preserve"> (sawmills, treated and engineered wood, converters, SIC 24 and 26); </w:t>
      </w:r>
      <w:r>
        <w:rPr>
          <w:rFonts w:ascii="Times New Roman" w:cs="Times New Roman" w:eastAsia="Times New Roman" w:hAnsi="Times New Roman"/>
          <w:b/>
          <w:bCs/>
          <w:sz w:val="24"/>
          <w:szCs w:val="24"/>
        </w:rPr>
        <w:t xml:space="preserve">food processing</w:t>
      </w:r>
      <w:r>
        <w:rPr>
          <w:rFonts w:ascii="Times New Roman" w:cs="Times New Roman" w:eastAsia="Times New Roman" w:hAnsi="Times New Roman"/>
          <w:sz w:val="24"/>
          <w:szCs w:val="24"/>
        </w:rPr>
        <w:t xml:space="preserve"> (poultry, rice, and sweet-potato plants, SIC 20); </w:t>
      </w:r>
      <w:r>
        <w:rPr>
          <w:rFonts w:ascii="Times New Roman" w:cs="Times New Roman" w:eastAsia="Times New Roman" w:hAnsi="Times New Roman"/>
          <w:b/>
          <w:bCs/>
          <w:sz w:val="24"/>
          <w:szCs w:val="24"/>
        </w:rPr>
        <w:t xml:space="preserve">plastics, chemicals, and stone, clay, and glass</w:t>
      </w:r>
      <w:r>
        <w:rPr>
          <w:rFonts w:ascii="Times New Roman" w:cs="Times New Roman" w:eastAsia="Times New Roman" w:hAnsi="Times New Roman"/>
          <w:sz w:val="24"/>
          <w:szCs w:val="24"/>
        </w:rPr>
        <w:t xml:space="preserve"> (SIC 28, 30, 32); and </w:t>
      </w:r>
      <w:r>
        <w:rPr>
          <w:rFonts w:ascii="Times New Roman" w:cs="Times New Roman" w:eastAsia="Times New Roman" w:hAnsi="Times New Roman"/>
          <w:b/>
          <w:bCs/>
          <w:sz w:val="24"/>
          <w:szCs w:val="24"/>
        </w:rPr>
        <w:t xml:space="preserve">rural water and wastewater utilities</w:t>
      </w:r>
      <w:r>
        <w:rPr>
          <w:rFonts w:ascii="Times New Roman" w:cs="Times New Roman" w:eastAsia="Times New Roman" w:hAnsi="Times New Roman"/>
          <w:sz w:val="24"/>
          <w:szCs w:val="24"/>
        </w:rPr>
        <w:t xml:space="preserve"> (SIC 49). </w:t>
      </w:r>
      <w:r>
        <w:rPr>
          <w:rFonts w:ascii="Times New Roman" w:cs="Times New Roman" w:eastAsia="Times New Roman" w:hAnsi="Times New Roman"/>
          <w:sz w:val="24"/>
          <w:szCs w:val="24"/>
          <w:highlight w:val="yellow"/>
        </w:rPr>
        <w:t xml:space="preserve">[Insert Census County Business Patterns count of SIC 20–39 establishments under 500 employees in the service parishes.]</w:t>
      </w:r>
    </w:p>
    <w:p>
      <w:pPr>
        <w:keepNext/>
        <w:spacing w:after="40" w:before="60"/>
      </w:pPr>
      <w:r>
        <w:rPr>
          <w:rFonts w:ascii="Times New Roman" w:cs="Times New Roman" w:eastAsia="Times New Roman" w:hAnsi="Times New Roman"/>
          <w:b/>
          <w:bCs/>
          <w:i/>
          <w:iCs/>
          <w:sz w:val="24"/>
          <w:szCs w:val="24"/>
        </w:rPr>
        <w:t xml:space="preserve">1.3 Effectiveness of the organizational model</w:t>
      </w:r>
    </w:p>
    <w:p>
      <w:pPr>
        <w:spacing w:after="60" w:before="0" w:line="240"/>
        <w:jc w:val="both"/>
      </w:pPr>
      <w:r>
        <w:rPr>
          <w:rFonts w:ascii="Times New Roman" w:cs="Times New Roman" w:eastAsia="Times New Roman" w:hAnsi="Times New Roman"/>
          <w:sz w:val="24"/>
          <w:szCs w:val="24"/>
        </w:rPr>
        <w:t xml:space="preserve">The Center sits in the Department of Mechanical Engineering and reports to the Dean of the College of Sciences and Engineering, with administrative support from the Office of Research. Southern holds the agreement and owns everything that defines the students' education: the training curriculum, energy-technical instruction, student employment and site safety, report sign-off, and certification. V+ adds plant-floor coaching and the client relationships that make assessments possible.</w:t>
      </w:r>
    </w:p>
    <w:p>
      <w:pPr>
        <w:pStyle w:val="ListParagraph"/>
        <w:numPr>
          <w:ilvl w:val="0"/>
          <w:numId w:val="2"/>
        </w:numPr>
        <w:spacing w:after="20"/>
      </w:pPr>
      <w:r>
        <w:rPr>
          <w:rFonts w:ascii="Times New Roman" w:cs="Times New Roman" w:eastAsia="Times New Roman" w:hAnsi="Times New Roman"/>
          <w:b/>
          <w:bCs/>
          <w:sz w:val="24"/>
          <w:szCs w:val="24"/>
        </w:rPr>
        <w:t xml:space="preserve">Dr. Fareed Dawan, PI and ITAC Director:</w:t>
      </w:r>
      <w:r>
        <w:rPr>
          <w:rFonts w:ascii="Times New Roman" w:cs="Times New Roman" w:eastAsia="Times New Roman" w:hAnsi="Times New Roman"/>
          <w:sz w:val="24"/>
          <w:szCs w:val="24"/>
        </w:rPr>
        <w:t xml:space="preserve"> accountability for milestones, quality sign-off on every report, DOE and EnergyWerx liaison.</w:t>
      </w:r>
    </w:p>
    <w:p>
      <w:pPr>
        <w:pStyle w:val="ListParagraph"/>
        <w:numPr>
          <w:ilvl w:val="0"/>
          <w:numId w:val="2"/>
        </w:numPr>
        <w:spacing w:after="20"/>
      </w:pPr>
      <w:r>
        <w:rPr>
          <w:rFonts w:ascii="Times New Roman" w:cs="Times New Roman" w:eastAsia="Times New Roman" w:hAnsi="Times New Roman"/>
          <w:b/>
          <w:bCs/>
          <w:sz w:val="24"/>
          <w:szCs w:val="24"/>
        </w:rPr>
        <w:t xml:space="preserve">Dr. Brian Warren, Co-PI and Associate Director for Energy Assessments:</w:t>
      </w:r>
      <w:r>
        <w:rPr>
          <w:rFonts w:ascii="Times New Roman" w:cs="Times New Roman" w:eastAsia="Times New Roman" w:hAnsi="Times New Roman"/>
          <w:sz w:val="24"/>
          <w:szCs w:val="24"/>
        </w:rPr>
        <w:t xml:space="preserve"> owner of the student training curriculum and faculty technical lead for site measurement, process equipment, and analysis.</w:t>
      </w:r>
    </w:p>
    <w:p>
      <w:pPr>
        <w:pStyle w:val="ListParagraph"/>
        <w:numPr>
          <w:ilvl w:val="0"/>
          <w:numId w:val="2"/>
        </w:numPr>
        <w:spacing w:after="20"/>
      </w:pPr>
      <w:r>
        <w:rPr>
          <w:rFonts w:ascii="Times New Roman" w:cs="Times New Roman" w:eastAsia="Times New Roman" w:hAnsi="Times New Roman"/>
          <w:b/>
          <w:bCs/>
          <w:sz w:val="24"/>
          <w:szCs w:val="24"/>
        </w:rPr>
        <w:t xml:space="preserve">Dr. Patrick Mensah, Co-PI:</w:t>
      </w:r>
      <w:r>
        <w:rPr>
          <w:rFonts w:ascii="Times New Roman" w:cs="Times New Roman" w:eastAsia="Times New Roman" w:hAnsi="Times New Roman"/>
          <w:sz w:val="24"/>
          <w:szCs w:val="24"/>
        </w:rPr>
        <w:t xml:space="preserve"> curriculum integration, additive manufacturing, and coordination with LSU.</w:t>
      </w:r>
    </w:p>
    <w:p>
      <w:pPr>
        <w:pStyle w:val="ListParagraph"/>
        <w:numPr>
          <w:ilvl w:val="0"/>
          <w:numId w:val="2"/>
        </w:numPr>
        <w:spacing w:after="20"/>
      </w:pPr>
      <w:r>
        <w:rPr>
          <w:rFonts w:ascii="Times New Roman" w:cs="Times New Roman" w:eastAsia="Times New Roman" w:hAnsi="Times New Roman"/>
          <w:b/>
          <w:bCs/>
          <w:sz w:val="24"/>
          <w:szCs w:val="24"/>
        </w:rPr>
        <w:t xml:space="preserve">Dr. Michael Stubblefield, Co-PI:</w:t>
      </w:r>
      <w:r>
        <w:rPr>
          <w:rFonts w:ascii="Times New Roman" w:cs="Times New Roman" w:eastAsia="Times New Roman" w:hAnsi="Times New Roman"/>
          <w:sz w:val="24"/>
          <w:szCs w:val="24"/>
        </w:rPr>
        <w:t xml:space="preserve"> institutional commitment, the SU Louisiana SBDC and Office of Governmental Contracting Services, and federal and national-laboratory partnerships.</w:t>
      </w:r>
    </w:p>
    <w:p>
      <w:pPr>
        <w:pStyle w:val="ListParagraph"/>
        <w:numPr>
          <w:ilvl w:val="0"/>
          <w:numId w:val="2"/>
        </w:numPr>
        <w:spacing w:after="20"/>
      </w:pPr>
      <w:r>
        <w:rPr>
          <w:rFonts w:ascii="Times New Roman" w:cs="Times New Roman" w:eastAsia="Times New Roman" w:hAnsi="Times New Roman"/>
          <w:b/>
          <w:bCs/>
          <w:sz w:val="24"/>
          <w:szCs w:val="24"/>
        </w:rPr>
        <w:t xml:space="preserve">Deidre Street, Center Administrator:</w:t>
      </w:r>
      <w:r>
        <w:rPr>
          <w:rFonts w:ascii="Times New Roman" w:cs="Times New Roman" w:eastAsia="Times New Roman" w:hAnsi="Times New Roman"/>
          <w:sz w:val="24"/>
          <w:szCs w:val="24"/>
        </w:rPr>
        <w:t xml:space="preserve"> budget, milestone invoicing, cost-share records, scheduling, and reporting. </w:t>
      </w:r>
      <w:r>
        <w:rPr>
          <w:rFonts w:ascii="Times New Roman" w:cs="Times New Roman" w:eastAsia="Times New Roman" w:hAnsi="Times New Roman"/>
          <w:b/>
          <w:bCs/>
          <w:sz w:val="24"/>
          <w:szCs w:val="24"/>
        </w:rPr>
        <w:t xml:space="preserve">Deanna Smith</w:t>
      </w:r>
      <w:r>
        <w:rPr>
          <w:rFonts w:ascii="Times New Roman" w:cs="Times New Roman" w:eastAsia="Times New Roman" w:hAnsi="Times New Roman"/>
          <w:sz w:val="24"/>
          <w:szCs w:val="24"/>
        </w:rPr>
        <w:t xml:space="preserve"> leads federal contracting and mentor-protégé guidance for client plants.</w:t>
      </w:r>
    </w:p>
    <w:p>
      <w:pPr>
        <w:pStyle w:val="ListParagraph"/>
        <w:numPr>
          <w:ilvl w:val="0"/>
          <w:numId w:val="2"/>
        </w:numPr>
        <w:spacing w:after="20"/>
      </w:pPr>
      <w:r>
        <w:rPr>
          <w:rFonts w:ascii="Times New Roman" w:cs="Times New Roman" w:eastAsia="Times New Roman" w:hAnsi="Times New Roman"/>
          <w:b/>
          <w:bCs/>
          <w:sz w:val="24"/>
          <w:szCs w:val="24"/>
        </w:rPr>
        <w:t xml:space="preserve">Strategic Value Plus Solutions (V+), primary implementation partner:</w:t>
      </w:r>
      <w:r>
        <w:rPr>
          <w:rFonts w:ascii="Times New Roman" w:cs="Times New Roman" w:eastAsia="Times New Roman" w:hAnsi="Times New Roman"/>
          <w:sz w:val="24"/>
          <w:szCs w:val="24"/>
        </w:rPr>
        <w:t xml:space="preserve"> the partnership's manufacturing-readiness and capacity-building arm, with more than 70 veteran manufacturing SMEs in its organization. V+ brings in clients, places a field engineer on every site visit to coach students on productivity and plant operations, teaches the boot camp's productivity, Lean, and supplier-readiness modules, reviews students' productivity recommendations, and leads implementation follow-up and incumbent-worker training. V+ field engineers are appointed adjunct professors of practice in Mechanical Engineering, so all supervision of students sits inside the University.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82"/>
        <w:gridCol w:w="3370"/>
        <w:gridCol w:w="2808"/>
      </w:tblGrid>
      <w:tr>
        <w:trPr>
          <w:cantSplit/>
          <w:tblHeader/>
        </w:trPr>
        <w:tc>
          <w:tcPr>
            <w:tcW w:type="dxa" w:w="3182"/>
            <w:shd w:fill="D9E2F3" w:color="auto" w:val="clear"/>
            <w:tcMar>
              <w:top w:type="dxa" w:w="20"/>
              <w:left w:type="dxa" w:w="60"/>
              <w:bottom w:type="dxa" w:w="20"/>
              <w:right w:type="dxa" w:w="60"/>
            </w:tcMar>
          </w:tcPr>
          <w:p>
            <w:r>
              <w:rPr>
                <w:rFonts w:ascii="Times New Roman" w:cs="Times New Roman" w:eastAsia="Times New Roman" w:hAnsi="Times New Roman"/>
                <w:b/>
                <w:bCs/>
                <w:sz w:val="24"/>
                <w:szCs w:val="24"/>
              </w:rPr>
              <w:t xml:space="preserve">Responsibility</w:t>
            </w:r>
          </w:p>
        </w:tc>
        <w:tc>
          <w:tcPr>
            <w:tcW w:type="dxa" w:w="3370"/>
            <w:shd w:fill="D9E2F3" w:color="auto" w:val="clear"/>
            <w:tcMar>
              <w:top w:type="dxa" w:w="20"/>
              <w:left w:type="dxa" w:w="60"/>
              <w:bottom w:type="dxa" w:w="20"/>
              <w:right w:type="dxa" w:w="60"/>
            </w:tcMar>
          </w:tcPr>
          <w:p>
            <w:r>
              <w:rPr>
                <w:rFonts w:ascii="Times New Roman" w:cs="Times New Roman" w:eastAsia="Times New Roman" w:hAnsi="Times New Roman"/>
                <w:b/>
                <w:bCs/>
                <w:sz w:val="24"/>
                <w:szCs w:val="24"/>
              </w:rPr>
              <w:t xml:space="preserve">Southern University</w:t>
            </w:r>
          </w:p>
        </w:tc>
        <w:tc>
          <w:tcPr>
            <w:tcW w:type="dxa" w:w="2808"/>
            <w:shd w:fill="D9E2F3" w:color="auto" w:val="clear"/>
            <w:tcMar>
              <w:top w:type="dxa" w:w="20"/>
              <w:left w:type="dxa" w:w="60"/>
              <w:bottom w:type="dxa" w:w="20"/>
              <w:right w:type="dxa" w:w="60"/>
            </w:tcMar>
          </w:tcPr>
          <w:p>
            <w:r>
              <w:rPr>
                <w:rFonts w:ascii="Times New Roman" w:cs="Times New Roman" w:eastAsia="Times New Roman" w:hAnsi="Times New Roman"/>
                <w:b/>
                <w:bCs/>
                <w:sz w:val="24"/>
                <w:szCs w:val="24"/>
              </w:rPr>
              <w:t xml:space="preserve">V+</w:t>
            </w:r>
          </w:p>
        </w:tc>
      </w:tr>
      <w:tr>
        <w:trPr>
          <w:cantSplit/>
          <w:tblHeader w:val="off"/>
        </w:trPr>
        <w:tc>
          <w:tcPr>
            <w:tcW w:type="dxa" w:w="3182"/>
            <w:tcMar>
              <w:top w:type="dxa" w:w="20"/>
              <w:left w:type="dxa" w:w="60"/>
              <w:bottom w:type="dxa" w:w="20"/>
              <w:right w:type="dxa" w:w="60"/>
            </w:tcMar>
          </w:tcPr>
          <w:p>
            <w:r>
              <w:rPr>
                <w:rFonts w:ascii="Times New Roman" w:cs="Times New Roman" w:eastAsia="Times New Roman" w:hAnsi="Times New Roman"/>
                <w:b w:val="false"/>
                <w:bCs w:val="false"/>
                <w:sz w:val="24"/>
                <w:szCs w:val="24"/>
              </w:rPr>
              <w:t xml:space="preserve">Training curriculum and energy-technical instruction</w:t>
            </w:r>
          </w:p>
        </w:tc>
        <w:tc>
          <w:tcPr>
            <w:tcW w:type="dxa" w:w="3370"/>
            <w:tcMar>
              <w:top w:type="dxa" w:w="20"/>
              <w:left w:type="dxa" w:w="60"/>
              <w:bottom w:type="dxa" w:w="20"/>
              <w:right w:type="dxa" w:w="60"/>
            </w:tcMar>
          </w:tcPr>
          <w:p>
            <w:r>
              <w:rPr>
                <w:rFonts w:ascii="Times New Roman" w:cs="Times New Roman" w:eastAsia="Times New Roman" w:hAnsi="Times New Roman"/>
                <w:b w:val="false"/>
                <w:bCs w:val="false"/>
                <w:sz w:val="24"/>
                <w:szCs w:val="24"/>
              </w:rPr>
              <w:t xml:space="preserve">Owns; Dr. Warren leads</w:t>
            </w:r>
          </w:p>
        </w:tc>
        <w:tc>
          <w:tcPr>
            <w:tcW w:type="dxa" w:w="2808"/>
            <w:tcMar>
              <w:top w:type="dxa" w:w="20"/>
              <w:left w:type="dxa" w:w="60"/>
              <w:bottom w:type="dxa" w:w="20"/>
              <w:right w:type="dxa" w:w="60"/>
            </w:tcMar>
          </w:tcPr>
          <w:p>
            <w:r>
              <w:rPr>
                <w:rFonts w:ascii="Times New Roman" w:cs="Times New Roman" w:eastAsia="Times New Roman" w:hAnsi="Times New Roman"/>
                <w:b w:val="false"/>
                <w:bCs w:val="false"/>
                <w:sz w:val="24"/>
                <w:szCs w:val="24"/>
              </w:rPr>
              <w:t xml:space="preserve">Teaches productivity, Lean, and supplier-readiness modules</w:t>
            </w:r>
          </w:p>
        </w:tc>
      </w:tr>
      <w:tr>
        <w:trPr>
          <w:cantSplit/>
          <w:tblHeader w:val="off"/>
        </w:trPr>
        <w:tc>
          <w:tcPr>
            <w:tcW w:type="dxa" w:w="3182"/>
            <w:tcMar>
              <w:top w:type="dxa" w:w="20"/>
              <w:left w:type="dxa" w:w="60"/>
              <w:bottom w:type="dxa" w:w="20"/>
              <w:right w:type="dxa" w:w="60"/>
            </w:tcMar>
          </w:tcPr>
          <w:p>
            <w:r>
              <w:rPr>
                <w:rFonts w:ascii="Times New Roman" w:cs="Times New Roman" w:eastAsia="Times New Roman" w:hAnsi="Times New Roman"/>
                <w:b w:val="false"/>
                <w:bCs w:val="false"/>
                <w:sz w:val="24"/>
                <w:szCs w:val="24"/>
              </w:rPr>
              <w:t xml:space="preserve">On site</w:t>
            </w:r>
          </w:p>
        </w:tc>
        <w:tc>
          <w:tcPr>
            <w:tcW w:type="dxa" w:w="3370"/>
            <w:tcMar>
              <w:top w:type="dxa" w:w="20"/>
              <w:left w:type="dxa" w:w="60"/>
              <w:bottom w:type="dxa" w:w="20"/>
              <w:right w:type="dxa" w:w="60"/>
            </w:tcMar>
          </w:tcPr>
          <w:p>
            <w:r>
              <w:rPr>
                <w:rFonts w:ascii="Times New Roman" w:cs="Times New Roman" w:eastAsia="Times New Roman" w:hAnsi="Times New Roman"/>
                <w:b w:val="false"/>
                <w:bCs w:val="false"/>
                <w:sz w:val="24"/>
                <w:szCs w:val="24"/>
              </w:rPr>
              <w:t xml:space="preserve">Faculty member at every Year 1 visit and each new team's first visit</w:t>
            </w:r>
          </w:p>
        </w:tc>
        <w:tc>
          <w:tcPr>
            <w:tcW w:type="dxa" w:w="2808"/>
            <w:tcMar>
              <w:top w:type="dxa" w:w="20"/>
              <w:left w:type="dxa" w:w="60"/>
              <w:bottom w:type="dxa" w:w="20"/>
              <w:right w:type="dxa" w:w="60"/>
            </w:tcMar>
          </w:tcPr>
          <w:p>
            <w:r>
              <w:rPr>
                <w:rFonts w:ascii="Times New Roman" w:cs="Times New Roman" w:eastAsia="Times New Roman" w:hAnsi="Times New Roman"/>
                <w:b w:val="false"/>
                <w:bCs w:val="false"/>
                <w:sz w:val="24"/>
                <w:szCs w:val="24"/>
              </w:rPr>
              <w:t xml:space="preserve">Field engineer at every visit, coaching</w:t>
            </w:r>
          </w:p>
        </w:tc>
      </w:tr>
      <w:tr>
        <w:trPr>
          <w:cantSplit/>
          <w:tblHeader w:val="off"/>
        </w:trPr>
        <w:tc>
          <w:tcPr>
            <w:tcW w:type="dxa" w:w="3182"/>
            <w:tcMar>
              <w:top w:type="dxa" w:w="20"/>
              <w:left w:type="dxa" w:w="60"/>
              <w:bottom w:type="dxa" w:w="20"/>
              <w:right w:type="dxa" w:w="60"/>
            </w:tcMar>
          </w:tcPr>
          <w:p>
            <w:r>
              <w:rPr>
                <w:rFonts w:ascii="Times New Roman" w:cs="Times New Roman" w:eastAsia="Times New Roman" w:hAnsi="Times New Roman"/>
                <w:b w:val="false"/>
                <w:bCs w:val="false"/>
                <w:sz w:val="24"/>
                <w:szCs w:val="24"/>
              </w:rPr>
              <w:t xml:space="preserve">Metering, analysis, and report writing</w:t>
            </w:r>
          </w:p>
        </w:tc>
        <w:tc>
          <w:tcPr>
            <w:tcW w:type="dxa" w:w="3370"/>
            <w:tcMar>
              <w:top w:type="dxa" w:w="20"/>
              <w:left w:type="dxa" w:w="60"/>
              <w:bottom w:type="dxa" w:w="20"/>
              <w:right w:type="dxa" w:w="60"/>
            </w:tcMar>
          </w:tcPr>
          <w:p>
            <w:r>
              <w:rPr>
                <w:rFonts w:ascii="Times New Roman" w:cs="Times New Roman" w:eastAsia="Times New Roman" w:hAnsi="Times New Roman"/>
                <w:b w:val="false"/>
                <w:bCs w:val="false"/>
                <w:sz w:val="24"/>
                <w:szCs w:val="24"/>
              </w:rPr>
              <w:t xml:space="preserve">Students, under faculty direction</w:t>
            </w:r>
          </w:p>
        </w:tc>
        <w:tc>
          <w:tcPr>
            <w:tcW w:type="dxa" w:w="2808"/>
            <w:tcMar>
              <w:top w:type="dxa" w:w="20"/>
              <w:left w:type="dxa" w:w="60"/>
              <w:bottom w:type="dxa" w:w="20"/>
              <w:right w:type="dxa" w:w="60"/>
            </w:tcMar>
          </w:tcPr>
          <w:p>
            <w:r>
              <w:rPr>
                <w:rFonts w:ascii="Times New Roman" w:cs="Times New Roman" w:eastAsia="Times New Roman" w:hAnsi="Times New Roman"/>
                <w:b w:val="false"/>
                <w:bCs w:val="false"/>
                <w:sz w:val="24"/>
                <w:szCs w:val="24"/>
              </w:rPr>
              <w:t xml:space="preserve">Coaches; does not perform</w:t>
            </w:r>
          </w:p>
        </w:tc>
      </w:tr>
      <w:tr>
        <w:trPr>
          <w:cantSplit/>
          <w:tblHeader w:val="off"/>
        </w:trPr>
        <w:tc>
          <w:tcPr>
            <w:tcW w:type="dxa" w:w="3182"/>
            <w:tcMar>
              <w:top w:type="dxa" w:w="20"/>
              <w:left w:type="dxa" w:w="60"/>
              <w:bottom w:type="dxa" w:w="20"/>
              <w:right w:type="dxa" w:w="60"/>
            </w:tcMar>
          </w:tcPr>
          <w:p>
            <w:r>
              <w:rPr>
                <w:rFonts w:ascii="Times New Roman" w:cs="Times New Roman" w:eastAsia="Times New Roman" w:hAnsi="Times New Roman"/>
                <w:b w:val="false"/>
                <w:bCs w:val="false"/>
                <w:sz w:val="24"/>
                <w:szCs w:val="24"/>
              </w:rPr>
              <w:t xml:space="preserve">Report review and sign-off</w:t>
            </w:r>
          </w:p>
        </w:tc>
        <w:tc>
          <w:tcPr>
            <w:tcW w:type="dxa" w:w="3370"/>
            <w:tcMar>
              <w:top w:type="dxa" w:w="20"/>
              <w:left w:type="dxa" w:w="60"/>
              <w:bottom w:type="dxa" w:w="20"/>
              <w:right w:type="dxa" w:w="60"/>
            </w:tcMar>
          </w:tcPr>
          <w:p>
            <w:r>
              <w:rPr>
                <w:rFonts w:ascii="Times New Roman" w:cs="Times New Roman" w:eastAsia="Times New Roman" w:hAnsi="Times New Roman"/>
                <w:b w:val="false"/>
                <w:bCs w:val="false"/>
                <w:sz w:val="24"/>
                <w:szCs w:val="24"/>
              </w:rPr>
              <w:t xml:space="preserve">Faculty technical review; Director signs</w:t>
            </w:r>
          </w:p>
        </w:tc>
        <w:tc>
          <w:tcPr>
            <w:tcW w:type="dxa" w:w="2808"/>
            <w:tcMar>
              <w:top w:type="dxa" w:w="20"/>
              <w:left w:type="dxa" w:w="60"/>
              <w:bottom w:type="dxa" w:w="20"/>
              <w:right w:type="dxa" w:w="60"/>
            </w:tcMar>
          </w:tcPr>
          <w:p>
            <w:r>
              <w:rPr>
                <w:rFonts w:ascii="Times New Roman" w:cs="Times New Roman" w:eastAsia="Times New Roman" w:hAnsi="Times New Roman"/>
                <w:b w:val="false"/>
                <w:bCs w:val="false"/>
                <w:sz w:val="24"/>
                <w:szCs w:val="24"/>
              </w:rPr>
              <w:t xml:space="preserve">Reviews productivity recommendations</w:t>
            </w:r>
          </w:p>
        </w:tc>
      </w:tr>
      <w:tr>
        <w:trPr>
          <w:cantSplit/>
          <w:tblHeader w:val="off"/>
        </w:trPr>
        <w:tc>
          <w:tcPr>
            <w:tcW w:type="dxa" w:w="3182"/>
            <w:tcMar>
              <w:top w:type="dxa" w:w="20"/>
              <w:left w:type="dxa" w:w="60"/>
              <w:bottom w:type="dxa" w:w="20"/>
              <w:right w:type="dxa" w:w="60"/>
            </w:tcMar>
          </w:tcPr>
          <w:p>
            <w:r>
              <w:rPr>
                <w:rFonts w:ascii="Times New Roman" w:cs="Times New Roman" w:eastAsia="Times New Roman" w:hAnsi="Times New Roman"/>
                <w:b w:val="false"/>
                <w:bCs w:val="false"/>
                <w:sz w:val="24"/>
                <w:szCs w:val="24"/>
              </w:rPr>
              <w:t xml:space="preserve">Student employment, safety, and records</w:t>
            </w:r>
          </w:p>
        </w:tc>
        <w:tc>
          <w:tcPr>
            <w:tcW w:type="dxa" w:w="3370"/>
            <w:tcMar>
              <w:top w:type="dxa" w:w="20"/>
              <w:left w:type="dxa" w:w="60"/>
              <w:bottom w:type="dxa" w:w="20"/>
              <w:right w:type="dxa" w:w="60"/>
            </w:tcMar>
          </w:tcPr>
          <w:p>
            <w:r>
              <w:rPr>
                <w:rFonts w:ascii="Times New Roman" w:cs="Times New Roman" w:eastAsia="Times New Roman" w:hAnsi="Times New Roman"/>
                <w:b w:val="false"/>
                <w:bCs w:val="false"/>
                <w:sz w:val="24"/>
                <w:szCs w:val="24"/>
              </w:rPr>
              <w:t xml:space="preserve">Owns (Southern's safety rules, insurance, and FERPA protections)</w:t>
            </w:r>
          </w:p>
        </w:tc>
        <w:tc>
          <w:tcPr>
            <w:tcW w:type="dxa" w:w="2808"/>
            <w:tcMar>
              <w:top w:type="dxa" w:w="20"/>
              <w:left w:type="dxa" w:w="60"/>
              <w:bottom w:type="dxa" w:w="20"/>
              <w:right w:type="dxa" w:w="60"/>
            </w:tcMar>
          </w:tcPr>
          <w:p>
            <w:r>
              <w:rPr>
                <w:rFonts w:ascii="Times New Roman" w:cs="Times New Roman" w:eastAsia="Times New Roman" w:hAnsi="Times New Roman"/>
                <w:b w:val="false"/>
                <w:bCs w:val="false"/>
                <w:sz w:val="24"/>
                <w:szCs w:val="24"/>
              </w:rPr>
              <w:t xml:space="preserve">Follows Southern's site-safety plan</w:t>
            </w:r>
          </w:p>
        </w:tc>
      </w:tr>
      <w:tr>
        <w:trPr>
          <w:cantSplit/>
          <w:tblHeader w:val="off"/>
        </w:trPr>
        <w:tc>
          <w:tcPr>
            <w:tcW w:type="dxa" w:w="3182"/>
            <w:tcMar>
              <w:top w:type="dxa" w:w="20"/>
              <w:left w:type="dxa" w:w="60"/>
              <w:bottom w:type="dxa" w:w="20"/>
              <w:right w:type="dxa" w:w="60"/>
            </w:tcMar>
          </w:tcPr>
          <w:p>
            <w:r>
              <w:rPr>
                <w:rFonts w:ascii="Times New Roman" w:cs="Times New Roman" w:eastAsia="Times New Roman" w:hAnsi="Times New Roman"/>
                <w:b w:val="false"/>
                <w:bCs w:val="false"/>
                <w:sz w:val="24"/>
                <w:szCs w:val="24"/>
              </w:rPr>
              <w:t xml:space="preserve">Certification</w:t>
            </w:r>
          </w:p>
        </w:tc>
        <w:tc>
          <w:tcPr>
            <w:tcW w:type="dxa" w:w="3370"/>
            <w:tcMar>
              <w:top w:type="dxa" w:w="20"/>
              <w:left w:type="dxa" w:w="60"/>
              <w:bottom w:type="dxa" w:w="20"/>
              <w:right w:type="dxa" w:w="60"/>
            </w:tcMar>
          </w:tcPr>
          <w:p>
            <w:r>
              <w:rPr>
                <w:rFonts w:ascii="Times New Roman" w:cs="Times New Roman" w:eastAsia="Times New Roman" w:hAnsi="Times New Roman"/>
                <w:b w:val="false"/>
                <w:bCs w:val="false"/>
                <w:sz w:val="24"/>
                <w:szCs w:val="24"/>
              </w:rPr>
              <w:t xml:space="preserve">Director decides, per DOE criteria</w:t>
            </w:r>
          </w:p>
        </w:tc>
        <w:tc>
          <w:tcPr>
            <w:tcW w:type="dxa" w:w="2808"/>
            <w:tcMar>
              <w:top w:type="dxa" w:w="20"/>
              <w:left w:type="dxa" w:w="60"/>
              <w:bottom w:type="dxa" w:w="20"/>
              <w:right w:type="dxa" w:w="60"/>
            </w:tcMar>
          </w:tcPr>
          <w:p>
            <w:r>
              <w:rPr>
                <w:rFonts w:ascii="Times New Roman" w:cs="Times New Roman" w:eastAsia="Times New Roman" w:hAnsi="Times New Roman"/>
                <w:b w:val="false"/>
                <w:bCs w:val="false"/>
                <w:sz w:val="24"/>
                <w:szCs w:val="24"/>
              </w:rPr>
              <w:t xml:space="preserve">Provides field observations</w:t>
            </w:r>
          </w:p>
        </w:tc>
      </w:tr>
    </w:tbl>
    <w:p>
      <w:pPr>
        <w:spacing w:after="40"/>
      </w:pPr>
    </w:p>
    <w:p>
      <w:pPr>
        <w:spacing w:after="60" w:before="0" w:line="240"/>
        <w:jc w:val="both"/>
      </w:pPr>
      <w:r>
        <w:rPr>
          <w:rFonts w:ascii="Times New Roman" w:cs="Times New Roman" w:eastAsia="Times New Roman" w:hAnsi="Times New Roman"/>
          <w:sz w:val="24"/>
          <w:szCs w:val="24"/>
        </w:rPr>
        <w:t xml:space="preserve">A </w:t>
      </w:r>
      <w:r>
        <w:rPr>
          <w:rFonts w:ascii="Times New Roman" w:cs="Times New Roman" w:eastAsia="Times New Roman" w:hAnsi="Times New Roman"/>
          <w:b/>
          <w:bCs/>
          <w:sz w:val="24"/>
          <w:szCs w:val="24"/>
        </w:rPr>
        <w:t xml:space="preserve">Partner Leadership Council</w:t>
      </w:r>
      <w:r>
        <w:rPr>
          <w:rFonts w:ascii="Times New Roman" w:cs="Times New Roman" w:eastAsia="Times New Roman" w:hAnsi="Times New Roman"/>
          <w:sz w:val="24"/>
          <w:szCs w:val="24"/>
        </w:rPr>
        <w:t xml:space="preserve"> meets quarterly with the Director and leads client and student training in its specialties: the HUBZone Contractors National Council (HUBZone readiness), End-to-End Enterprise Solutions (CMMC readiness), Let's Thryve (cybersecurity awareness), KDM &amp; Associates (federal contracting teaming), the American Defense Alliance (mentor-protégé teaming with defense primes), and iHealth </w:t>
      </w:r>
      <w:r>
        <w:rPr>
          <w:rFonts w:ascii="Times New Roman" w:cs="Times New Roman" w:eastAsia="Times New Roman" w:hAnsi="Times New Roman"/>
          <w:sz w:val="24"/>
          <w:szCs w:val="24"/>
          <w:highlight w:val="yellow"/>
        </w:rPr>
        <w:t xml:space="preserve">[role]</w:t>
      </w:r>
      <w:r>
        <w:rPr>
          <w:rFonts w:ascii="Times New Roman" w:cs="Times New Roman" w:eastAsia="Times New Roman" w:hAnsi="Times New Roman"/>
          <w:sz w:val="24"/>
          <w:szCs w:val="24"/>
        </w:rPr>
        <w:t xml:space="preserve">. Together they contribute $27,000 a year in documented in-kind time and waived event registrations. The MBDA LIFT Rural Business Center and SU Louisiana SBDC identify and prepare rural manufacturers. </w:t>
      </w:r>
      <w:r>
        <w:rPr>
          <w:rFonts w:ascii="Times New Roman" w:cs="Times New Roman" w:eastAsia="Times New Roman" w:hAnsi="Times New Roman"/>
          <w:b/>
          <w:bCs/>
          <w:sz w:val="24"/>
          <w:szCs w:val="24"/>
        </w:rPr>
        <w:t xml:space="preserve">Assessment workflow:</w:t>
      </w:r>
      <w:r>
        <w:rPr>
          <w:rFonts w:ascii="Times New Roman" w:cs="Times New Roman" w:eastAsia="Times New Roman" w:hAnsi="Times New Roman"/>
          <w:sz w:val="24"/>
          <w:szCs w:val="24"/>
        </w:rPr>
        <w:t xml:space="preserve"> referral; eligibility screen and analysis of 12 months of utility bills; one-day site visit with metering by the student team, with a faculty member and a V+ field engineer; analysis with DOE assessment recommendation codes, giving cost, savings, and simple payback for each recommendation; faculty technical review and Director sign-off; follow-up at 9–12 months; upload to the DOE ITAC database. Because Dr. Dawan founded In Aim Technologies, a manufacturer and DLA-registered supplier, the Center will never assess In Aim or its customers or suppliers, and any client tied to a team member is reviewed under Southern's conflict-of-interest policy. The same rule governs V+: assessments are always free, recommendations never depend on any purchase, any paid V+ follow-on work is optional for the client and disclosed to DOE in quarterly reports, and V+ network clients pass the same eligibility screen as every other lead.</w:t>
      </w:r>
    </w:p>
    <w:p>
      <w:pPr>
        <w:keepNext/>
        <w:spacing w:after="40" w:before="60"/>
      </w:pPr>
      <w:r>
        <w:rPr>
          <w:rFonts w:ascii="Times New Roman" w:cs="Times New Roman" w:eastAsia="Times New Roman" w:hAnsi="Times New Roman"/>
          <w:b/>
          <w:bCs/>
          <w:i/>
          <w:iCs/>
          <w:sz w:val="24"/>
          <w:szCs w:val="24"/>
        </w:rPr>
        <w:t xml:space="preserve">1.4 Technology and data tools</w:t>
      </w:r>
    </w:p>
    <w:p>
      <w:pPr>
        <w:pStyle w:val="ListParagraph"/>
        <w:numPr>
          <w:ilvl w:val="0"/>
          <w:numId w:val="2"/>
        </w:numPr>
        <w:spacing w:after="20"/>
      </w:pPr>
      <w:r>
        <w:rPr>
          <w:rFonts w:ascii="Times New Roman" w:cs="Times New Roman" w:eastAsia="Times New Roman" w:hAnsi="Times New Roman"/>
          <w:b/>
          <w:bCs/>
          <w:sz w:val="24"/>
          <w:szCs w:val="24"/>
        </w:rPr>
        <w:t xml:space="preserve">DOE tools:</w:t>
      </w:r>
      <w:r>
        <w:rPr>
          <w:rFonts w:ascii="Times New Roman" w:cs="Times New Roman" w:eastAsia="Times New Roman" w:hAnsi="Times New Roman"/>
          <w:sz w:val="24"/>
          <w:szCs w:val="24"/>
        </w:rPr>
        <w:t xml:space="preserve"> the ITAC database and assessment recommendation codes for every assessment; MEASUR for steam, process heating, pumps, fans, and compressed air.</w:t>
      </w:r>
    </w:p>
    <w:p>
      <w:pPr>
        <w:pStyle w:val="ListParagraph"/>
        <w:numPr>
          <w:ilvl w:val="0"/>
          <w:numId w:val="2"/>
        </w:numPr>
        <w:spacing w:after="20"/>
      </w:pPr>
      <w:r>
        <w:rPr>
          <w:rFonts w:ascii="Times New Roman" w:cs="Times New Roman" w:eastAsia="Times New Roman" w:hAnsi="Times New Roman"/>
          <w:b/>
          <w:bCs/>
          <w:sz w:val="24"/>
          <w:szCs w:val="24"/>
        </w:rPr>
        <w:t xml:space="preserve">Field instrumentation</w:t>
      </w:r>
      <w:r>
        <w:rPr>
          <w:rFonts w:ascii="Times New Roman" w:cs="Times New Roman" w:eastAsia="Times New Roman" w:hAnsi="Times New Roman"/>
          <w:sz w:val="24"/>
          <w:szCs w:val="24"/>
        </w:rPr>
        <w:t xml:space="preserve"> purchased in Year 1: power and power-quality loggers, thermal imaging, ultrasonic leak detection, combustion analysis, airflow, lighting, temperature, and current loggers.</w:t>
      </w:r>
    </w:p>
    <w:p>
      <w:pPr>
        <w:pStyle w:val="ListParagraph"/>
        <w:numPr>
          <w:ilvl w:val="0"/>
          <w:numId w:val="2"/>
        </w:numPr>
        <w:spacing w:after="20"/>
      </w:pPr>
      <w:r>
        <w:rPr>
          <w:rFonts w:ascii="Times New Roman" w:cs="Times New Roman" w:eastAsia="Times New Roman" w:hAnsi="Times New Roman"/>
          <w:b/>
          <w:bCs/>
          <w:sz w:val="24"/>
          <w:szCs w:val="24"/>
        </w:rPr>
        <w:t xml:space="preserve">AI-assisted analysis:</w:t>
      </w:r>
      <w:r>
        <w:rPr>
          <w:rFonts w:ascii="Times New Roman" w:cs="Times New Roman" w:eastAsia="Times New Roman" w:hAnsi="Times New Roman"/>
          <w:sz w:val="24"/>
          <w:szCs w:val="24"/>
        </w:rPr>
        <w:t xml:space="preserve"> students will build and validate, against engineer-checked results from past ITAC reports, an assistant that screens utility bills, flags likely recommendations, and drafts report sections; a faculty engineer approves every number.</w:t>
      </w:r>
    </w:p>
    <w:p>
      <w:pPr>
        <w:pStyle w:val="ListParagraph"/>
        <w:numPr>
          <w:ilvl w:val="0"/>
          <w:numId w:val="2"/>
        </w:numPr>
        <w:spacing w:after="20"/>
      </w:pPr>
      <w:r>
        <w:rPr>
          <w:rFonts w:ascii="Times New Roman" w:cs="Times New Roman" w:eastAsia="Times New Roman" w:hAnsi="Times New Roman"/>
          <w:b/>
          <w:bCs/>
          <w:sz w:val="24"/>
          <w:szCs w:val="24"/>
        </w:rPr>
        <w:t xml:space="preserve">Client pipeline and dashboard:</w:t>
      </w:r>
      <w:r>
        <w:rPr>
          <w:rFonts w:ascii="Times New Roman" w:cs="Times New Roman" w:eastAsia="Times New Roman" w:hAnsi="Times New Roman"/>
          <w:sz w:val="24"/>
          <w:szCs w:val="24"/>
        </w:rPr>
        <w:t xml:space="preserve"> the V+ EDGE platform tracks every lead, visit, report date, recommendation, and follow-up, so the Director sees milestone risk weekly.</w:t>
      </w:r>
    </w:p>
    <w:p>
      <w:pPr>
        <w:pStyle w:val="ListParagraph"/>
        <w:numPr>
          <w:ilvl w:val="0"/>
          <w:numId w:val="2"/>
        </w:numPr>
        <w:spacing w:after="20"/>
      </w:pPr>
      <w:r>
        <w:rPr>
          <w:rFonts w:ascii="Times New Roman" w:cs="Times New Roman" w:eastAsia="Times New Roman" w:hAnsi="Times New Roman"/>
          <w:b/>
          <w:bCs/>
          <w:sz w:val="24"/>
          <w:szCs w:val="24"/>
        </w:rPr>
        <w:t xml:space="preserve">Cybersecurity screening:</w:t>
      </w:r>
      <w:r>
        <w:rPr>
          <w:rFonts w:ascii="Times New Roman" w:cs="Times New Roman" w:eastAsia="Times New Roman" w:hAnsi="Times New Roman"/>
          <w:sz w:val="24"/>
          <w:szCs w:val="24"/>
        </w:rPr>
        <w:t xml:space="preserve"> an operational-technology checklist based on CISA's Cross-Sector Cybersecurity Performance Goals, offered with each assessment.</w:t>
      </w:r>
    </w:p>
    <w:p>
      <w:pPr>
        <w:keepNext/>
        <w:spacing w:after="40" w:before="60"/>
      </w:pPr>
      <w:r>
        <w:rPr>
          <w:rFonts w:ascii="Times New Roman" w:cs="Times New Roman" w:eastAsia="Times New Roman" w:hAnsi="Times New Roman"/>
          <w:b/>
          <w:bCs/>
          <w:i/>
          <w:iCs/>
          <w:sz w:val="24"/>
          <w:szCs w:val="24"/>
        </w:rPr>
        <w:t xml:space="preserve">1.5 Workplan and milestones</w:t>
      </w:r>
    </w:p>
    <w:p>
      <w:pPr>
        <w:spacing w:after="60" w:before="0" w:line="240"/>
        <w:jc w:val="both"/>
      </w:pPr>
      <w:r>
        <w:rPr>
          <w:rFonts w:ascii="Times New Roman" w:cs="Times New Roman" w:eastAsia="Times New Roman" w:hAnsi="Times New Roman"/>
          <w:sz w:val="24"/>
          <w:szCs w:val="24"/>
        </w:rPr>
        <w:t xml:space="preserve">Year 1 is lower while the Center equips and trains its first cohort, as DOE anticipates for new centers. Students trained include paid assessors (16 in Year 1, 24 thereafter) plus elective and capstone students. Site visits are grouped into two-plant trips to cut travel time and cost.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63"/>
        <w:gridCol w:w="842"/>
        <w:gridCol w:w="842"/>
        <w:gridCol w:w="842"/>
        <w:gridCol w:w="842"/>
        <w:gridCol w:w="842"/>
        <w:gridCol w:w="1685"/>
      </w:tblGrid>
      <w:tr>
        <w:trPr>
          <w:cantSplit/>
          <w:tblHeader/>
        </w:trPr>
        <w:tc>
          <w:tcPr>
            <w:tcW w:type="dxa" w:w="3463"/>
            <w:shd w:fill="D9E2F3" w:color="auto" w:val="clear"/>
            <w:tcMar>
              <w:top w:type="dxa" w:w="20"/>
              <w:left w:type="dxa" w:w="60"/>
              <w:bottom w:type="dxa" w:w="20"/>
              <w:right w:type="dxa" w:w="60"/>
            </w:tcMar>
          </w:tcPr>
          <w:p>
            <w:r>
              <w:rPr>
                <w:rFonts w:ascii="Times New Roman" w:cs="Times New Roman" w:eastAsia="Times New Roman" w:hAnsi="Times New Roman"/>
                <w:b/>
                <w:bCs/>
                <w:sz w:val="24"/>
                <w:szCs w:val="24"/>
              </w:rPr>
              <w:t xml:space="preserve">Milestone</w:t>
            </w:r>
          </w:p>
        </w:tc>
        <w:tc>
          <w:tcPr>
            <w:tcW w:type="dxa" w:w="842"/>
            <w:shd w:fill="D9E2F3" w:color="auto" w:val="clear"/>
            <w:tcMar>
              <w:top w:type="dxa" w:w="20"/>
              <w:left w:type="dxa" w:w="60"/>
              <w:bottom w:type="dxa" w:w="20"/>
              <w:right w:type="dxa" w:w="60"/>
            </w:tcMar>
          </w:tcPr>
          <w:p>
            <w:r>
              <w:rPr>
                <w:rFonts w:ascii="Times New Roman" w:cs="Times New Roman" w:eastAsia="Times New Roman" w:hAnsi="Times New Roman"/>
                <w:b/>
                <w:bCs/>
                <w:sz w:val="24"/>
                <w:szCs w:val="24"/>
              </w:rPr>
              <w:t xml:space="preserve">Y1</w:t>
            </w:r>
          </w:p>
        </w:tc>
        <w:tc>
          <w:tcPr>
            <w:tcW w:type="dxa" w:w="842"/>
            <w:shd w:fill="D9E2F3" w:color="auto" w:val="clear"/>
            <w:tcMar>
              <w:top w:type="dxa" w:w="20"/>
              <w:left w:type="dxa" w:w="60"/>
              <w:bottom w:type="dxa" w:w="20"/>
              <w:right w:type="dxa" w:w="60"/>
            </w:tcMar>
          </w:tcPr>
          <w:p>
            <w:r>
              <w:rPr>
                <w:rFonts w:ascii="Times New Roman" w:cs="Times New Roman" w:eastAsia="Times New Roman" w:hAnsi="Times New Roman"/>
                <w:b/>
                <w:bCs/>
                <w:sz w:val="24"/>
                <w:szCs w:val="24"/>
              </w:rPr>
              <w:t xml:space="preserve">Y2</w:t>
            </w:r>
          </w:p>
        </w:tc>
        <w:tc>
          <w:tcPr>
            <w:tcW w:type="dxa" w:w="842"/>
            <w:shd w:fill="D9E2F3" w:color="auto" w:val="clear"/>
            <w:tcMar>
              <w:top w:type="dxa" w:w="20"/>
              <w:left w:type="dxa" w:w="60"/>
              <w:bottom w:type="dxa" w:w="20"/>
              <w:right w:type="dxa" w:w="60"/>
            </w:tcMar>
          </w:tcPr>
          <w:p>
            <w:r>
              <w:rPr>
                <w:rFonts w:ascii="Times New Roman" w:cs="Times New Roman" w:eastAsia="Times New Roman" w:hAnsi="Times New Roman"/>
                <w:b/>
                <w:bCs/>
                <w:sz w:val="24"/>
                <w:szCs w:val="24"/>
              </w:rPr>
              <w:t xml:space="preserve">Y3</w:t>
            </w:r>
          </w:p>
        </w:tc>
        <w:tc>
          <w:tcPr>
            <w:tcW w:type="dxa" w:w="842"/>
            <w:shd w:fill="D9E2F3" w:color="auto" w:val="clear"/>
            <w:tcMar>
              <w:top w:type="dxa" w:w="20"/>
              <w:left w:type="dxa" w:w="60"/>
              <w:bottom w:type="dxa" w:w="20"/>
              <w:right w:type="dxa" w:w="60"/>
            </w:tcMar>
          </w:tcPr>
          <w:p>
            <w:r>
              <w:rPr>
                <w:rFonts w:ascii="Times New Roman" w:cs="Times New Roman" w:eastAsia="Times New Roman" w:hAnsi="Times New Roman"/>
                <w:b/>
                <w:bCs/>
                <w:sz w:val="24"/>
                <w:szCs w:val="24"/>
              </w:rPr>
              <w:t xml:space="preserve">Y4</w:t>
            </w:r>
          </w:p>
        </w:tc>
        <w:tc>
          <w:tcPr>
            <w:tcW w:type="dxa" w:w="842"/>
            <w:shd w:fill="D9E2F3" w:color="auto" w:val="clear"/>
            <w:tcMar>
              <w:top w:type="dxa" w:w="20"/>
              <w:left w:type="dxa" w:w="60"/>
              <w:bottom w:type="dxa" w:w="20"/>
              <w:right w:type="dxa" w:w="60"/>
            </w:tcMar>
          </w:tcPr>
          <w:p>
            <w:r>
              <w:rPr>
                <w:rFonts w:ascii="Times New Roman" w:cs="Times New Roman" w:eastAsia="Times New Roman" w:hAnsi="Times New Roman"/>
                <w:b/>
                <w:bCs/>
                <w:sz w:val="24"/>
                <w:szCs w:val="24"/>
              </w:rPr>
              <w:t xml:space="preserve">Y5</w:t>
            </w:r>
          </w:p>
        </w:tc>
        <w:tc>
          <w:tcPr>
            <w:tcW w:type="dxa" w:w="1685"/>
            <w:shd w:fill="D9E2F3" w:color="auto" w:val="clear"/>
            <w:tcMar>
              <w:top w:type="dxa" w:w="20"/>
              <w:left w:type="dxa" w:w="60"/>
              <w:bottom w:type="dxa" w:w="20"/>
              <w:right w:type="dxa" w:w="60"/>
            </w:tcMar>
          </w:tcPr>
          <w:p>
            <w:r>
              <w:rPr>
                <w:rFonts w:ascii="Times New Roman" w:cs="Times New Roman" w:eastAsia="Times New Roman" w:hAnsi="Times New Roman"/>
                <w:b/>
                <w:bCs/>
                <w:sz w:val="24"/>
                <w:szCs w:val="24"/>
              </w:rPr>
              <w:t xml:space="preserve">Total</w:t>
            </w:r>
          </w:p>
        </w:tc>
      </w:tr>
      <w:tr>
        <w:trPr>
          <w:cantSplit/>
          <w:tblHeader w:val="off"/>
        </w:trPr>
        <w:tc>
          <w:tcPr>
            <w:tcW w:type="dxa" w:w="3463"/>
            <w:tcMar>
              <w:top w:type="dxa" w:w="20"/>
              <w:left w:type="dxa" w:w="60"/>
              <w:bottom w:type="dxa" w:w="20"/>
              <w:right w:type="dxa" w:w="60"/>
            </w:tcMar>
          </w:tcPr>
          <w:p>
            <w:r>
              <w:rPr>
                <w:rFonts w:ascii="Times New Roman" w:cs="Times New Roman" w:eastAsia="Times New Roman" w:hAnsi="Times New Roman"/>
                <w:b w:val="false"/>
                <w:bCs w:val="false"/>
                <w:sz w:val="24"/>
                <w:szCs w:val="24"/>
              </w:rPr>
              <w:t xml:space="preserve">Assessments completed</w:t>
            </w:r>
          </w:p>
        </w:tc>
        <w:tc>
          <w:tcPr>
            <w:tcW w:type="dxa" w:w="842"/>
            <w:tcMar>
              <w:top w:type="dxa" w:w="20"/>
              <w:left w:type="dxa" w:w="60"/>
              <w:bottom w:type="dxa" w:w="20"/>
              <w:right w:type="dxa" w:w="60"/>
            </w:tcMar>
          </w:tcPr>
          <w:p>
            <w:r>
              <w:rPr>
                <w:rFonts w:ascii="Times New Roman" w:cs="Times New Roman" w:eastAsia="Times New Roman" w:hAnsi="Times New Roman"/>
                <w:b w:val="false"/>
                <w:bCs w:val="false"/>
                <w:sz w:val="24"/>
                <w:szCs w:val="24"/>
              </w:rPr>
              <w:t xml:space="preserve">10</w:t>
            </w:r>
          </w:p>
        </w:tc>
        <w:tc>
          <w:tcPr>
            <w:tcW w:type="dxa" w:w="842"/>
            <w:tcMar>
              <w:top w:type="dxa" w:w="20"/>
              <w:left w:type="dxa" w:w="60"/>
              <w:bottom w:type="dxa" w:w="20"/>
              <w:right w:type="dxa" w:w="60"/>
            </w:tcMar>
          </w:tcPr>
          <w:p>
            <w:r>
              <w:rPr>
                <w:rFonts w:ascii="Times New Roman" w:cs="Times New Roman" w:eastAsia="Times New Roman" w:hAnsi="Times New Roman"/>
                <w:b w:val="false"/>
                <w:bCs w:val="false"/>
                <w:sz w:val="24"/>
                <w:szCs w:val="24"/>
              </w:rPr>
              <w:t xml:space="preserve">18</w:t>
            </w:r>
          </w:p>
        </w:tc>
        <w:tc>
          <w:tcPr>
            <w:tcW w:type="dxa" w:w="842"/>
            <w:tcMar>
              <w:top w:type="dxa" w:w="20"/>
              <w:left w:type="dxa" w:w="60"/>
              <w:bottom w:type="dxa" w:w="20"/>
              <w:right w:type="dxa" w:w="60"/>
            </w:tcMar>
          </w:tcPr>
          <w:p>
            <w:r>
              <w:rPr>
                <w:rFonts w:ascii="Times New Roman" w:cs="Times New Roman" w:eastAsia="Times New Roman" w:hAnsi="Times New Roman"/>
                <w:b w:val="false"/>
                <w:bCs w:val="false"/>
                <w:sz w:val="24"/>
                <w:szCs w:val="24"/>
              </w:rPr>
              <w:t xml:space="preserve">20</w:t>
            </w:r>
          </w:p>
        </w:tc>
        <w:tc>
          <w:tcPr>
            <w:tcW w:type="dxa" w:w="842"/>
            <w:tcMar>
              <w:top w:type="dxa" w:w="20"/>
              <w:left w:type="dxa" w:w="60"/>
              <w:bottom w:type="dxa" w:w="20"/>
              <w:right w:type="dxa" w:w="60"/>
            </w:tcMar>
          </w:tcPr>
          <w:p>
            <w:r>
              <w:rPr>
                <w:rFonts w:ascii="Times New Roman" w:cs="Times New Roman" w:eastAsia="Times New Roman" w:hAnsi="Times New Roman"/>
                <w:b w:val="false"/>
                <w:bCs w:val="false"/>
                <w:sz w:val="24"/>
                <w:szCs w:val="24"/>
              </w:rPr>
              <w:t xml:space="preserve">20</w:t>
            </w:r>
          </w:p>
        </w:tc>
        <w:tc>
          <w:tcPr>
            <w:tcW w:type="dxa" w:w="842"/>
            <w:tcMar>
              <w:top w:type="dxa" w:w="20"/>
              <w:left w:type="dxa" w:w="60"/>
              <w:bottom w:type="dxa" w:w="20"/>
              <w:right w:type="dxa" w:w="60"/>
            </w:tcMar>
          </w:tcPr>
          <w:p>
            <w:r>
              <w:rPr>
                <w:rFonts w:ascii="Times New Roman" w:cs="Times New Roman" w:eastAsia="Times New Roman" w:hAnsi="Times New Roman"/>
                <w:b w:val="false"/>
                <w:bCs w:val="false"/>
                <w:sz w:val="24"/>
                <w:szCs w:val="24"/>
              </w:rPr>
              <w:t xml:space="preserve">20</w:t>
            </w:r>
          </w:p>
        </w:tc>
        <w:tc>
          <w:tcPr>
            <w:tcW w:type="dxa" w:w="1685"/>
            <w:tcMar>
              <w:top w:type="dxa" w:w="20"/>
              <w:left w:type="dxa" w:w="60"/>
              <w:bottom w:type="dxa" w:w="20"/>
              <w:right w:type="dxa" w:w="60"/>
            </w:tcMar>
          </w:tcPr>
          <w:p>
            <w:r>
              <w:rPr>
                <w:rFonts w:ascii="Times New Roman" w:cs="Times New Roman" w:eastAsia="Times New Roman" w:hAnsi="Times New Roman"/>
                <w:b w:val="false"/>
                <w:bCs w:val="false"/>
                <w:sz w:val="24"/>
                <w:szCs w:val="24"/>
              </w:rPr>
              <w:t xml:space="preserve">88</w:t>
            </w:r>
          </w:p>
        </w:tc>
      </w:tr>
      <w:tr>
        <w:trPr>
          <w:cantSplit/>
          <w:tblHeader w:val="off"/>
        </w:trPr>
        <w:tc>
          <w:tcPr>
            <w:tcW w:type="dxa" w:w="3463"/>
            <w:tcMar>
              <w:top w:type="dxa" w:w="20"/>
              <w:left w:type="dxa" w:w="60"/>
              <w:bottom w:type="dxa" w:w="20"/>
              <w:right w:type="dxa" w:w="60"/>
            </w:tcMar>
          </w:tcPr>
          <w:p>
            <w:r>
              <w:rPr>
                <w:rFonts w:ascii="Times New Roman" w:cs="Times New Roman" w:eastAsia="Times New Roman" w:hAnsi="Times New Roman"/>
                <w:b w:val="false"/>
                <w:bCs w:val="false"/>
                <w:sz w:val="24"/>
                <w:szCs w:val="24"/>
              </w:rPr>
              <w:t xml:space="preserve">Reports within 60 days</w:t>
            </w:r>
          </w:p>
        </w:tc>
        <w:tc>
          <w:tcPr>
            <w:tcW w:type="dxa" w:w="842"/>
            <w:tcMar>
              <w:top w:type="dxa" w:w="20"/>
              <w:left w:type="dxa" w:w="60"/>
              <w:bottom w:type="dxa" w:w="20"/>
              <w:right w:type="dxa" w:w="60"/>
            </w:tcMar>
          </w:tcPr>
          <w:p>
            <w:r>
              <w:rPr>
                <w:rFonts w:ascii="Times New Roman" w:cs="Times New Roman" w:eastAsia="Times New Roman" w:hAnsi="Times New Roman"/>
                <w:b w:val="false"/>
                <w:bCs w:val="false"/>
                <w:sz w:val="24"/>
                <w:szCs w:val="24"/>
              </w:rPr>
              <w:t xml:space="preserve">100%</w:t>
            </w:r>
          </w:p>
        </w:tc>
        <w:tc>
          <w:tcPr>
            <w:tcW w:type="dxa" w:w="842"/>
            <w:tcMar>
              <w:top w:type="dxa" w:w="20"/>
              <w:left w:type="dxa" w:w="60"/>
              <w:bottom w:type="dxa" w:w="20"/>
              <w:right w:type="dxa" w:w="60"/>
            </w:tcMar>
          </w:tcPr>
          <w:p>
            <w:r>
              <w:rPr>
                <w:rFonts w:ascii="Times New Roman" w:cs="Times New Roman" w:eastAsia="Times New Roman" w:hAnsi="Times New Roman"/>
                <w:b w:val="false"/>
                <w:bCs w:val="false"/>
                <w:sz w:val="24"/>
                <w:szCs w:val="24"/>
              </w:rPr>
              <w:t xml:space="preserve">100%</w:t>
            </w:r>
          </w:p>
        </w:tc>
        <w:tc>
          <w:tcPr>
            <w:tcW w:type="dxa" w:w="842"/>
            <w:tcMar>
              <w:top w:type="dxa" w:w="20"/>
              <w:left w:type="dxa" w:w="60"/>
              <w:bottom w:type="dxa" w:w="20"/>
              <w:right w:type="dxa" w:w="60"/>
            </w:tcMar>
          </w:tcPr>
          <w:p>
            <w:r>
              <w:rPr>
                <w:rFonts w:ascii="Times New Roman" w:cs="Times New Roman" w:eastAsia="Times New Roman" w:hAnsi="Times New Roman"/>
                <w:b w:val="false"/>
                <w:bCs w:val="false"/>
                <w:sz w:val="24"/>
                <w:szCs w:val="24"/>
              </w:rPr>
              <w:t xml:space="preserve">100%</w:t>
            </w:r>
          </w:p>
        </w:tc>
        <w:tc>
          <w:tcPr>
            <w:tcW w:type="dxa" w:w="842"/>
            <w:tcMar>
              <w:top w:type="dxa" w:w="20"/>
              <w:left w:type="dxa" w:w="60"/>
              <w:bottom w:type="dxa" w:w="20"/>
              <w:right w:type="dxa" w:w="60"/>
            </w:tcMar>
          </w:tcPr>
          <w:p>
            <w:r>
              <w:rPr>
                <w:rFonts w:ascii="Times New Roman" w:cs="Times New Roman" w:eastAsia="Times New Roman" w:hAnsi="Times New Roman"/>
                <w:b w:val="false"/>
                <w:bCs w:val="false"/>
                <w:sz w:val="24"/>
                <w:szCs w:val="24"/>
              </w:rPr>
              <w:t xml:space="preserve">100%</w:t>
            </w:r>
          </w:p>
        </w:tc>
        <w:tc>
          <w:tcPr>
            <w:tcW w:type="dxa" w:w="842"/>
            <w:tcMar>
              <w:top w:type="dxa" w:w="20"/>
              <w:left w:type="dxa" w:w="60"/>
              <w:bottom w:type="dxa" w:w="20"/>
              <w:right w:type="dxa" w:w="60"/>
            </w:tcMar>
          </w:tcPr>
          <w:p>
            <w:r>
              <w:rPr>
                <w:rFonts w:ascii="Times New Roman" w:cs="Times New Roman" w:eastAsia="Times New Roman" w:hAnsi="Times New Roman"/>
                <w:b w:val="false"/>
                <w:bCs w:val="false"/>
                <w:sz w:val="24"/>
                <w:szCs w:val="24"/>
              </w:rPr>
              <w:t xml:space="preserve">100%</w:t>
            </w:r>
          </w:p>
        </w:tc>
        <w:tc>
          <w:tcPr>
            <w:tcW w:type="dxa" w:w="1685"/>
            <w:tcMar>
              <w:top w:type="dxa" w:w="20"/>
              <w:left w:type="dxa" w:w="60"/>
              <w:bottom w:type="dxa" w:w="20"/>
              <w:right w:type="dxa" w:w="60"/>
            </w:tcMar>
          </w:tcPr>
          <w:p>
            <w:r>
              <w:rPr>
                <w:rFonts w:ascii="Times New Roman" w:cs="Times New Roman" w:eastAsia="Times New Roman" w:hAnsi="Times New Roman"/>
                <w:b w:val="false"/>
                <w:bCs w:val="false"/>
                <w:sz w:val="24"/>
                <w:szCs w:val="24"/>
              </w:rPr>
              <w:t xml:space="preserve">—</w:t>
            </w:r>
          </w:p>
        </w:tc>
      </w:tr>
      <w:tr>
        <w:trPr>
          <w:cantSplit/>
          <w:tblHeader w:val="off"/>
        </w:trPr>
        <w:tc>
          <w:tcPr>
            <w:tcW w:type="dxa" w:w="3463"/>
            <w:tcMar>
              <w:top w:type="dxa" w:w="20"/>
              <w:left w:type="dxa" w:w="60"/>
              <w:bottom w:type="dxa" w:w="20"/>
              <w:right w:type="dxa" w:w="60"/>
            </w:tcMar>
          </w:tcPr>
          <w:p>
            <w:r>
              <w:rPr>
                <w:rFonts w:ascii="Times New Roman" w:cs="Times New Roman" w:eastAsia="Times New Roman" w:hAnsi="Times New Roman"/>
                <w:b w:val="false"/>
                <w:bCs w:val="false"/>
                <w:sz w:val="24"/>
                <w:szCs w:val="24"/>
              </w:rPr>
              <w:t xml:space="preserve">Implementation follow-ups</w:t>
            </w:r>
          </w:p>
        </w:tc>
        <w:tc>
          <w:tcPr>
            <w:tcW w:type="dxa" w:w="842"/>
            <w:tcMar>
              <w:top w:type="dxa" w:w="20"/>
              <w:left w:type="dxa" w:w="60"/>
              <w:bottom w:type="dxa" w:w="20"/>
              <w:right w:type="dxa" w:w="60"/>
            </w:tcMar>
          </w:tcPr>
          <w:p>
            <w:r>
              <w:rPr>
                <w:rFonts w:ascii="Times New Roman" w:cs="Times New Roman" w:eastAsia="Times New Roman" w:hAnsi="Times New Roman"/>
                <w:b w:val="false"/>
                <w:bCs w:val="false"/>
                <w:sz w:val="24"/>
                <w:szCs w:val="24"/>
              </w:rPr>
              <w:t xml:space="preserve">4</w:t>
            </w:r>
          </w:p>
        </w:tc>
        <w:tc>
          <w:tcPr>
            <w:tcW w:type="dxa" w:w="842"/>
            <w:tcMar>
              <w:top w:type="dxa" w:w="20"/>
              <w:left w:type="dxa" w:w="60"/>
              <w:bottom w:type="dxa" w:w="20"/>
              <w:right w:type="dxa" w:w="60"/>
            </w:tcMar>
          </w:tcPr>
          <w:p>
            <w:r>
              <w:rPr>
                <w:rFonts w:ascii="Times New Roman" w:cs="Times New Roman" w:eastAsia="Times New Roman" w:hAnsi="Times New Roman"/>
                <w:b w:val="false"/>
                <w:bCs w:val="false"/>
                <w:sz w:val="24"/>
                <w:szCs w:val="24"/>
              </w:rPr>
              <w:t xml:space="preserve">14</w:t>
            </w:r>
          </w:p>
        </w:tc>
        <w:tc>
          <w:tcPr>
            <w:tcW w:type="dxa" w:w="842"/>
            <w:tcMar>
              <w:top w:type="dxa" w:w="20"/>
              <w:left w:type="dxa" w:w="60"/>
              <w:bottom w:type="dxa" w:w="20"/>
              <w:right w:type="dxa" w:w="60"/>
            </w:tcMar>
          </w:tcPr>
          <w:p>
            <w:r>
              <w:rPr>
                <w:rFonts w:ascii="Times New Roman" w:cs="Times New Roman" w:eastAsia="Times New Roman" w:hAnsi="Times New Roman"/>
                <w:b w:val="false"/>
                <w:bCs w:val="false"/>
                <w:sz w:val="24"/>
                <w:szCs w:val="24"/>
              </w:rPr>
              <w:t xml:space="preserve">18</w:t>
            </w:r>
          </w:p>
        </w:tc>
        <w:tc>
          <w:tcPr>
            <w:tcW w:type="dxa" w:w="842"/>
            <w:tcMar>
              <w:top w:type="dxa" w:w="20"/>
              <w:left w:type="dxa" w:w="60"/>
              <w:bottom w:type="dxa" w:w="20"/>
              <w:right w:type="dxa" w:w="60"/>
            </w:tcMar>
          </w:tcPr>
          <w:p>
            <w:r>
              <w:rPr>
                <w:rFonts w:ascii="Times New Roman" w:cs="Times New Roman" w:eastAsia="Times New Roman" w:hAnsi="Times New Roman"/>
                <w:b w:val="false"/>
                <w:bCs w:val="false"/>
                <w:sz w:val="24"/>
                <w:szCs w:val="24"/>
              </w:rPr>
              <w:t xml:space="preserve">20</w:t>
            </w:r>
          </w:p>
        </w:tc>
        <w:tc>
          <w:tcPr>
            <w:tcW w:type="dxa" w:w="842"/>
            <w:tcMar>
              <w:top w:type="dxa" w:w="20"/>
              <w:left w:type="dxa" w:w="60"/>
              <w:bottom w:type="dxa" w:w="20"/>
              <w:right w:type="dxa" w:w="60"/>
            </w:tcMar>
          </w:tcPr>
          <w:p>
            <w:r>
              <w:rPr>
                <w:rFonts w:ascii="Times New Roman" w:cs="Times New Roman" w:eastAsia="Times New Roman" w:hAnsi="Times New Roman"/>
                <w:b w:val="false"/>
                <w:bCs w:val="false"/>
                <w:sz w:val="24"/>
                <w:szCs w:val="24"/>
              </w:rPr>
              <w:t xml:space="preserve">20</w:t>
            </w:r>
          </w:p>
        </w:tc>
        <w:tc>
          <w:tcPr>
            <w:tcW w:type="dxa" w:w="1685"/>
            <w:tcMar>
              <w:top w:type="dxa" w:w="20"/>
              <w:left w:type="dxa" w:w="60"/>
              <w:bottom w:type="dxa" w:w="20"/>
              <w:right w:type="dxa" w:w="60"/>
            </w:tcMar>
          </w:tcPr>
          <w:p>
            <w:r>
              <w:rPr>
                <w:rFonts w:ascii="Times New Roman" w:cs="Times New Roman" w:eastAsia="Times New Roman" w:hAnsi="Times New Roman"/>
                <w:b w:val="false"/>
                <w:bCs w:val="false"/>
                <w:sz w:val="24"/>
                <w:szCs w:val="24"/>
              </w:rPr>
              <w:t xml:space="preserve">76</w:t>
            </w:r>
          </w:p>
        </w:tc>
      </w:tr>
      <w:tr>
        <w:trPr>
          <w:cantSplit/>
          <w:tblHeader w:val="off"/>
        </w:trPr>
        <w:tc>
          <w:tcPr>
            <w:tcW w:type="dxa" w:w="3463"/>
            <w:tcMar>
              <w:top w:type="dxa" w:w="20"/>
              <w:left w:type="dxa" w:w="60"/>
              <w:bottom w:type="dxa" w:w="20"/>
              <w:right w:type="dxa" w:w="60"/>
            </w:tcMar>
          </w:tcPr>
          <w:p>
            <w:r>
              <w:rPr>
                <w:rFonts w:ascii="Times New Roman" w:cs="Times New Roman" w:eastAsia="Times New Roman" w:hAnsi="Times New Roman"/>
                <w:b w:val="false"/>
                <w:bCs w:val="false"/>
                <w:sz w:val="24"/>
                <w:szCs w:val="24"/>
              </w:rPr>
              <w:t xml:space="preserve">Students trained</w:t>
            </w:r>
          </w:p>
        </w:tc>
        <w:tc>
          <w:tcPr>
            <w:tcW w:type="dxa" w:w="842"/>
            <w:tcMar>
              <w:top w:type="dxa" w:w="20"/>
              <w:left w:type="dxa" w:w="60"/>
              <w:bottom w:type="dxa" w:w="20"/>
              <w:right w:type="dxa" w:w="60"/>
            </w:tcMar>
          </w:tcPr>
          <w:p>
            <w:r>
              <w:rPr>
                <w:rFonts w:ascii="Times New Roman" w:cs="Times New Roman" w:eastAsia="Times New Roman" w:hAnsi="Times New Roman"/>
                <w:b w:val="false"/>
                <w:bCs w:val="false"/>
                <w:sz w:val="24"/>
                <w:szCs w:val="24"/>
              </w:rPr>
              <w:t xml:space="preserve">16</w:t>
            </w:r>
          </w:p>
        </w:tc>
        <w:tc>
          <w:tcPr>
            <w:tcW w:type="dxa" w:w="842"/>
            <w:tcMar>
              <w:top w:type="dxa" w:w="20"/>
              <w:left w:type="dxa" w:w="60"/>
              <w:bottom w:type="dxa" w:w="20"/>
              <w:right w:type="dxa" w:w="60"/>
            </w:tcMar>
          </w:tcPr>
          <w:p>
            <w:r>
              <w:rPr>
                <w:rFonts w:ascii="Times New Roman" w:cs="Times New Roman" w:eastAsia="Times New Roman" w:hAnsi="Times New Roman"/>
                <w:b w:val="false"/>
                <w:bCs w:val="false"/>
                <w:sz w:val="24"/>
                <w:szCs w:val="24"/>
              </w:rPr>
              <w:t xml:space="preserve">24</w:t>
            </w:r>
          </w:p>
        </w:tc>
        <w:tc>
          <w:tcPr>
            <w:tcW w:type="dxa" w:w="842"/>
            <w:tcMar>
              <w:top w:type="dxa" w:w="20"/>
              <w:left w:type="dxa" w:w="60"/>
              <w:bottom w:type="dxa" w:w="20"/>
              <w:right w:type="dxa" w:w="60"/>
            </w:tcMar>
          </w:tcPr>
          <w:p>
            <w:r>
              <w:rPr>
                <w:rFonts w:ascii="Times New Roman" w:cs="Times New Roman" w:eastAsia="Times New Roman" w:hAnsi="Times New Roman"/>
                <w:b w:val="false"/>
                <w:bCs w:val="false"/>
                <w:sz w:val="24"/>
                <w:szCs w:val="24"/>
              </w:rPr>
              <w:t xml:space="preserve">26</w:t>
            </w:r>
          </w:p>
        </w:tc>
        <w:tc>
          <w:tcPr>
            <w:tcW w:type="dxa" w:w="842"/>
            <w:tcMar>
              <w:top w:type="dxa" w:w="20"/>
              <w:left w:type="dxa" w:w="60"/>
              <w:bottom w:type="dxa" w:w="20"/>
              <w:right w:type="dxa" w:w="60"/>
            </w:tcMar>
          </w:tcPr>
          <w:p>
            <w:r>
              <w:rPr>
                <w:rFonts w:ascii="Times New Roman" w:cs="Times New Roman" w:eastAsia="Times New Roman" w:hAnsi="Times New Roman"/>
                <w:b w:val="false"/>
                <w:bCs w:val="false"/>
                <w:sz w:val="24"/>
                <w:szCs w:val="24"/>
              </w:rPr>
              <w:t xml:space="preserve">28</w:t>
            </w:r>
          </w:p>
        </w:tc>
        <w:tc>
          <w:tcPr>
            <w:tcW w:type="dxa" w:w="842"/>
            <w:tcMar>
              <w:top w:type="dxa" w:w="20"/>
              <w:left w:type="dxa" w:w="60"/>
              <w:bottom w:type="dxa" w:w="20"/>
              <w:right w:type="dxa" w:w="60"/>
            </w:tcMar>
          </w:tcPr>
          <w:p>
            <w:r>
              <w:rPr>
                <w:rFonts w:ascii="Times New Roman" w:cs="Times New Roman" w:eastAsia="Times New Roman" w:hAnsi="Times New Roman"/>
                <w:b w:val="false"/>
                <w:bCs w:val="false"/>
                <w:sz w:val="24"/>
                <w:szCs w:val="24"/>
              </w:rPr>
              <w:t xml:space="preserve">28</w:t>
            </w:r>
          </w:p>
        </w:tc>
        <w:tc>
          <w:tcPr>
            <w:tcW w:type="dxa" w:w="1685"/>
            <w:tcMar>
              <w:top w:type="dxa" w:w="20"/>
              <w:left w:type="dxa" w:w="60"/>
              <w:bottom w:type="dxa" w:w="20"/>
              <w:right w:type="dxa" w:w="60"/>
            </w:tcMar>
          </w:tcPr>
          <w:p>
            <w:r>
              <w:rPr>
                <w:rFonts w:ascii="Times New Roman" w:cs="Times New Roman" w:eastAsia="Times New Roman" w:hAnsi="Times New Roman"/>
                <w:b w:val="false"/>
                <w:bCs w:val="false"/>
                <w:sz w:val="24"/>
                <w:szCs w:val="24"/>
              </w:rPr>
              <w:t xml:space="preserve">122</w:t>
            </w:r>
          </w:p>
        </w:tc>
      </w:tr>
      <w:tr>
        <w:trPr>
          <w:cantSplit/>
          <w:tblHeader w:val="off"/>
        </w:trPr>
        <w:tc>
          <w:tcPr>
            <w:tcW w:type="dxa" w:w="3463"/>
            <w:tcMar>
              <w:top w:type="dxa" w:w="20"/>
              <w:left w:type="dxa" w:w="60"/>
              <w:bottom w:type="dxa" w:w="20"/>
              <w:right w:type="dxa" w:w="60"/>
            </w:tcMar>
          </w:tcPr>
          <w:p>
            <w:r>
              <w:rPr>
                <w:rFonts w:ascii="Times New Roman" w:cs="Times New Roman" w:eastAsia="Times New Roman" w:hAnsi="Times New Roman"/>
                <w:b w:val="false"/>
                <w:bCs w:val="false"/>
                <w:sz w:val="24"/>
                <w:szCs w:val="24"/>
              </w:rPr>
              <w:t xml:space="preserve">Certificates of Achievement</w:t>
            </w:r>
          </w:p>
        </w:tc>
        <w:tc>
          <w:tcPr>
            <w:tcW w:type="dxa" w:w="842"/>
            <w:tcMar>
              <w:top w:type="dxa" w:w="20"/>
              <w:left w:type="dxa" w:w="60"/>
              <w:bottom w:type="dxa" w:w="20"/>
              <w:right w:type="dxa" w:w="60"/>
            </w:tcMar>
          </w:tcPr>
          <w:p>
            <w:r>
              <w:rPr>
                <w:rFonts w:ascii="Times New Roman" w:cs="Times New Roman" w:eastAsia="Times New Roman" w:hAnsi="Times New Roman"/>
                <w:b w:val="false"/>
                <w:bCs w:val="false"/>
                <w:sz w:val="24"/>
                <w:szCs w:val="24"/>
              </w:rPr>
              <w:t xml:space="preserve">6</w:t>
            </w:r>
          </w:p>
        </w:tc>
        <w:tc>
          <w:tcPr>
            <w:tcW w:type="dxa" w:w="842"/>
            <w:tcMar>
              <w:top w:type="dxa" w:w="20"/>
              <w:left w:type="dxa" w:w="60"/>
              <w:bottom w:type="dxa" w:w="20"/>
              <w:right w:type="dxa" w:w="60"/>
            </w:tcMar>
          </w:tcPr>
          <w:p>
            <w:r>
              <w:rPr>
                <w:rFonts w:ascii="Times New Roman" w:cs="Times New Roman" w:eastAsia="Times New Roman" w:hAnsi="Times New Roman"/>
                <w:b w:val="false"/>
                <w:bCs w:val="false"/>
                <w:sz w:val="24"/>
                <w:szCs w:val="24"/>
              </w:rPr>
              <w:t xml:space="preserve">14</w:t>
            </w:r>
          </w:p>
        </w:tc>
        <w:tc>
          <w:tcPr>
            <w:tcW w:type="dxa" w:w="842"/>
            <w:tcMar>
              <w:top w:type="dxa" w:w="20"/>
              <w:left w:type="dxa" w:w="60"/>
              <w:bottom w:type="dxa" w:w="20"/>
              <w:right w:type="dxa" w:w="60"/>
            </w:tcMar>
          </w:tcPr>
          <w:p>
            <w:r>
              <w:rPr>
                <w:rFonts w:ascii="Times New Roman" w:cs="Times New Roman" w:eastAsia="Times New Roman" w:hAnsi="Times New Roman"/>
                <w:b w:val="false"/>
                <w:bCs w:val="false"/>
                <w:sz w:val="24"/>
                <w:szCs w:val="24"/>
              </w:rPr>
              <w:t xml:space="preserve">15</w:t>
            </w:r>
          </w:p>
        </w:tc>
        <w:tc>
          <w:tcPr>
            <w:tcW w:type="dxa" w:w="842"/>
            <w:tcMar>
              <w:top w:type="dxa" w:w="20"/>
              <w:left w:type="dxa" w:w="60"/>
              <w:bottom w:type="dxa" w:w="20"/>
              <w:right w:type="dxa" w:w="60"/>
            </w:tcMar>
          </w:tcPr>
          <w:p>
            <w:r>
              <w:rPr>
                <w:rFonts w:ascii="Times New Roman" w:cs="Times New Roman" w:eastAsia="Times New Roman" w:hAnsi="Times New Roman"/>
                <w:b w:val="false"/>
                <w:bCs w:val="false"/>
                <w:sz w:val="24"/>
                <w:szCs w:val="24"/>
              </w:rPr>
              <w:t xml:space="preserve">16</w:t>
            </w:r>
          </w:p>
        </w:tc>
        <w:tc>
          <w:tcPr>
            <w:tcW w:type="dxa" w:w="842"/>
            <w:tcMar>
              <w:top w:type="dxa" w:w="20"/>
              <w:left w:type="dxa" w:w="60"/>
              <w:bottom w:type="dxa" w:w="20"/>
              <w:right w:type="dxa" w:w="60"/>
            </w:tcMar>
          </w:tcPr>
          <w:p>
            <w:r>
              <w:rPr>
                <w:rFonts w:ascii="Times New Roman" w:cs="Times New Roman" w:eastAsia="Times New Roman" w:hAnsi="Times New Roman"/>
                <w:b w:val="false"/>
                <w:bCs w:val="false"/>
                <w:sz w:val="24"/>
                <w:szCs w:val="24"/>
              </w:rPr>
              <w:t xml:space="preserve">16</w:t>
            </w:r>
          </w:p>
        </w:tc>
        <w:tc>
          <w:tcPr>
            <w:tcW w:type="dxa" w:w="1685"/>
            <w:tcMar>
              <w:top w:type="dxa" w:w="20"/>
              <w:left w:type="dxa" w:w="60"/>
              <w:bottom w:type="dxa" w:w="20"/>
              <w:right w:type="dxa" w:w="60"/>
            </w:tcMar>
          </w:tcPr>
          <w:p>
            <w:r>
              <w:rPr>
                <w:rFonts w:ascii="Times New Roman" w:cs="Times New Roman" w:eastAsia="Times New Roman" w:hAnsi="Times New Roman"/>
                <w:b w:val="false"/>
                <w:bCs w:val="false"/>
                <w:sz w:val="24"/>
                <w:szCs w:val="24"/>
              </w:rPr>
              <w:t xml:space="preserve">67</w:t>
            </w:r>
          </w:p>
        </w:tc>
      </w:tr>
      <w:tr>
        <w:trPr>
          <w:cantSplit/>
          <w:tblHeader w:val="off"/>
        </w:trPr>
        <w:tc>
          <w:tcPr>
            <w:tcW w:type="dxa" w:w="3463"/>
            <w:tcMar>
              <w:top w:type="dxa" w:w="20"/>
              <w:left w:type="dxa" w:w="60"/>
              <w:bottom w:type="dxa" w:w="20"/>
              <w:right w:type="dxa" w:w="60"/>
            </w:tcMar>
          </w:tcPr>
          <w:p>
            <w:r>
              <w:rPr>
                <w:rFonts w:ascii="Times New Roman" w:cs="Times New Roman" w:eastAsia="Times New Roman" w:hAnsi="Times New Roman"/>
                <w:b w:val="false"/>
                <w:bCs w:val="false"/>
                <w:sz w:val="24"/>
                <w:szCs w:val="24"/>
              </w:rPr>
              <w:t xml:space="preserve">Case studies</w:t>
            </w:r>
          </w:p>
        </w:tc>
        <w:tc>
          <w:tcPr>
            <w:tcW w:type="dxa" w:w="842"/>
            <w:tcMar>
              <w:top w:type="dxa" w:w="20"/>
              <w:left w:type="dxa" w:w="60"/>
              <w:bottom w:type="dxa" w:w="20"/>
              <w:right w:type="dxa" w:w="60"/>
            </w:tcMar>
          </w:tcPr>
          <w:p>
            <w:r>
              <w:rPr>
                <w:rFonts w:ascii="Times New Roman" w:cs="Times New Roman" w:eastAsia="Times New Roman" w:hAnsi="Times New Roman"/>
                <w:b w:val="false"/>
                <w:bCs w:val="false"/>
                <w:sz w:val="24"/>
                <w:szCs w:val="24"/>
              </w:rPr>
              <w:t xml:space="preserve">1</w:t>
            </w:r>
          </w:p>
        </w:tc>
        <w:tc>
          <w:tcPr>
            <w:tcW w:type="dxa" w:w="842"/>
            <w:tcMar>
              <w:top w:type="dxa" w:w="20"/>
              <w:left w:type="dxa" w:w="60"/>
              <w:bottom w:type="dxa" w:w="20"/>
              <w:right w:type="dxa" w:w="60"/>
            </w:tcMar>
          </w:tcPr>
          <w:p>
            <w:r>
              <w:rPr>
                <w:rFonts w:ascii="Times New Roman" w:cs="Times New Roman" w:eastAsia="Times New Roman" w:hAnsi="Times New Roman"/>
                <w:b w:val="false"/>
                <w:bCs w:val="false"/>
                <w:sz w:val="24"/>
                <w:szCs w:val="24"/>
              </w:rPr>
              <w:t xml:space="preserve">1</w:t>
            </w:r>
          </w:p>
        </w:tc>
        <w:tc>
          <w:tcPr>
            <w:tcW w:type="dxa" w:w="842"/>
            <w:tcMar>
              <w:top w:type="dxa" w:w="20"/>
              <w:left w:type="dxa" w:w="60"/>
              <w:bottom w:type="dxa" w:w="20"/>
              <w:right w:type="dxa" w:w="60"/>
            </w:tcMar>
          </w:tcPr>
          <w:p>
            <w:r>
              <w:rPr>
                <w:rFonts w:ascii="Times New Roman" w:cs="Times New Roman" w:eastAsia="Times New Roman" w:hAnsi="Times New Roman"/>
                <w:b w:val="false"/>
                <w:bCs w:val="false"/>
                <w:sz w:val="24"/>
                <w:szCs w:val="24"/>
              </w:rPr>
              <w:t xml:space="preserve">1</w:t>
            </w:r>
          </w:p>
        </w:tc>
        <w:tc>
          <w:tcPr>
            <w:tcW w:type="dxa" w:w="842"/>
            <w:tcMar>
              <w:top w:type="dxa" w:w="20"/>
              <w:left w:type="dxa" w:w="60"/>
              <w:bottom w:type="dxa" w:w="20"/>
              <w:right w:type="dxa" w:w="60"/>
            </w:tcMar>
          </w:tcPr>
          <w:p>
            <w:r>
              <w:rPr>
                <w:rFonts w:ascii="Times New Roman" w:cs="Times New Roman" w:eastAsia="Times New Roman" w:hAnsi="Times New Roman"/>
                <w:b w:val="false"/>
                <w:bCs w:val="false"/>
                <w:sz w:val="24"/>
                <w:szCs w:val="24"/>
              </w:rPr>
              <w:t xml:space="preserve">1</w:t>
            </w:r>
          </w:p>
        </w:tc>
        <w:tc>
          <w:tcPr>
            <w:tcW w:type="dxa" w:w="842"/>
            <w:tcMar>
              <w:top w:type="dxa" w:w="20"/>
              <w:left w:type="dxa" w:w="60"/>
              <w:bottom w:type="dxa" w:w="20"/>
              <w:right w:type="dxa" w:w="60"/>
            </w:tcMar>
          </w:tcPr>
          <w:p>
            <w:r>
              <w:rPr>
                <w:rFonts w:ascii="Times New Roman" w:cs="Times New Roman" w:eastAsia="Times New Roman" w:hAnsi="Times New Roman"/>
                <w:b w:val="false"/>
                <w:bCs w:val="false"/>
                <w:sz w:val="24"/>
                <w:szCs w:val="24"/>
              </w:rPr>
              <w:t xml:space="preserve">1</w:t>
            </w:r>
          </w:p>
        </w:tc>
        <w:tc>
          <w:tcPr>
            <w:tcW w:type="dxa" w:w="1685"/>
            <w:tcMar>
              <w:top w:type="dxa" w:w="20"/>
              <w:left w:type="dxa" w:w="60"/>
              <w:bottom w:type="dxa" w:w="20"/>
              <w:right w:type="dxa" w:w="60"/>
            </w:tcMar>
          </w:tcPr>
          <w:p>
            <w:r>
              <w:rPr>
                <w:rFonts w:ascii="Times New Roman" w:cs="Times New Roman" w:eastAsia="Times New Roman" w:hAnsi="Times New Roman"/>
                <w:b w:val="false"/>
                <w:bCs w:val="false"/>
                <w:sz w:val="24"/>
                <w:szCs w:val="24"/>
              </w:rPr>
              <w:t xml:space="preserve">5</w:t>
            </w:r>
          </w:p>
        </w:tc>
      </w:tr>
      <w:tr>
        <w:trPr>
          <w:cantSplit/>
          <w:tblHeader w:val="off"/>
        </w:trPr>
        <w:tc>
          <w:tcPr>
            <w:tcW w:type="dxa" w:w="3463"/>
            <w:tcMar>
              <w:top w:type="dxa" w:w="20"/>
              <w:left w:type="dxa" w:w="60"/>
              <w:bottom w:type="dxa" w:w="20"/>
              <w:right w:type="dxa" w:w="60"/>
            </w:tcMar>
          </w:tcPr>
          <w:p>
            <w:r>
              <w:rPr>
                <w:rFonts w:ascii="Times New Roman" w:cs="Times New Roman" w:eastAsia="Times New Roman" w:hAnsi="Times New Roman"/>
                <w:b w:val="false"/>
                <w:bCs w:val="false"/>
                <w:sz w:val="24"/>
                <w:szCs w:val="24"/>
              </w:rPr>
              <w:t xml:space="preserve">Incumbent-worker trainings</w:t>
            </w:r>
          </w:p>
        </w:tc>
        <w:tc>
          <w:tcPr>
            <w:tcW w:type="dxa" w:w="842"/>
            <w:tcMar>
              <w:top w:type="dxa" w:w="20"/>
              <w:left w:type="dxa" w:w="60"/>
              <w:bottom w:type="dxa" w:w="20"/>
              <w:right w:type="dxa" w:w="60"/>
            </w:tcMar>
          </w:tcPr>
          <w:p>
            <w:r>
              <w:rPr>
                <w:rFonts w:ascii="Times New Roman" w:cs="Times New Roman" w:eastAsia="Times New Roman" w:hAnsi="Times New Roman"/>
                <w:b w:val="false"/>
                <w:bCs w:val="false"/>
                <w:sz w:val="24"/>
                <w:szCs w:val="24"/>
              </w:rPr>
              <w:t xml:space="preserve">1</w:t>
            </w:r>
          </w:p>
        </w:tc>
        <w:tc>
          <w:tcPr>
            <w:tcW w:type="dxa" w:w="842"/>
            <w:tcMar>
              <w:top w:type="dxa" w:w="20"/>
              <w:left w:type="dxa" w:w="60"/>
              <w:bottom w:type="dxa" w:w="20"/>
              <w:right w:type="dxa" w:w="60"/>
            </w:tcMar>
          </w:tcPr>
          <w:p>
            <w:r>
              <w:rPr>
                <w:rFonts w:ascii="Times New Roman" w:cs="Times New Roman" w:eastAsia="Times New Roman" w:hAnsi="Times New Roman"/>
                <w:b w:val="false"/>
                <w:bCs w:val="false"/>
                <w:sz w:val="24"/>
                <w:szCs w:val="24"/>
              </w:rPr>
              <w:t xml:space="preserve">2</w:t>
            </w:r>
          </w:p>
        </w:tc>
        <w:tc>
          <w:tcPr>
            <w:tcW w:type="dxa" w:w="842"/>
            <w:tcMar>
              <w:top w:type="dxa" w:w="20"/>
              <w:left w:type="dxa" w:w="60"/>
              <w:bottom w:type="dxa" w:w="20"/>
              <w:right w:type="dxa" w:w="60"/>
            </w:tcMar>
          </w:tcPr>
          <w:p>
            <w:r>
              <w:rPr>
                <w:rFonts w:ascii="Times New Roman" w:cs="Times New Roman" w:eastAsia="Times New Roman" w:hAnsi="Times New Roman"/>
                <w:b w:val="false"/>
                <w:bCs w:val="false"/>
                <w:sz w:val="24"/>
                <w:szCs w:val="24"/>
              </w:rPr>
              <w:t xml:space="preserve">3</w:t>
            </w:r>
          </w:p>
        </w:tc>
        <w:tc>
          <w:tcPr>
            <w:tcW w:type="dxa" w:w="842"/>
            <w:tcMar>
              <w:top w:type="dxa" w:w="20"/>
              <w:left w:type="dxa" w:w="60"/>
              <w:bottom w:type="dxa" w:w="20"/>
              <w:right w:type="dxa" w:w="60"/>
            </w:tcMar>
          </w:tcPr>
          <w:p>
            <w:r>
              <w:rPr>
                <w:rFonts w:ascii="Times New Roman" w:cs="Times New Roman" w:eastAsia="Times New Roman" w:hAnsi="Times New Roman"/>
                <w:b w:val="false"/>
                <w:bCs w:val="false"/>
                <w:sz w:val="24"/>
                <w:szCs w:val="24"/>
              </w:rPr>
              <w:t xml:space="preserve">3</w:t>
            </w:r>
          </w:p>
        </w:tc>
        <w:tc>
          <w:tcPr>
            <w:tcW w:type="dxa" w:w="842"/>
            <w:tcMar>
              <w:top w:type="dxa" w:w="20"/>
              <w:left w:type="dxa" w:w="60"/>
              <w:bottom w:type="dxa" w:w="20"/>
              <w:right w:type="dxa" w:w="60"/>
            </w:tcMar>
          </w:tcPr>
          <w:p>
            <w:r>
              <w:rPr>
                <w:rFonts w:ascii="Times New Roman" w:cs="Times New Roman" w:eastAsia="Times New Roman" w:hAnsi="Times New Roman"/>
                <w:b w:val="false"/>
                <w:bCs w:val="false"/>
                <w:sz w:val="24"/>
                <w:szCs w:val="24"/>
              </w:rPr>
              <w:t xml:space="preserve">3</w:t>
            </w:r>
          </w:p>
        </w:tc>
        <w:tc>
          <w:tcPr>
            <w:tcW w:type="dxa" w:w="1685"/>
            <w:tcMar>
              <w:top w:type="dxa" w:w="20"/>
              <w:left w:type="dxa" w:w="60"/>
              <w:bottom w:type="dxa" w:w="20"/>
              <w:right w:type="dxa" w:w="60"/>
            </w:tcMar>
          </w:tcPr>
          <w:p>
            <w:r>
              <w:rPr>
                <w:rFonts w:ascii="Times New Roman" w:cs="Times New Roman" w:eastAsia="Times New Roman" w:hAnsi="Times New Roman"/>
                <w:b w:val="false"/>
                <w:bCs w:val="false"/>
                <w:sz w:val="24"/>
                <w:szCs w:val="24"/>
              </w:rPr>
              <w:t xml:space="preserve">12</w:t>
            </w:r>
          </w:p>
        </w:tc>
      </w:tr>
      <w:tr>
        <w:trPr>
          <w:cantSplit/>
          <w:tblHeader w:val="off"/>
        </w:trPr>
        <w:tc>
          <w:tcPr>
            <w:tcW w:type="dxa" w:w="3463"/>
            <w:tcMar>
              <w:top w:type="dxa" w:w="20"/>
              <w:left w:type="dxa" w:w="60"/>
              <w:bottom w:type="dxa" w:w="20"/>
              <w:right w:type="dxa" w:w="60"/>
            </w:tcMar>
          </w:tcPr>
          <w:p>
            <w:r>
              <w:rPr>
                <w:rFonts w:ascii="Times New Roman" w:cs="Times New Roman" w:eastAsia="Times New Roman" w:hAnsi="Times New Roman"/>
                <w:b w:val="false"/>
                <w:bCs w:val="false"/>
                <w:sz w:val="24"/>
                <w:szCs w:val="24"/>
              </w:rPr>
              <w:t xml:space="preserve">Implementation Grant packets</w:t>
            </w:r>
          </w:p>
        </w:tc>
        <w:tc>
          <w:tcPr>
            <w:tcW w:type="dxa" w:w="842"/>
            <w:tcMar>
              <w:top w:type="dxa" w:w="20"/>
              <w:left w:type="dxa" w:w="60"/>
              <w:bottom w:type="dxa" w:w="20"/>
              <w:right w:type="dxa" w:w="60"/>
            </w:tcMar>
          </w:tcPr>
          <w:p>
            <w:r>
              <w:rPr>
                <w:rFonts w:ascii="Times New Roman" w:cs="Times New Roman" w:eastAsia="Times New Roman" w:hAnsi="Times New Roman"/>
                <w:b w:val="false"/>
                <w:bCs w:val="false"/>
                <w:sz w:val="24"/>
                <w:szCs w:val="24"/>
              </w:rPr>
              <w:t xml:space="preserve">4</w:t>
            </w:r>
          </w:p>
        </w:tc>
        <w:tc>
          <w:tcPr>
            <w:tcW w:type="dxa" w:w="842"/>
            <w:tcMar>
              <w:top w:type="dxa" w:w="20"/>
              <w:left w:type="dxa" w:w="60"/>
              <w:bottom w:type="dxa" w:w="20"/>
              <w:right w:type="dxa" w:w="60"/>
            </w:tcMar>
          </w:tcPr>
          <w:p>
            <w:r>
              <w:rPr>
                <w:rFonts w:ascii="Times New Roman" w:cs="Times New Roman" w:eastAsia="Times New Roman" w:hAnsi="Times New Roman"/>
                <w:b w:val="false"/>
                <w:bCs w:val="false"/>
                <w:sz w:val="24"/>
                <w:szCs w:val="24"/>
              </w:rPr>
              <w:t xml:space="preserve">10</w:t>
            </w:r>
          </w:p>
        </w:tc>
        <w:tc>
          <w:tcPr>
            <w:tcW w:type="dxa" w:w="842"/>
            <w:tcMar>
              <w:top w:type="dxa" w:w="20"/>
              <w:left w:type="dxa" w:w="60"/>
              <w:bottom w:type="dxa" w:w="20"/>
              <w:right w:type="dxa" w:w="60"/>
            </w:tcMar>
          </w:tcPr>
          <w:p>
            <w:r>
              <w:rPr>
                <w:rFonts w:ascii="Times New Roman" w:cs="Times New Roman" w:eastAsia="Times New Roman" w:hAnsi="Times New Roman"/>
                <w:b w:val="false"/>
                <w:bCs w:val="false"/>
                <w:sz w:val="24"/>
                <w:szCs w:val="24"/>
              </w:rPr>
              <w:t xml:space="preserve">12</w:t>
            </w:r>
          </w:p>
        </w:tc>
        <w:tc>
          <w:tcPr>
            <w:tcW w:type="dxa" w:w="842"/>
            <w:tcMar>
              <w:top w:type="dxa" w:w="20"/>
              <w:left w:type="dxa" w:w="60"/>
              <w:bottom w:type="dxa" w:w="20"/>
              <w:right w:type="dxa" w:w="60"/>
            </w:tcMar>
          </w:tcPr>
          <w:p>
            <w:r>
              <w:rPr>
                <w:rFonts w:ascii="Times New Roman" w:cs="Times New Roman" w:eastAsia="Times New Roman" w:hAnsi="Times New Roman"/>
                <w:b w:val="false"/>
                <w:bCs w:val="false"/>
                <w:sz w:val="24"/>
                <w:szCs w:val="24"/>
              </w:rPr>
              <w:t xml:space="preserve">12</w:t>
            </w:r>
          </w:p>
        </w:tc>
        <w:tc>
          <w:tcPr>
            <w:tcW w:type="dxa" w:w="842"/>
            <w:tcMar>
              <w:top w:type="dxa" w:w="20"/>
              <w:left w:type="dxa" w:w="60"/>
              <w:bottom w:type="dxa" w:w="20"/>
              <w:right w:type="dxa" w:w="60"/>
            </w:tcMar>
          </w:tcPr>
          <w:p>
            <w:r>
              <w:rPr>
                <w:rFonts w:ascii="Times New Roman" w:cs="Times New Roman" w:eastAsia="Times New Roman" w:hAnsi="Times New Roman"/>
                <w:b w:val="false"/>
                <w:bCs w:val="false"/>
                <w:sz w:val="24"/>
                <w:szCs w:val="24"/>
              </w:rPr>
              <w:t xml:space="preserve">12</w:t>
            </w:r>
          </w:p>
        </w:tc>
        <w:tc>
          <w:tcPr>
            <w:tcW w:type="dxa" w:w="1685"/>
            <w:tcMar>
              <w:top w:type="dxa" w:w="20"/>
              <w:left w:type="dxa" w:w="60"/>
              <w:bottom w:type="dxa" w:w="20"/>
              <w:right w:type="dxa" w:w="60"/>
            </w:tcMar>
          </w:tcPr>
          <w:p>
            <w:r>
              <w:rPr>
                <w:rFonts w:ascii="Times New Roman" w:cs="Times New Roman" w:eastAsia="Times New Roman" w:hAnsi="Times New Roman"/>
                <w:b w:val="false"/>
                <w:bCs w:val="false"/>
                <w:sz w:val="24"/>
                <w:szCs w:val="24"/>
              </w:rPr>
              <w:t xml:space="preserve">50</w:t>
            </w:r>
          </w:p>
        </w:tc>
      </w:tr>
    </w:tbl>
    <w:p>
      <w:pPr>
        <w:spacing w:after="40"/>
      </w:pPr>
    </w:p>
    <w:p>
      <w:pPr>
        <w:spacing w:after="60" w:before="0" w:line="240"/>
        <w:jc w:val="both"/>
      </w:pPr>
      <w:r>
        <w:rPr>
          <w:rFonts w:ascii="Times New Roman" w:cs="Times New Roman" w:eastAsia="Times New Roman" w:hAnsi="Times New Roman"/>
          <w:b/>
          <w:bCs/>
          <w:sz w:val="24"/>
          <w:szCs w:val="24"/>
        </w:rPr>
        <w:t xml:space="preserve">Year 1 quarterly gates.</w:t>
      </w:r>
      <w:r>
        <w:rPr>
          <w:rFonts w:ascii="Times New Roman" w:cs="Times New Roman" w:eastAsia="Times New Roman" w:hAnsi="Times New Roman"/>
          <w:sz w:val="24"/>
          <w:szCs w:val="24"/>
        </w:rPr>
        <w:t xml:space="preserve"> Q1: equipment purchased; 16 students recruited and trained. Q2: three assessments completed with the Director on site. Q3: seven assessments; first reports delivered. Q4: ten assessments; first certificates; first case study drafted.</w:t>
      </w:r>
    </w:p>
    <w:p>
      <w:pPr>
        <w:keepNext/>
        <w:spacing w:after="40" w:before="60"/>
      </w:pPr>
      <w:r>
        <w:rPr>
          <w:rFonts w:ascii="Times New Roman" w:cs="Times New Roman" w:eastAsia="Times New Roman" w:hAnsi="Times New Roman"/>
          <w:b/>
          <w:bCs/>
          <w:i/>
          <w:iCs/>
          <w:sz w:val="24"/>
          <w:szCs w:val="24"/>
        </w:rPr>
        <w:t xml:space="preserve">1.6 Risks and mitigation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8"/>
        <w:gridCol w:w="6552"/>
      </w:tblGrid>
      <w:tr>
        <w:trPr>
          <w:cantSplit/>
          <w:tblHeader/>
        </w:trPr>
        <w:tc>
          <w:tcPr>
            <w:tcW w:type="dxa" w:w="2808"/>
            <w:shd w:fill="D9E2F3" w:color="auto" w:val="clear"/>
            <w:tcMar>
              <w:top w:type="dxa" w:w="20"/>
              <w:left w:type="dxa" w:w="60"/>
              <w:bottom w:type="dxa" w:w="20"/>
              <w:right w:type="dxa" w:w="60"/>
            </w:tcMar>
          </w:tcPr>
          <w:p>
            <w:r>
              <w:rPr>
                <w:rFonts w:ascii="Times New Roman" w:cs="Times New Roman" w:eastAsia="Times New Roman" w:hAnsi="Times New Roman"/>
                <w:b/>
                <w:bCs/>
                <w:sz w:val="24"/>
                <w:szCs w:val="24"/>
              </w:rPr>
              <w:t xml:space="preserve">Risk</w:t>
            </w:r>
          </w:p>
        </w:tc>
        <w:tc>
          <w:tcPr>
            <w:tcW w:type="dxa" w:w="6552"/>
            <w:shd w:fill="D9E2F3" w:color="auto" w:val="clear"/>
            <w:tcMar>
              <w:top w:type="dxa" w:w="20"/>
              <w:left w:type="dxa" w:w="60"/>
              <w:bottom w:type="dxa" w:w="20"/>
              <w:right w:type="dxa" w:w="60"/>
            </w:tcMar>
          </w:tcPr>
          <w:p>
            <w:r>
              <w:rPr>
                <w:rFonts w:ascii="Times New Roman" w:cs="Times New Roman" w:eastAsia="Times New Roman" w:hAnsi="Times New Roman"/>
                <w:b/>
                <w:bCs/>
                <w:sz w:val="24"/>
                <w:szCs w:val="24"/>
              </w:rPr>
              <w:t xml:space="preserve">Mitigation</w:t>
            </w:r>
          </w:p>
        </w:tc>
      </w:tr>
      <w:tr>
        <w:trPr>
          <w:cantSplit/>
          <w:tblHeader w:val="off"/>
        </w:trPr>
        <w:tc>
          <w:tcPr>
            <w:tcW w:type="dxa" w:w="2808"/>
            <w:tcMar>
              <w:top w:type="dxa" w:w="20"/>
              <w:left w:type="dxa" w:w="60"/>
              <w:bottom w:type="dxa" w:w="20"/>
              <w:right w:type="dxa" w:w="60"/>
            </w:tcMar>
          </w:tcPr>
          <w:p>
            <w:r>
              <w:rPr>
                <w:rFonts w:ascii="Times New Roman" w:cs="Times New Roman" w:eastAsia="Times New Roman" w:hAnsi="Times New Roman"/>
                <w:b w:val="false"/>
                <w:bCs w:val="false"/>
                <w:sz w:val="24"/>
                <w:szCs w:val="24"/>
              </w:rPr>
              <w:t xml:space="preserve">Slow Year 1 pipeline</w:t>
            </w:r>
          </w:p>
        </w:tc>
        <w:tc>
          <w:tcPr>
            <w:tcW w:type="dxa" w:w="6552"/>
            <w:tcMar>
              <w:top w:type="dxa" w:w="20"/>
              <w:left w:type="dxa" w:w="60"/>
              <w:bottom w:type="dxa" w:w="20"/>
              <w:right w:type="dxa" w:w="60"/>
            </w:tcMar>
          </w:tcPr>
          <w:p>
            <w:r>
              <w:rPr>
                <w:rFonts w:ascii="Times New Roman" w:cs="Times New Roman" w:eastAsia="Times New Roman" w:hAnsi="Times New Roman"/>
                <w:b w:val="false"/>
                <w:bCs w:val="false"/>
                <w:sz w:val="24"/>
                <w:szCs w:val="24"/>
              </w:rPr>
              <w:t xml:space="preserve">V+ SME network, LIFT and SBDC referrals, and host-plant commitments; 30-client prospect list built in Q1</w:t>
            </w:r>
          </w:p>
        </w:tc>
      </w:tr>
      <w:tr>
        <w:trPr>
          <w:cantSplit/>
          <w:tblHeader w:val="off"/>
        </w:trPr>
        <w:tc>
          <w:tcPr>
            <w:tcW w:type="dxa" w:w="2808"/>
            <w:tcMar>
              <w:top w:type="dxa" w:w="20"/>
              <w:left w:type="dxa" w:w="60"/>
              <w:bottom w:type="dxa" w:w="20"/>
              <w:right w:type="dxa" w:w="60"/>
            </w:tcMar>
          </w:tcPr>
          <w:p>
            <w:r>
              <w:rPr>
                <w:rFonts w:ascii="Times New Roman" w:cs="Times New Roman" w:eastAsia="Times New Roman" w:hAnsi="Times New Roman"/>
                <w:b w:val="false"/>
                <w:bCs w:val="false"/>
                <w:sz w:val="24"/>
                <w:szCs w:val="24"/>
              </w:rPr>
              <w:t xml:space="preserve">Overlap with LSU</w:t>
            </w:r>
          </w:p>
        </w:tc>
        <w:tc>
          <w:tcPr>
            <w:tcW w:type="dxa" w:w="6552"/>
            <w:tcMar>
              <w:top w:type="dxa" w:w="20"/>
              <w:left w:type="dxa" w:w="60"/>
              <w:bottom w:type="dxa" w:w="20"/>
              <w:right w:type="dxa" w:w="60"/>
            </w:tcMar>
          </w:tcPr>
          <w:p>
            <w:r>
              <w:rPr>
                <w:rFonts w:ascii="Times New Roman" w:cs="Times New Roman" w:eastAsia="Times New Roman" w:hAnsi="Times New Roman"/>
                <w:b w:val="false"/>
                <w:bCs w:val="false"/>
                <w:sz w:val="24"/>
                <w:szCs w:val="24"/>
              </w:rPr>
              <w:t xml:space="preserve">Written geographic and sector boundaries; database and client-list check before every visit</w:t>
            </w:r>
          </w:p>
        </w:tc>
      </w:tr>
      <w:tr>
        <w:trPr>
          <w:cantSplit/>
          <w:tblHeader w:val="off"/>
        </w:trPr>
        <w:tc>
          <w:tcPr>
            <w:tcW w:type="dxa" w:w="2808"/>
            <w:tcMar>
              <w:top w:type="dxa" w:w="20"/>
              <w:left w:type="dxa" w:w="60"/>
              <w:bottom w:type="dxa" w:w="20"/>
              <w:right w:type="dxa" w:w="60"/>
            </w:tcMar>
          </w:tcPr>
          <w:p>
            <w:r>
              <w:rPr>
                <w:rFonts w:ascii="Times New Roman" w:cs="Times New Roman" w:eastAsia="Times New Roman" w:hAnsi="Times New Roman"/>
                <w:b w:val="false"/>
                <w:bCs w:val="false"/>
                <w:sz w:val="24"/>
                <w:szCs w:val="24"/>
              </w:rPr>
              <w:t xml:space="preserve">Partner staff doing student work</w:t>
            </w:r>
          </w:p>
        </w:tc>
        <w:tc>
          <w:tcPr>
            <w:tcW w:type="dxa" w:w="6552"/>
            <w:tcMar>
              <w:top w:type="dxa" w:w="20"/>
              <w:left w:type="dxa" w:w="60"/>
              <w:bottom w:type="dxa" w:w="20"/>
              <w:right w:type="dxa" w:w="60"/>
            </w:tcMar>
          </w:tcPr>
          <w:p>
            <w:r>
              <w:rPr>
                <w:rFonts w:ascii="Times New Roman" w:cs="Times New Roman" w:eastAsia="Times New Roman" w:hAnsi="Times New Roman"/>
                <w:b w:val="false"/>
                <w:bCs w:val="false"/>
                <w:sz w:val="24"/>
                <w:szCs w:val="24"/>
              </w:rPr>
              <w:t xml:space="preserve">Students meter, analyze, and write; reports list student authors; faculty sign every report; Director alone certifies students</w:t>
            </w:r>
          </w:p>
        </w:tc>
      </w:tr>
      <w:tr>
        <w:trPr>
          <w:cantSplit/>
          <w:tblHeader w:val="off"/>
        </w:trPr>
        <w:tc>
          <w:tcPr>
            <w:tcW w:type="dxa" w:w="2808"/>
            <w:tcMar>
              <w:top w:type="dxa" w:w="20"/>
              <w:left w:type="dxa" w:w="60"/>
              <w:bottom w:type="dxa" w:w="20"/>
              <w:right w:type="dxa" w:w="60"/>
            </w:tcMar>
          </w:tcPr>
          <w:p>
            <w:r>
              <w:rPr>
                <w:rFonts w:ascii="Times New Roman" w:cs="Times New Roman" w:eastAsia="Times New Roman" w:hAnsi="Times New Roman"/>
                <w:b w:val="false"/>
                <w:bCs w:val="false"/>
                <w:sz w:val="24"/>
                <w:szCs w:val="24"/>
              </w:rPr>
              <w:t xml:space="preserve">Partner conflict of interest</w:t>
            </w:r>
          </w:p>
        </w:tc>
        <w:tc>
          <w:tcPr>
            <w:tcW w:type="dxa" w:w="6552"/>
            <w:tcMar>
              <w:top w:type="dxa" w:w="20"/>
              <w:left w:type="dxa" w:w="60"/>
              <w:bottom w:type="dxa" w:w="20"/>
              <w:right w:type="dxa" w:w="60"/>
            </w:tcMar>
          </w:tcPr>
          <w:p>
            <w:r>
              <w:rPr>
                <w:rFonts w:ascii="Times New Roman" w:cs="Times New Roman" w:eastAsia="Times New Roman" w:hAnsi="Times New Roman"/>
                <w:b w:val="false"/>
                <w:bCs w:val="false"/>
                <w:sz w:val="24"/>
                <w:szCs w:val="24"/>
              </w:rPr>
              <w:t xml:space="preserve">Free assessments; no purchase required; paid follow-on work optional and disclosed to DOE</w:t>
            </w:r>
          </w:p>
        </w:tc>
      </w:tr>
      <w:tr>
        <w:trPr>
          <w:cantSplit/>
          <w:tblHeader w:val="off"/>
        </w:trPr>
        <w:tc>
          <w:tcPr>
            <w:tcW w:type="dxa" w:w="2808"/>
            <w:tcMar>
              <w:top w:type="dxa" w:w="20"/>
              <w:left w:type="dxa" w:w="60"/>
              <w:bottom w:type="dxa" w:w="20"/>
              <w:right w:type="dxa" w:w="60"/>
            </w:tcMar>
          </w:tcPr>
          <w:p>
            <w:r>
              <w:rPr>
                <w:rFonts w:ascii="Times New Roman" w:cs="Times New Roman" w:eastAsia="Times New Roman" w:hAnsi="Times New Roman"/>
                <w:b w:val="false"/>
                <w:bCs w:val="false"/>
                <w:sz w:val="24"/>
                <w:szCs w:val="24"/>
              </w:rPr>
              <w:t xml:space="preserve">Student turnover</w:t>
            </w:r>
          </w:p>
        </w:tc>
        <w:tc>
          <w:tcPr>
            <w:tcW w:type="dxa" w:w="6552"/>
            <w:tcMar>
              <w:top w:type="dxa" w:w="20"/>
              <w:left w:type="dxa" w:w="60"/>
              <w:bottom w:type="dxa" w:w="20"/>
              <w:right w:type="dxa" w:w="60"/>
            </w:tcMar>
          </w:tcPr>
          <w:p>
            <w:r>
              <w:rPr>
                <w:rFonts w:ascii="Times New Roman" w:cs="Times New Roman" w:eastAsia="Times New Roman" w:hAnsi="Times New Roman"/>
                <w:b w:val="false"/>
                <w:bCs w:val="false"/>
                <w:sz w:val="24"/>
                <w:szCs w:val="24"/>
              </w:rPr>
              <w:t xml:space="preserve">Paid positions, returning-student team leads, course credit, written training curriculum</w:t>
            </w:r>
          </w:p>
        </w:tc>
      </w:tr>
      <w:tr>
        <w:trPr>
          <w:cantSplit/>
          <w:tblHeader w:val="off"/>
        </w:trPr>
        <w:tc>
          <w:tcPr>
            <w:tcW w:type="dxa" w:w="2808"/>
            <w:tcMar>
              <w:top w:type="dxa" w:w="20"/>
              <w:left w:type="dxa" w:w="60"/>
              <w:bottom w:type="dxa" w:w="20"/>
              <w:right w:type="dxa" w:w="60"/>
            </w:tcMar>
          </w:tcPr>
          <w:p>
            <w:r>
              <w:rPr>
                <w:rFonts w:ascii="Times New Roman" w:cs="Times New Roman" w:eastAsia="Times New Roman" w:hAnsi="Times New Roman"/>
                <w:b w:val="false"/>
                <w:bCs w:val="false"/>
                <w:sz w:val="24"/>
                <w:szCs w:val="24"/>
              </w:rPr>
              <w:t xml:space="preserve">Hurricane season, June–November</w:t>
            </w:r>
          </w:p>
        </w:tc>
        <w:tc>
          <w:tcPr>
            <w:tcW w:type="dxa" w:w="6552"/>
            <w:tcMar>
              <w:top w:type="dxa" w:w="20"/>
              <w:left w:type="dxa" w:w="60"/>
              <w:bottom w:type="dxa" w:w="20"/>
              <w:right w:type="dxa" w:w="60"/>
            </w:tcMar>
          </w:tcPr>
          <w:p>
            <w:r>
              <w:rPr>
                <w:rFonts w:ascii="Times New Roman" w:cs="Times New Roman" w:eastAsia="Times New Roman" w:hAnsi="Times New Roman"/>
                <w:b w:val="false"/>
                <w:bCs w:val="false"/>
                <w:sz w:val="24"/>
                <w:szCs w:val="24"/>
              </w:rPr>
              <w:t xml:space="preserve">Front-load site visits January–May; virtual pre-assessment work</w:t>
            </w:r>
          </w:p>
        </w:tc>
      </w:tr>
      <w:tr>
        <w:trPr>
          <w:cantSplit/>
          <w:tblHeader w:val="off"/>
        </w:trPr>
        <w:tc>
          <w:tcPr>
            <w:tcW w:type="dxa" w:w="2808"/>
            <w:tcMar>
              <w:top w:type="dxa" w:w="20"/>
              <w:left w:type="dxa" w:w="60"/>
              <w:bottom w:type="dxa" w:w="20"/>
              <w:right w:type="dxa" w:w="60"/>
            </w:tcMar>
          </w:tcPr>
          <w:p>
            <w:r>
              <w:rPr>
                <w:rFonts w:ascii="Times New Roman" w:cs="Times New Roman" w:eastAsia="Times New Roman" w:hAnsi="Times New Roman"/>
                <w:b w:val="false"/>
                <w:bCs w:val="false"/>
                <w:sz w:val="24"/>
                <w:szCs w:val="24"/>
              </w:rPr>
              <w:t xml:space="preserve">Client data confidentiality</w:t>
            </w:r>
          </w:p>
        </w:tc>
        <w:tc>
          <w:tcPr>
            <w:tcW w:type="dxa" w:w="6552"/>
            <w:tcMar>
              <w:top w:type="dxa" w:w="20"/>
              <w:left w:type="dxa" w:w="60"/>
              <w:bottom w:type="dxa" w:w="20"/>
              <w:right w:type="dxa" w:w="60"/>
            </w:tcMar>
          </w:tcPr>
          <w:p>
            <w:r>
              <w:rPr>
                <w:rFonts w:ascii="Times New Roman" w:cs="Times New Roman" w:eastAsia="Times New Roman" w:hAnsi="Times New Roman"/>
                <w:b w:val="false"/>
                <w:bCs w:val="false"/>
                <w:sz w:val="24"/>
                <w:szCs w:val="24"/>
              </w:rPr>
              <w:t xml:space="preserve">Nondisclosure agreements on request; access-controlled storage; anonymized case studies</w:t>
            </w:r>
          </w:p>
        </w:tc>
      </w:tr>
    </w:tbl>
    <w:p>
      <w:pPr>
        <w:spacing w:after="40"/>
      </w:pPr>
    </w:p>
    <w:p>
      <w:pPr>
        <w:keepNext/>
        <w:spacing w:after="40" w:before="60"/>
      </w:pPr>
      <w:r>
        <w:rPr>
          <w:rFonts w:ascii="Times New Roman" w:cs="Times New Roman" w:eastAsia="Times New Roman" w:hAnsi="Times New Roman"/>
          <w:b/>
          <w:bCs/>
          <w:i/>
          <w:iCs/>
          <w:sz w:val="24"/>
          <w:szCs w:val="24"/>
        </w:rPr>
        <w:t xml:space="preserve">1.7 Expected outcomes, evaluation, and sustainability</w:t>
      </w:r>
    </w:p>
    <w:p>
      <w:pPr>
        <w:spacing w:after="60" w:before="0" w:line="240"/>
        <w:jc w:val="both"/>
      </w:pPr>
      <w:r>
        <w:rPr>
          <w:rFonts w:ascii="Times New Roman" w:cs="Times New Roman" w:eastAsia="Times New Roman" w:hAnsi="Times New Roman"/>
          <w:sz w:val="24"/>
          <w:szCs w:val="24"/>
        </w:rPr>
        <w:t xml:space="preserve">DOE reports that an ITAC assessment typically leads an SME to cut energy use or raise productivity by 5–7%. The Center sets measurable targets above that baseline and tracks them for every client: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365"/>
        <w:gridCol w:w="2995"/>
      </w:tblGrid>
      <w:tr>
        <w:trPr>
          <w:cantSplit/>
          <w:tblHeader/>
        </w:trPr>
        <w:tc>
          <w:tcPr>
            <w:tcW w:type="dxa" w:w="6365"/>
            <w:shd w:fill="D9E2F3" w:color="auto" w:val="clear"/>
            <w:tcMar>
              <w:top w:type="dxa" w:w="20"/>
              <w:left w:type="dxa" w:w="60"/>
              <w:bottom w:type="dxa" w:w="20"/>
              <w:right w:type="dxa" w:w="60"/>
            </w:tcMar>
          </w:tcPr>
          <w:p>
            <w:r>
              <w:rPr>
                <w:rFonts w:ascii="Times New Roman" w:cs="Times New Roman" w:eastAsia="Times New Roman" w:hAnsi="Times New Roman"/>
                <w:b/>
                <w:bCs/>
                <w:sz w:val="24"/>
                <w:szCs w:val="24"/>
              </w:rPr>
              <w:t xml:space="preserve">Outcome measure</w:t>
            </w:r>
          </w:p>
        </w:tc>
        <w:tc>
          <w:tcPr>
            <w:tcW w:type="dxa" w:w="2995"/>
            <w:shd w:fill="D9E2F3" w:color="auto" w:val="clear"/>
            <w:tcMar>
              <w:top w:type="dxa" w:w="20"/>
              <w:left w:type="dxa" w:w="60"/>
              <w:bottom w:type="dxa" w:w="20"/>
              <w:right w:type="dxa" w:w="60"/>
            </w:tcMar>
          </w:tcPr>
          <w:p>
            <w:r>
              <w:rPr>
                <w:rFonts w:ascii="Times New Roman" w:cs="Times New Roman" w:eastAsia="Times New Roman" w:hAnsi="Times New Roman"/>
                <w:b/>
                <w:bCs/>
                <w:sz w:val="24"/>
                <w:szCs w:val="24"/>
              </w:rPr>
              <w:t xml:space="preserve">Five-year target</w:t>
            </w:r>
          </w:p>
        </w:tc>
      </w:tr>
      <w:tr>
        <w:trPr>
          <w:cantSplit/>
          <w:tblHeader w:val="off"/>
        </w:trPr>
        <w:tc>
          <w:tcPr>
            <w:tcW w:type="dxa" w:w="6365"/>
            <w:tcMar>
              <w:top w:type="dxa" w:w="20"/>
              <w:left w:type="dxa" w:w="60"/>
              <w:bottom w:type="dxa" w:w="20"/>
              <w:right w:type="dxa" w:w="60"/>
            </w:tcMar>
          </w:tcPr>
          <w:p>
            <w:r>
              <w:rPr>
                <w:rFonts w:ascii="Times New Roman" w:cs="Times New Roman" w:eastAsia="Times New Roman" w:hAnsi="Times New Roman"/>
                <w:b w:val="false"/>
                <w:bCs w:val="false"/>
                <w:sz w:val="24"/>
                <w:szCs w:val="24"/>
              </w:rPr>
              <w:t xml:space="preserve">Energy and cost savings identified per assessment</w:t>
            </w:r>
          </w:p>
        </w:tc>
        <w:tc>
          <w:tcPr>
            <w:tcW w:type="dxa" w:w="2995"/>
            <w:tcMar>
              <w:top w:type="dxa" w:w="20"/>
              <w:left w:type="dxa" w:w="60"/>
              <w:bottom w:type="dxa" w:w="20"/>
              <w:right w:type="dxa" w:w="60"/>
            </w:tcMar>
          </w:tcPr>
          <w:p>
            <w:r>
              <w:rPr>
                <w:rFonts w:ascii="Times New Roman" w:cs="Times New Roman" w:eastAsia="Times New Roman" w:hAnsi="Times New Roman"/>
                <w:b w:val="false"/>
                <w:bCs w:val="false"/>
                <w:sz w:val="24"/>
                <w:szCs w:val="24"/>
              </w:rPr>
              <w:t xml:space="preserve">At least 10% of the client's annual energy cost</w:t>
            </w:r>
          </w:p>
        </w:tc>
      </w:tr>
      <w:tr>
        <w:trPr>
          <w:cantSplit/>
          <w:tblHeader w:val="off"/>
        </w:trPr>
        <w:tc>
          <w:tcPr>
            <w:tcW w:type="dxa" w:w="6365"/>
            <w:tcMar>
              <w:top w:type="dxa" w:w="20"/>
              <w:left w:type="dxa" w:w="60"/>
              <w:bottom w:type="dxa" w:w="20"/>
              <w:right w:type="dxa" w:w="60"/>
            </w:tcMar>
          </w:tcPr>
          <w:p>
            <w:r>
              <w:rPr>
                <w:rFonts w:ascii="Times New Roman" w:cs="Times New Roman" w:eastAsia="Times New Roman" w:hAnsi="Times New Roman"/>
                <w:b w:val="false"/>
                <w:bCs w:val="false"/>
                <w:sz w:val="24"/>
                <w:szCs w:val="24"/>
              </w:rPr>
              <w:t xml:space="preserve">Recommended savings implemented (confirmed at 9–12 months)</w:t>
            </w:r>
          </w:p>
        </w:tc>
        <w:tc>
          <w:tcPr>
            <w:tcW w:type="dxa" w:w="2995"/>
            <w:tcMar>
              <w:top w:type="dxa" w:w="20"/>
              <w:left w:type="dxa" w:w="60"/>
              <w:bottom w:type="dxa" w:w="20"/>
              <w:right w:type="dxa" w:w="60"/>
            </w:tcMar>
          </w:tcPr>
          <w:p>
            <w:r>
              <w:rPr>
                <w:rFonts w:ascii="Times New Roman" w:cs="Times New Roman" w:eastAsia="Times New Roman" w:hAnsi="Times New Roman"/>
                <w:b w:val="false"/>
                <w:bCs w:val="false"/>
                <w:sz w:val="24"/>
                <w:szCs w:val="24"/>
              </w:rPr>
              <w:t xml:space="preserve">At least 50%</w:t>
            </w:r>
          </w:p>
        </w:tc>
      </w:tr>
      <w:tr>
        <w:trPr>
          <w:cantSplit/>
          <w:tblHeader w:val="off"/>
        </w:trPr>
        <w:tc>
          <w:tcPr>
            <w:tcW w:type="dxa" w:w="6365"/>
            <w:tcMar>
              <w:top w:type="dxa" w:w="20"/>
              <w:left w:type="dxa" w:w="60"/>
              <w:bottom w:type="dxa" w:w="20"/>
              <w:right w:type="dxa" w:w="60"/>
            </w:tcMar>
          </w:tcPr>
          <w:p>
            <w:r>
              <w:rPr>
                <w:rFonts w:ascii="Times New Roman" w:cs="Times New Roman" w:eastAsia="Times New Roman" w:hAnsi="Times New Roman"/>
                <w:b w:val="false"/>
                <w:bCs w:val="false"/>
                <w:sz w:val="24"/>
                <w:szCs w:val="24"/>
              </w:rPr>
              <w:t xml:space="preserve">Eligible clients applying for ITAC Implementation Grants</w:t>
            </w:r>
          </w:p>
        </w:tc>
        <w:tc>
          <w:tcPr>
            <w:tcW w:type="dxa" w:w="2995"/>
            <w:tcMar>
              <w:top w:type="dxa" w:w="20"/>
              <w:left w:type="dxa" w:w="60"/>
              <w:bottom w:type="dxa" w:w="20"/>
              <w:right w:type="dxa" w:w="60"/>
            </w:tcMar>
          </w:tcPr>
          <w:p>
            <w:r>
              <w:rPr>
                <w:rFonts w:ascii="Times New Roman" w:cs="Times New Roman" w:eastAsia="Times New Roman" w:hAnsi="Times New Roman"/>
                <w:b w:val="false"/>
                <w:bCs w:val="false"/>
                <w:sz w:val="24"/>
                <w:szCs w:val="24"/>
              </w:rPr>
              <w:t xml:space="preserve">At least 25%</w:t>
            </w:r>
          </w:p>
        </w:tc>
      </w:tr>
      <w:tr>
        <w:trPr>
          <w:cantSplit/>
          <w:tblHeader w:val="off"/>
        </w:trPr>
        <w:tc>
          <w:tcPr>
            <w:tcW w:type="dxa" w:w="6365"/>
            <w:tcMar>
              <w:top w:type="dxa" w:w="20"/>
              <w:left w:type="dxa" w:w="60"/>
              <w:bottom w:type="dxa" w:w="20"/>
              <w:right w:type="dxa" w:w="60"/>
            </w:tcMar>
          </w:tcPr>
          <w:p>
            <w:r>
              <w:rPr>
                <w:rFonts w:ascii="Times New Roman" w:cs="Times New Roman" w:eastAsia="Times New Roman" w:hAnsi="Times New Roman"/>
                <w:b w:val="false"/>
                <w:bCs w:val="false"/>
                <w:sz w:val="24"/>
                <w:szCs w:val="24"/>
              </w:rPr>
              <w:t xml:space="preserve">Clients completing a federal supply-chain readiness screen</w:t>
            </w:r>
          </w:p>
        </w:tc>
        <w:tc>
          <w:tcPr>
            <w:tcW w:type="dxa" w:w="2995"/>
            <w:tcMar>
              <w:top w:type="dxa" w:w="20"/>
              <w:left w:type="dxa" w:w="60"/>
              <w:bottom w:type="dxa" w:w="20"/>
              <w:right w:type="dxa" w:w="60"/>
            </w:tcMar>
          </w:tcPr>
          <w:p>
            <w:r>
              <w:rPr>
                <w:rFonts w:ascii="Times New Roman" w:cs="Times New Roman" w:eastAsia="Times New Roman" w:hAnsi="Times New Roman"/>
                <w:b w:val="false"/>
                <w:bCs w:val="false"/>
                <w:sz w:val="24"/>
                <w:szCs w:val="24"/>
              </w:rPr>
              <w:t xml:space="preserve">At least 60%</w:t>
            </w:r>
          </w:p>
        </w:tc>
      </w:tr>
      <w:tr>
        <w:trPr>
          <w:cantSplit/>
          <w:tblHeader w:val="off"/>
        </w:trPr>
        <w:tc>
          <w:tcPr>
            <w:tcW w:type="dxa" w:w="6365"/>
            <w:tcMar>
              <w:top w:type="dxa" w:w="20"/>
              <w:left w:type="dxa" w:w="60"/>
              <w:bottom w:type="dxa" w:w="20"/>
              <w:right w:type="dxa" w:w="60"/>
            </w:tcMar>
          </w:tcPr>
          <w:p>
            <w:r>
              <w:rPr>
                <w:rFonts w:ascii="Times New Roman" w:cs="Times New Roman" w:eastAsia="Times New Roman" w:hAnsi="Times New Roman"/>
                <w:b w:val="false"/>
                <w:bCs w:val="false"/>
                <w:sz w:val="24"/>
                <w:szCs w:val="24"/>
              </w:rPr>
              <w:t xml:space="preserve">Certified graduates employed in the field within six months</w:t>
            </w:r>
          </w:p>
        </w:tc>
        <w:tc>
          <w:tcPr>
            <w:tcW w:type="dxa" w:w="2995"/>
            <w:tcMar>
              <w:top w:type="dxa" w:w="20"/>
              <w:left w:type="dxa" w:w="60"/>
              <w:bottom w:type="dxa" w:w="20"/>
              <w:right w:type="dxa" w:w="60"/>
            </w:tcMar>
          </w:tcPr>
          <w:p>
            <w:r>
              <w:rPr>
                <w:rFonts w:ascii="Times New Roman" w:cs="Times New Roman" w:eastAsia="Times New Roman" w:hAnsi="Times New Roman"/>
                <w:b w:val="false"/>
                <w:bCs w:val="false"/>
                <w:sz w:val="24"/>
                <w:szCs w:val="24"/>
              </w:rPr>
              <w:t xml:space="preserve">At least 80%</w:t>
            </w:r>
          </w:p>
        </w:tc>
      </w:tr>
    </w:tbl>
    <w:p>
      <w:pPr>
        <w:spacing w:after="40"/>
      </w:pPr>
    </w:p>
    <w:p>
      <w:pPr>
        <w:spacing w:after="60" w:before="0" w:line="240"/>
        <w:jc w:val="both"/>
      </w:pPr>
      <w:r>
        <w:rPr>
          <w:rFonts w:ascii="Times New Roman" w:cs="Times New Roman" w:eastAsia="Times New Roman" w:hAnsi="Times New Roman"/>
          <w:sz w:val="24"/>
          <w:szCs w:val="24"/>
        </w:rPr>
        <w:t xml:space="preserve">Dr. Kaliba, an economist and Co-Director of Southern's EDA University Center, leads an annual evaluation comparing results with these targets and with the national ITAC database, and the Director adjusts outreach, training, and the recommendation mix in response. The Center is built to last beyond the award: EMACE's advanced-energy degree gives it a permanent academic home; plants that fall outside DOE's size or energy limits can receive fee-based assessments through V+ and the LIFT Center, with fees reinvested in student positions; and the alumni network supplies future host plants and mentors.</w:t>
      </w:r>
    </w:p>
    <w:p>
      <w:pPr>
        <w:keepNext/>
        <w:spacing w:after="60" w:before="120"/>
      </w:pPr>
      <w:r>
        <w:rPr>
          <w:rFonts w:ascii="Times New Roman" w:cs="Times New Roman" w:eastAsia="Times New Roman" w:hAnsi="Times New Roman"/>
          <w:b/>
          <w:bCs/>
          <w:sz w:val="24"/>
          <w:szCs w:val="24"/>
        </w:rPr>
        <w:t xml:space="preserve">Criterion 2: Project Team and Past Performance</w:t>
      </w:r>
    </w:p>
    <w:p>
      <w:pPr>
        <w:keepNext/>
        <w:spacing w:after="40" w:before="60"/>
      </w:pPr>
      <w:r>
        <w:rPr>
          <w:rFonts w:ascii="Times New Roman" w:cs="Times New Roman" w:eastAsia="Times New Roman" w:hAnsi="Times New Roman"/>
          <w:b/>
          <w:bCs/>
          <w:i/>
          <w:iCs/>
          <w:sz w:val="24"/>
          <w:szCs w:val="24"/>
        </w:rPr>
        <w:t xml:space="preserve">2.1 Qualifications of faculty and staff</w:t>
      </w:r>
    </w:p>
    <w:p>
      <w:pPr>
        <w:spacing w:after="60" w:before="0" w:line="240"/>
        <w:jc w:val="both"/>
      </w:pPr>
      <w:r>
        <w:rPr>
          <w:rFonts w:ascii="Times New Roman" w:cs="Times New Roman" w:eastAsia="Times New Roman" w:hAnsi="Times New Roman"/>
          <w:b/>
          <w:bCs/>
          <w:sz w:val="24"/>
          <w:szCs w:val="24"/>
        </w:rPr>
        <w:t xml:space="preserve">Dr. Fareed Dawan</w:t>
      </w:r>
      <w:r>
        <w:rPr>
          <w:rFonts w:ascii="Times New Roman" w:cs="Times New Roman" w:eastAsia="Times New Roman" w:hAnsi="Times New Roman"/>
          <w:sz w:val="24"/>
          <w:szCs w:val="24"/>
        </w:rPr>
        <w:t xml:space="preserve"> (Ph.D. ME, LSU) is a tenured Associate Professor and former Interim Chair of Mechanical Engineering. He is PI of Southern's DOE EMACE advanced-energy education awards ($550,000) and has been PI, Co-PI, or senior investigator on awards totaling $53.6 million, including NSF projects on multi-material laser powder-bed fusion ($1.29 million) and additive-manufacturing education with cybersecurity and virtual reality ($1.1 million). As Assistant Director of an NSF CREST center (2010–2015) he managed a multi-million-dollar federal budget and reporting. He founded In Aim Technologies, a DLA-registered supplier, and holds U.S. Patent 12,368,007.</w:t>
      </w:r>
    </w:p>
    <w:p>
      <w:pPr>
        <w:spacing w:after="60" w:before="0" w:line="240"/>
        <w:jc w:val="both"/>
      </w:pPr>
      <w:r>
        <w:rPr>
          <w:rFonts w:ascii="Times New Roman" w:cs="Times New Roman" w:eastAsia="Times New Roman" w:hAnsi="Times New Roman"/>
          <w:b/>
          <w:bCs/>
          <w:sz w:val="24"/>
          <w:szCs w:val="24"/>
        </w:rPr>
        <w:t xml:space="preserve">Dr. Brian Warren</w:t>
      </w:r>
      <w:r>
        <w:rPr>
          <w:rFonts w:ascii="Times New Roman" w:cs="Times New Roman" w:eastAsia="Times New Roman" w:hAnsi="Times New Roman"/>
          <w:sz w:val="24"/>
          <w:szCs w:val="24"/>
        </w:rPr>
        <w:t xml:space="preserve"> (Ph.D. Engineering Sciences, Tennessee) brings more than 20 years inside industrial plants: Engineering Manager at Galata Chemicals in Hahnville, Louisiana (2014–2020); Mechanical Engineer at NASA's Michoud Assembly Facility (2008–2014) and the Y-12 National Security Complex (2003–2008); and Engineer at Westinghouse. He holds API 510, 570, and 653 process-equipment certifications, is Six Sigma certified, and was Y-12 Inventor of the Year.</w:t>
      </w:r>
    </w:p>
    <w:p>
      <w:pPr>
        <w:spacing w:after="60" w:before="0" w:line="240"/>
        <w:jc w:val="both"/>
      </w:pPr>
      <w:r>
        <w:rPr>
          <w:rFonts w:ascii="Times New Roman" w:cs="Times New Roman" w:eastAsia="Times New Roman" w:hAnsi="Times New Roman"/>
          <w:b/>
          <w:bCs/>
          <w:sz w:val="24"/>
          <w:szCs w:val="24"/>
        </w:rPr>
        <w:t xml:space="preserve">Dr. Patrick Mensah</w:t>
      </w:r>
      <w:r>
        <w:rPr>
          <w:rFonts w:ascii="Times New Roman" w:cs="Times New Roman" w:eastAsia="Times New Roman" w:hAnsi="Times New Roman"/>
          <w:sz w:val="24"/>
          <w:szCs w:val="24"/>
        </w:rPr>
        <w:t xml:space="preserve">, Formosa Endowed Professor of Mechanical Engineering and Senior Associate Vice Chancellor for Academic Affairs, is a former NSF Program Director and Associate Dean for Research whose work applies machine learning to additive-manufacturing quality control. </w:t>
      </w:r>
      <w:r>
        <w:rPr>
          <w:rFonts w:ascii="Times New Roman" w:cs="Times New Roman" w:eastAsia="Times New Roman" w:hAnsi="Times New Roman"/>
          <w:b/>
          <w:bCs/>
          <w:sz w:val="24"/>
          <w:szCs w:val="24"/>
        </w:rPr>
        <w:t xml:space="preserve">Dr. Michael Stubblefield</w:t>
      </w:r>
      <w:r>
        <w:rPr>
          <w:rFonts w:ascii="Times New Roman" w:cs="Times New Roman" w:eastAsia="Times New Roman" w:hAnsi="Times New Roman"/>
          <w:sz w:val="24"/>
          <w:szCs w:val="24"/>
        </w:rPr>
        <w:t xml:space="preserve">, Vice Chancellor for Research since 2007 and Associate Professor of Mechanical Engineering, has led more than 30 projects totaling over $30 million, directed Southern's Center for Energy and Environmental Studies, and chaired the Oak Ridge Associated Universities HBCU/MI Council.</w:t>
      </w:r>
    </w:p>
    <w:p>
      <w:pPr>
        <w:spacing w:after="60" w:before="0" w:line="240"/>
        <w:jc w:val="both"/>
      </w:pPr>
      <w:r>
        <w:rPr>
          <w:rFonts w:ascii="Times New Roman" w:cs="Times New Roman" w:eastAsia="Times New Roman" w:hAnsi="Times New Roman"/>
          <w:b/>
          <w:bCs/>
          <w:sz w:val="24"/>
          <w:szCs w:val="24"/>
        </w:rPr>
        <w:t xml:space="preserve">Deidre Street</w:t>
      </w:r>
      <w:r>
        <w:rPr>
          <w:rFonts w:ascii="Times New Roman" w:cs="Times New Roman" w:eastAsia="Times New Roman" w:hAnsi="Times New Roman"/>
          <w:sz w:val="24"/>
          <w:szCs w:val="24"/>
        </w:rPr>
        <w:t xml:space="preserve">, MPA, administered NTIA's $6.2 million SURADD award, which built the XR Jags immersive-training capability, and $16 million in other federal and state awards with all financial and reporting requirements met. </w:t>
      </w:r>
      <w:r>
        <w:rPr>
          <w:rFonts w:ascii="Times New Roman" w:cs="Times New Roman" w:eastAsia="Times New Roman" w:hAnsi="Times New Roman"/>
          <w:b/>
          <w:bCs/>
          <w:sz w:val="24"/>
          <w:szCs w:val="24"/>
        </w:rPr>
        <w:t xml:space="preserve">Deanna Smith</w:t>
      </w:r>
      <w:r>
        <w:rPr>
          <w:rFonts w:ascii="Times New Roman" w:cs="Times New Roman" w:eastAsia="Times New Roman" w:hAnsi="Times New Roman"/>
          <w:sz w:val="24"/>
          <w:szCs w:val="24"/>
        </w:rPr>
        <w:t xml:space="preserve"> has helped secure and manage more than $20 million in federal contracts, including three DoD IDIQ prime contracts, and is a three-time team recipient of DoD's Nunn-Perry Award for mentor-protégé excellence. </w:t>
      </w:r>
      <w:r>
        <w:rPr>
          <w:rFonts w:ascii="Times New Roman" w:cs="Times New Roman" w:eastAsia="Times New Roman" w:hAnsi="Times New Roman"/>
          <w:b/>
          <w:bCs/>
          <w:sz w:val="24"/>
          <w:szCs w:val="24"/>
        </w:rPr>
        <w:t xml:space="preserve">V+</w:t>
      </w:r>
      <w:r>
        <w:rPr>
          <w:rFonts w:ascii="Times New Roman" w:cs="Times New Roman" w:eastAsia="Times New Roman" w:hAnsi="Times New Roman"/>
          <w:sz w:val="24"/>
          <w:szCs w:val="24"/>
        </w:rPr>
        <w:t xml:space="preserve"> leadership and advisors bring plant-floor experience at Toyota and Northrop Grumman, ISO 9001:2015 auditor certification, Theory of Constraints methods, interim plant-management and operations-executive experience at manufacturers in five states, and a supplier-qualification framework covering AS9100 quality, CMMC cybersecurity, operations, and ITAR; V+ advisors have led manufacturers to AS9100 certification. Dr. Yasser Ismail (Electrical Engineering), civil and environmental engineering faculty, and Dr. Aloyce Kaliba (economics) complete the team.</w:t>
      </w:r>
    </w:p>
    <w:p>
      <w:pPr>
        <w:keepNext/>
        <w:spacing w:after="40" w:before="60"/>
      </w:pPr>
      <w:r>
        <w:rPr>
          <w:rFonts w:ascii="Times New Roman" w:cs="Times New Roman" w:eastAsia="Times New Roman" w:hAnsi="Times New Roman"/>
          <w:b/>
          <w:bCs/>
          <w:i/>
          <w:iCs/>
          <w:sz w:val="24"/>
          <w:szCs w:val="24"/>
        </w:rPr>
        <w:t xml:space="preserve">2.2 Experience improving SME energy, materials, productivity, cybersecurity, and resilience</w:t>
      </w:r>
    </w:p>
    <w:p>
      <w:pPr>
        <w:pStyle w:val="ListParagraph"/>
        <w:numPr>
          <w:ilvl w:val="0"/>
          <w:numId w:val="2"/>
        </w:numPr>
        <w:spacing w:after="20"/>
      </w:pPr>
      <w:r>
        <w:rPr>
          <w:rFonts w:ascii="Times New Roman" w:cs="Times New Roman" w:eastAsia="Times New Roman" w:hAnsi="Times New Roman"/>
          <w:b/>
          <w:bCs/>
          <w:sz w:val="24"/>
          <w:szCs w:val="24"/>
        </w:rPr>
        <w:t xml:space="preserve">Industrial operations:</w:t>
      </w:r>
      <w:r>
        <w:rPr>
          <w:rFonts w:ascii="Times New Roman" w:cs="Times New Roman" w:eastAsia="Times New Roman" w:hAnsi="Times New Roman"/>
          <w:sz w:val="24"/>
          <w:szCs w:val="24"/>
        </w:rPr>
        <w:t xml:space="preserve"> Dr. Warren's career in chemical, aerospace, and nuclear-security plants covers the steam, pumps, compressed air, vessels, and piping found in client facilities.</w:t>
      </w:r>
    </w:p>
    <w:p>
      <w:pPr>
        <w:pStyle w:val="ListParagraph"/>
        <w:numPr>
          <w:ilvl w:val="0"/>
          <w:numId w:val="2"/>
        </w:numPr>
        <w:spacing w:after="20"/>
      </w:pPr>
      <w:r>
        <w:rPr>
          <w:rFonts w:ascii="Times New Roman" w:cs="Times New Roman" w:eastAsia="Times New Roman" w:hAnsi="Times New Roman"/>
          <w:b/>
          <w:bCs/>
          <w:sz w:val="24"/>
          <w:szCs w:val="24"/>
        </w:rPr>
        <w:t xml:space="preserve">Materials efficiency:</w:t>
      </w:r>
      <w:r>
        <w:rPr>
          <w:rFonts w:ascii="Times New Roman" w:cs="Times New Roman" w:eastAsia="Times New Roman" w:hAnsi="Times New Roman"/>
          <w:sz w:val="24"/>
          <w:szCs w:val="24"/>
        </w:rPr>
        <w:t xml:space="preserve"> Southern's Advanced Metal Additive Manufacturing Laboratory designs, makes, repairs, and tests metal parts on laser powder-bed fusion (Aconity Mini+), directed-energy deposition (InssTek MX-Lab), and wire-laser deposition (Meltio M600). Clients receive a recommendation few ITACs offer: repair or locally reproduce worn pump, valve, and machinery parts instead of scrapping them.</w:t>
      </w:r>
    </w:p>
    <w:p>
      <w:pPr>
        <w:pStyle w:val="ListParagraph"/>
        <w:numPr>
          <w:ilvl w:val="0"/>
          <w:numId w:val="2"/>
        </w:numPr>
        <w:spacing w:after="20"/>
      </w:pPr>
      <w:r>
        <w:rPr>
          <w:rFonts w:ascii="Times New Roman" w:cs="Times New Roman" w:eastAsia="Times New Roman" w:hAnsi="Times New Roman"/>
          <w:b/>
          <w:bCs/>
          <w:sz w:val="24"/>
          <w:szCs w:val="24"/>
        </w:rPr>
        <w:t xml:space="preserve">Productivity and supplier readiness:</w:t>
      </w:r>
      <w:r>
        <w:rPr>
          <w:rFonts w:ascii="Times New Roman" w:cs="Times New Roman" w:eastAsia="Times New Roman" w:hAnsi="Times New Roman"/>
          <w:sz w:val="24"/>
          <w:szCs w:val="24"/>
        </w:rPr>
        <w:t xml:space="preserve"> V+ advisors have delivered measured results for manufacturers like the Center's clients. At a Mississippi oil-and-gas equipment plant, on-time delivery rose from 0% to 100% and product cost fell 16%; at a Texas plant, on-time delivery rose from 38% to 97% and EBITDA from −55% to +24%; at a North Carolina plant, output rose 40% and past-due orders fell 60%. For a mining client, a V+ advisor's continuous-improvement program saved $165 million over nine years, cut a week-long maintenance outage to 27.5 hours, and sustained 3–5% annual cost reductions.</w:t>
      </w:r>
    </w:p>
    <w:p>
      <w:pPr>
        <w:pStyle w:val="ListParagraph"/>
        <w:numPr>
          <w:ilvl w:val="0"/>
          <w:numId w:val="2"/>
        </w:numPr>
        <w:spacing w:after="20"/>
      </w:pPr>
      <w:r>
        <w:rPr>
          <w:rFonts w:ascii="Times New Roman" w:cs="Times New Roman" w:eastAsia="Times New Roman" w:hAnsi="Times New Roman"/>
          <w:b/>
          <w:bCs/>
          <w:sz w:val="24"/>
          <w:szCs w:val="24"/>
        </w:rPr>
        <w:t xml:space="preserve">Defense supply chains:</w:t>
      </w:r>
      <w:r>
        <w:rPr>
          <w:rFonts w:ascii="Times New Roman" w:cs="Times New Roman" w:eastAsia="Times New Roman" w:hAnsi="Times New Roman"/>
          <w:sz w:val="24"/>
          <w:szCs w:val="24"/>
        </w:rPr>
        <w:t xml:space="preserve"> Southern is an approved Boeing supplier, a NASA Mentor-Protégé participant, and Southern's representative to the Oak Ridge National Laboratory Mentor-Protégé Program since 2011. The Center now plays the mentor role for Louisiana's small manufacturers.</w:t>
      </w:r>
    </w:p>
    <w:p>
      <w:pPr>
        <w:pStyle w:val="ListParagraph"/>
        <w:numPr>
          <w:ilvl w:val="0"/>
          <w:numId w:val="2"/>
        </w:numPr>
        <w:spacing w:after="20"/>
      </w:pPr>
      <w:r>
        <w:rPr>
          <w:rFonts w:ascii="Times New Roman" w:cs="Times New Roman" w:eastAsia="Times New Roman" w:hAnsi="Times New Roman"/>
          <w:b/>
          <w:bCs/>
          <w:sz w:val="24"/>
          <w:szCs w:val="24"/>
        </w:rPr>
        <w:t xml:space="preserve">Rural business reach:</w:t>
      </w:r>
      <w:r>
        <w:rPr>
          <w:rFonts w:ascii="Times New Roman" w:cs="Times New Roman" w:eastAsia="Times New Roman" w:hAnsi="Times New Roman"/>
          <w:sz w:val="24"/>
          <w:szCs w:val="24"/>
        </w:rPr>
        <w:t xml:space="preserve"> Southern's MBDA LIFT Rural Business Center (2026–2029), SU Louisiana SBDC, and EDA University Center already advise rural Louisiana firms.</w:t>
      </w:r>
    </w:p>
    <w:p>
      <w:pPr>
        <w:keepNext/>
        <w:spacing w:after="40" w:before="60"/>
      </w:pPr>
      <w:r>
        <w:rPr>
          <w:rFonts w:ascii="Times New Roman" w:cs="Times New Roman" w:eastAsia="Times New Roman" w:hAnsi="Times New Roman"/>
          <w:b/>
          <w:bCs/>
          <w:i/>
          <w:iCs/>
          <w:sz w:val="24"/>
          <w:szCs w:val="24"/>
        </w:rPr>
        <w:t xml:space="preserve">2.3 Training students and SMEs in priority technologies</w:t>
      </w:r>
    </w:p>
    <w:p>
      <w:pPr>
        <w:spacing w:after="60" w:before="0" w:line="240"/>
        <w:jc w:val="both"/>
      </w:pPr>
      <w:r>
        <w:rPr>
          <w:rFonts w:ascii="Times New Roman" w:cs="Times New Roman" w:eastAsia="Times New Roman" w:hAnsi="Times New Roman"/>
          <w:sz w:val="24"/>
          <w:szCs w:val="24"/>
        </w:rPr>
        <w:t xml:space="preserve">Southern's DOE EMACE program ($500,000, 2024–2027) is building a Bachelor of Applied Science in Integrated Advanced Energy and Sustainability, now in the University's academic plan, with industry-recognized credentials. Its NSF IUSE project trained students in additive manufacturing with cybersecurity and virtual reality, and its XR Jags group has published virtual-reality training on heavy-machinery operation and industrial skills.</w:t>
      </w:r>
    </w:p>
    <w:p>
      <w:pPr>
        <w:keepNext/>
        <w:spacing w:after="40" w:before="60"/>
      </w:pPr>
      <w:r>
        <w:rPr>
          <w:rFonts w:ascii="Times New Roman" w:cs="Times New Roman" w:eastAsia="Times New Roman" w:hAnsi="Times New Roman"/>
          <w:b/>
          <w:bCs/>
          <w:i/>
          <w:iCs/>
          <w:sz w:val="24"/>
          <w:szCs w:val="24"/>
        </w:rPr>
        <w:t xml:space="preserve">2.4 Working with government and nongovernment stakeholders</w:t>
      </w:r>
    </w:p>
    <w:p>
      <w:pPr>
        <w:spacing w:after="60" w:before="0" w:line="240"/>
        <w:jc w:val="both"/>
      </w:pPr>
      <w:r>
        <w:rPr>
          <w:rFonts w:ascii="Times New Roman" w:cs="Times New Roman" w:eastAsia="Times New Roman" w:hAnsi="Times New Roman"/>
          <w:sz w:val="24"/>
          <w:szCs w:val="24"/>
        </w:rPr>
        <w:t xml:space="preserve">Through EMACE, Southern works with 22 external partners, including Entergy, Shell, ExxonMobil Pipeline, Oak Ridge National Laboratory, NREL, the Southern States Energy Board, and the Center for Energy Workforce Development. The Center will coordinate with Louisiana's Manufacturing Extension Partnership, the Louisiana Department of Energy and Natural Resources, Louisiana Economic Development, Entergy, SWEPCO, and rural electric cooperatives, and will align with DOE's Better Plants, Onsite Energy Technical Assistance Partnerships, and ISO 50001 programs. Letters of commitment from these partners are attached.</w:t>
      </w:r>
    </w:p>
    <w:p>
      <w:pPr>
        <w:keepNext/>
        <w:spacing w:after="40" w:before="60"/>
      </w:pPr>
      <w:r>
        <w:rPr>
          <w:rFonts w:ascii="Times New Roman" w:cs="Times New Roman" w:eastAsia="Times New Roman" w:hAnsi="Times New Roman"/>
          <w:b/>
          <w:bCs/>
          <w:i/>
          <w:iCs/>
          <w:sz w:val="24"/>
          <w:szCs w:val="24"/>
        </w:rPr>
        <w:t xml:space="preserve">2.5 Outreach to SMEs</w:t>
      </w:r>
    </w:p>
    <w:p>
      <w:pPr>
        <w:spacing w:after="60" w:before="0" w:line="240"/>
        <w:jc w:val="both"/>
      </w:pPr>
      <w:r>
        <w:rPr>
          <w:rFonts w:ascii="Times New Roman" w:cs="Times New Roman" w:eastAsia="Times New Roman" w:hAnsi="Times New Roman"/>
          <w:sz w:val="24"/>
          <w:szCs w:val="24"/>
        </w:rPr>
        <w:t xml:space="preserve">Outreach runs through partners that already reach small plants: the V+ network, LIFT and SBDC advisors, MEP field staff, utility account managers, industry associations, and the Partner Leadership Council. The Center adds a request form, one-page flyers for each segment, association presentations, and in-person visits in rural parishes, and logs every lead to see which channels produce qualified clients. </w:t>
      </w:r>
      <w:r>
        <w:rPr>
          <w:rFonts w:ascii="Times New Roman" w:cs="Times New Roman" w:eastAsia="Times New Roman" w:hAnsi="Times New Roman"/>
          <w:sz w:val="24"/>
          <w:szCs w:val="24"/>
          <w:highlight w:val="yellow"/>
        </w:rPr>
        <w:t xml:space="preserve">[Number]</w:t>
      </w:r>
      <w:r>
        <w:rPr>
          <w:rFonts w:ascii="Times New Roman" w:cs="Times New Roman" w:eastAsia="Times New Roman" w:hAnsi="Times New Roman"/>
          <w:sz w:val="24"/>
          <w:szCs w:val="24"/>
        </w:rPr>
        <w:t xml:space="preserve"> manufacturers in the service region have already committed in writing to host Year 1 assessments; their letters are attached.</w:t>
      </w:r>
    </w:p>
    <w:p>
      <w:pPr>
        <w:keepNext/>
        <w:spacing w:after="60" w:before="120"/>
      </w:pPr>
      <w:r>
        <w:rPr>
          <w:rFonts w:ascii="Times New Roman" w:cs="Times New Roman" w:eastAsia="Times New Roman" w:hAnsi="Times New Roman"/>
          <w:b/>
          <w:bCs/>
          <w:sz w:val="24"/>
          <w:szCs w:val="24"/>
        </w:rPr>
        <w:t xml:space="preserve">Criterion 3: Teaching, Training, Workforce Development, and Job Quality</w:t>
      </w:r>
    </w:p>
    <w:p>
      <w:pPr>
        <w:keepNext/>
        <w:spacing w:after="40" w:before="60"/>
      </w:pPr>
      <w:r>
        <w:rPr>
          <w:rFonts w:ascii="Times New Roman" w:cs="Times New Roman" w:eastAsia="Times New Roman" w:hAnsi="Times New Roman"/>
          <w:b/>
          <w:bCs/>
          <w:i/>
          <w:iCs/>
          <w:sz w:val="24"/>
          <w:szCs w:val="24"/>
        </w:rPr>
        <w:t xml:space="preserve">3.1 Mentoring, training, and curricular resources</w:t>
      </w:r>
    </w:p>
    <w:p>
      <w:pPr>
        <w:spacing w:after="60" w:before="0" w:line="240"/>
        <w:jc w:val="both"/>
      </w:pPr>
      <w:r>
        <w:rPr>
          <w:rFonts w:ascii="Times New Roman" w:cs="Times New Roman" w:eastAsia="Times New Roman" w:hAnsi="Times New Roman"/>
          <w:sz w:val="24"/>
          <w:szCs w:val="24"/>
        </w:rPr>
        <w:t xml:space="preserve">Southern faculty own the training curriculum and its energy-technical content; V+ field engineers coach students on site and teach plant-floor productivity. Each student moves through three stages: </w:t>
      </w:r>
      <w:r>
        <w:rPr>
          <w:rFonts w:ascii="Times New Roman" w:cs="Times New Roman" w:eastAsia="Times New Roman" w:hAnsi="Times New Roman"/>
          <w:b/>
          <w:bCs/>
          <w:sz w:val="24"/>
          <w:szCs w:val="24"/>
        </w:rPr>
        <w:t xml:space="preserve">Trainee</w:t>
      </w:r>
      <w:r>
        <w:rPr>
          <w:rFonts w:ascii="Times New Roman" w:cs="Times New Roman" w:eastAsia="Times New Roman" w:hAnsi="Times New Roman"/>
          <w:sz w:val="24"/>
          <w:szCs w:val="24"/>
        </w:rPr>
        <w:t xml:space="preserve"> (first semester: two-week boot camp, shadows two assessments, completes a utility-bill analysis and one recommendation); </w:t>
      </w:r>
      <w:r>
        <w:rPr>
          <w:rFonts w:ascii="Times New Roman" w:cs="Times New Roman" w:eastAsia="Times New Roman" w:hAnsi="Times New Roman"/>
          <w:b/>
          <w:bCs/>
          <w:sz w:val="24"/>
          <w:szCs w:val="24"/>
        </w:rPr>
        <w:t xml:space="preserve">Assessor</w:t>
      </w:r>
      <w:r>
        <w:rPr>
          <w:rFonts w:ascii="Times New Roman" w:cs="Times New Roman" w:eastAsia="Times New Roman" w:hAnsi="Times New Roman"/>
          <w:sz w:val="24"/>
          <w:szCs w:val="24"/>
        </w:rPr>
        <w:t xml:space="preserve"> (semesters 2–3: runs metering, owns two to three recommendations per report, presents findings to clients); and </w:t>
      </w:r>
      <w:r>
        <w:rPr>
          <w:rFonts w:ascii="Times New Roman" w:cs="Times New Roman" w:eastAsia="Times New Roman" w:hAnsi="Times New Roman"/>
          <w:b/>
          <w:bCs/>
          <w:sz w:val="24"/>
          <w:szCs w:val="24"/>
        </w:rPr>
        <w:t xml:space="preserve">Lead student</w:t>
      </w:r>
      <w:r>
        <w:rPr>
          <w:rFonts w:ascii="Times New Roman" w:cs="Times New Roman" w:eastAsia="Times New Roman" w:hAnsi="Times New Roman"/>
          <w:sz w:val="24"/>
          <w:szCs w:val="24"/>
        </w:rPr>
        <w:t xml:space="preserve"> (semester 4 onward: leads a team of four to six and reviews trainee work). The boot camp, led each January and August by Dr. Warren with V+ teaching the productivity and supplier-readiness modules, covers OSHA 10-Hour General Industry, electrical safety, each instrument, MEASUR tools, utility rates, savings and payback, report writing, and client conduct.</w:t>
      </w:r>
    </w:p>
    <w:p>
      <w:pPr>
        <w:spacing w:after="60" w:before="0" w:line="240"/>
        <w:jc w:val="both"/>
      </w:pPr>
      <w:r>
        <w:rPr>
          <w:rFonts w:ascii="Times New Roman" w:cs="Times New Roman" w:eastAsia="Times New Roman" w:hAnsi="Times New Roman"/>
          <w:sz w:val="24"/>
          <w:szCs w:val="24"/>
        </w:rPr>
        <w:t xml:space="preserve">Assessment data feed courses in thermodynamics, heat transfer, fluid mechanics, HVAC, power systems, and water treatment. Year 1 adds a three-credit elective, Industrial Energy Systems and Assessment, open to mechanical, electrical, civil, and electronics engineering technology students, and at least two capstone teams a year take a client's problem. The elective and DOE certificate become an applied credential within EMACE's advanced-energy degree pathway.</w:t>
      </w:r>
    </w:p>
    <w:p>
      <w:pPr>
        <w:keepNext/>
        <w:spacing w:after="40" w:before="60"/>
      </w:pPr>
      <w:r>
        <w:rPr>
          <w:rFonts w:ascii="Times New Roman" w:cs="Times New Roman" w:eastAsia="Times New Roman" w:hAnsi="Times New Roman"/>
          <w:b/>
          <w:bCs/>
          <w:i/>
          <w:iCs/>
          <w:sz w:val="24"/>
          <w:szCs w:val="24"/>
        </w:rPr>
        <w:t xml:space="preserve">3.2 Technical resources and solutions for SMEs and their workers</w:t>
      </w:r>
    </w:p>
    <w:p>
      <w:pPr>
        <w:spacing w:after="60" w:before="0" w:line="240"/>
        <w:jc w:val="both"/>
      </w:pPr>
      <w:r>
        <w:rPr>
          <w:rFonts w:ascii="Times New Roman" w:cs="Times New Roman" w:eastAsia="Times New Roman" w:hAnsi="Times New Roman"/>
          <w:sz w:val="24"/>
          <w:szCs w:val="24"/>
        </w:rPr>
        <w:t xml:space="preserve">Each client receives a full report with cost, savings, and simple payback for every recommendation, a one-page summary for the owner, and an Implementation Grant readiness packet. Annual case studies begin with energy in north Louisiana sawmills and continue with compressed air in metal fabrication, refrigeration in food processing, additive repair of worn parts, and pumping in rural wastewater plants. Short how-to sheets and twice-yearly webinars with MEP and the State Energy Office share the most common recommendations.</w:t>
      </w:r>
    </w:p>
    <w:p>
      <w:pPr>
        <w:spacing w:after="60" w:before="0" w:line="240"/>
        <w:jc w:val="both"/>
      </w:pPr>
      <w:r>
        <w:rPr>
          <w:rFonts w:ascii="Times New Roman" w:cs="Times New Roman" w:eastAsia="Times New Roman" w:hAnsi="Times New Roman"/>
          <w:sz w:val="24"/>
          <w:szCs w:val="24"/>
        </w:rPr>
        <w:t xml:space="preserve">Because DOE asks ITACs to identify cybersecurity vulnerabilities and resilience gaps, every client is also offered a federal supply-chain readiness screen, led by V+ and the Partner Leadership Council, with End-to-End Enterprise Solutions leading CMMC readiness: operational-technology cybersecurity basics; current Department of War cybersecurity requirements (CMMC Level 1 and Level 2 self-assessment, NIST SP 800-171, and DFARS 252.204-7012 incident reporting), updated as the Department completes its review of later CMMC phases; supply-chain risk management under NIST SP 800-161, including traceability for additively manufactured parts; HUBZone eligibility and benefits; and federal contracting and teaming for Department of War and other opportunities. The screen complements, and never replaces, the energy and productivity assessment.</w:t>
      </w:r>
    </w:p>
    <w:p>
      <w:pPr>
        <w:keepNext/>
        <w:spacing w:after="40" w:before="60"/>
      </w:pPr>
      <w:r>
        <w:rPr>
          <w:rFonts w:ascii="Times New Roman" w:cs="Times New Roman" w:eastAsia="Times New Roman" w:hAnsi="Times New Roman"/>
          <w:b/>
          <w:bCs/>
          <w:i/>
          <w:iCs/>
          <w:sz w:val="24"/>
          <w:szCs w:val="24"/>
        </w:rPr>
        <w:t xml:space="preserve">3.3 Student-focused activities</w:t>
      </w:r>
    </w:p>
    <w:p>
      <w:pPr>
        <w:pStyle w:val="ListParagraph"/>
        <w:numPr>
          <w:ilvl w:val="0"/>
          <w:numId w:val="2"/>
        </w:numPr>
        <w:spacing w:after="20"/>
      </w:pPr>
      <w:r>
        <w:rPr>
          <w:rFonts w:ascii="Times New Roman" w:cs="Times New Roman" w:eastAsia="Times New Roman" w:hAnsi="Times New Roman"/>
          <w:b/>
          <w:bCs/>
          <w:sz w:val="24"/>
          <w:szCs w:val="24"/>
        </w:rPr>
        <w:t xml:space="preserve">Connecting graduates and industry:</w:t>
      </w:r>
      <w:r>
        <w:rPr>
          <w:rFonts w:ascii="Times New Roman" w:cs="Times New Roman" w:eastAsia="Times New Roman" w:hAnsi="Times New Roman"/>
          <w:sz w:val="24"/>
          <w:szCs w:val="24"/>
        </w:rPr>
        <w:t xml:space="preserve"> an annual ITAC Industry Day with client plants, utilities, and engineering firms; summer internships with clients and the V+ manufacturer network; a goal of 80% of certified graduates employed in energy, manufacturing, or engineering services within six months.</w:t>
      </w:r>
    </w:p>
    <w:p>
      <w:pPr>
        <w:pStyle w:val="ListParagraph"/>
        <w:numPr>
          <w:ilvl w:val="0"/>
          <w:numId w:val="2"/>
        </w:numPr>
        <w:spacing w:after="20"/>
      </w:pPr>
      <w:r>
        <w:rPr>
          <w:rFonts w:ascii="Times New Roman" w:cs="Times New Roman" w:eastAsia="Times New Roman" w:hAnsi="Times New Roman"/>
          <w:b/>
          <w:bCs/>
          <w:sz w:val="24"/>
          <w:szCs w:val="24"/>
        </w:rPr>
        <w:t xml:space="preserve">Research and competitions:</w:t>
      </w:r>
      <w:r>
        <w:rPr>
          <w:rFonts w:ascii="Times New Roman" w:cs="Times New Roman" w:eastAsia="Times New Roman" w:hAnsi="Times New Roman"/>
          <w:sz w:val="24"/>
          <w:szCs w:val="24"/>
        </w:rPr>
        <w:t xml:space="preserve"> assessment-inspired student research, such as validating the AI assistant or testing additive repair of a client's part, presented at Southern's research symposium and national ITAC student events, with a $5,000 annual award pool from Year 2.</w:t>
      </w:r>
    </w:p>
    <w:p>
      <w:pPr>
        <w:pStyle w:val="ListParagraph"/>
        <w:numPr>
          <w:ilvl w:val="0"/>
          <w:numId w:val="2"/>
        </w:numPr>
        <w:spacing w:after="20"/>
      </w:pPr>
      <w:r>
        <w:rPr>
          <w:rFonts w:ascii="Times New Roman" w:cs="Times New Roman" w:eastAsia="Times New Roman" w:hAnsi="Times New Roman"/>
          <w:b/>
          <w:bCs/>
          <w:sz w:val="24"/>
          <w:szCs w:val="24"/>
        </w:rPr>
        <w:t xml:space="preserve">Recognition and alumni:</w:t>
      </w:r>
      <w:r>
        <w:rPr>
          <w:rFonts w:ascii="Times New Roman" w:cs="Times New Roman" w:eastAsia="Times New Roman" w:hAnsi="Times New Roman"/>
          <w:sz w:val="24"/>
          <w:szCs w:val="24"/>
        </w:rPr>
        <w:t xml:space="preserve"> certificates presented with client companies at an annual ceremony; a Lead Student of the Year award; alumni mentoring through the Southern University Engineering Alumni Society.</w:t>
      </w:r>
    </w:p>
    <w:p>
      <w:pPr>
        <w:pStyle w:val="ListParagraph"/>
        <w:numPr>
          <w:ilvl w:val="0"/>
          <w:numId w:val="2"/>
        </w:numPr>
        <w:spacing w:after="20"/>
      </w:pPr>
      <w:r>
        <w:rPr>
          <w:rFonts w:ascii="Times New Roman" w:cs="Times New Roman" w:eastAsia="Times New Roman" w:hAnsi="Times New Roman"/>
          <w:b/>
          <w:bCs/>
          <w:sz w:val="24"/>
          <w:szCs w:val="24"/>
        </w:rPr>
        <w:t xml:space="preserve">Recruitment:</w:t>
      </w:r>
      <w:r>
        <w:rPr>
          <w:rFonts w:ascii="Times New Roman" w:cs="Times New Roman" w:eastAsia="Times New Roman" w:hAnsi="Times New Roman"/>
          <w:sz w:val="24"/>
          <w:szCs w:val="24"/>
        </w:rPr>
        <w:t xml:space="preserve"> EMACE-Inspires and XR Jags summer camps, which reach hundreds of local students each year, feed the next generation of ITAC students; ITAC students serve as camp mentors.</w:t>
      </w:r>
    </w:p>
    <w:p>
      <w:pPr>
        <w:keepNext/>
        <w:spacing w:after="40" w:before="60"/>
      </w:pPr>
      <w:r>
        <w:rPr>
          <w:rFonts w:ascii="Times New Roman" w:cs="Times New Roman" w:eastAsia="Times New Roman" w:hAnsi="Times New Roman"/>
          <w:b/>
          <w:bCs/>
          <w:i/>
          <w:iCs/>
          <w:sz w:val="24"/>
          <w:szCs w:val="24"/>
        </w:rPr>
        <w:t xml:space="preserve">3.4 Workforce education and credentials for incumbent workers</w:t>
      </w:r>
    </w:p>
    <w:p>
      <w:pPr>
        <w:spacing w:after="60" w:before="0" w:line="240"/>
        <w:jc w:val="both"/>
      </w:pPr>
      <w:r>
        <w:rPr>
          <w:rFonts w:ascii="Times New Roman" w:cs="Times New Roman" w:eastAsia="Times New Roman" w:hAnsi="Times New Roman"/>
          <w:sz w:val="24"/>
          <w:szCs w:val="24"/>
        </w:rPr>
        <w:t xml:space="preserve">V+, whose advisors have trained more than 1,200 employees in continuous improvement, leads incumbent-worker training with Louisiana Community and Technical College System campuses in the service region: one-day courses in compressed-air systems, steam and boiler efficiency, and motors, drives, and power quality; a two-day energy-management fundamentals course (ISO 50001 readiness); and a two-day Lean and constraint-based throughput course with Lean Six Sigma Yellow Belt credentialing. Credentials align with the Center for Energy Workforce Development. XR Jags virtual-reality modules on equipment operation and safety bring training to rural plants, so workers can train without leaving the parish.</w:t>
      </w:r>
    </w:p>
    <w:p>
      <w:pPr>
        <w:keepNext/>
        <w:spacing w:after="40" w:before="60"/>
      </w:pPr>
      <w:r>
        <w:rPr>
          <w:rFonts w:ascii="Times New Roman" w:cs="Times New Roman" w:eastAsia="Times New Roman" w:hAnsi="Times New Roman"/>
          <w:b/>
          <w:bCs/>
          <w:i/>
          <w:iCs/>
          <w:sz w:val="24"/>
          <w:szCs w:val="24"/>
        </w:rPr>
        <w:t xml:space="preserve">3.5 Job quality</w:t>
      </w:r>
    </w:p>
    <w:p>
      <w:pPr>
        <w:spacing w:after="60" w:before="0" w:line="240"/>
        <w:jc w:val="both"/>
      </w:pPr>
      <w:r>
        <w:rPr>
          <w:rFonts w:ascii="Times New Roman" w:cs="Times New Roman" w:eastAsia="Times New Roman" w:hAnsi="Times New Roman"/>
          <w:sz w:val="24"/>
          <w:szCs w:val="24"/>
        </w:rPr>
        <w:t xml:space="preserve">Students are paid hourly, so ITAC work competes with off-campus jobs, and leave with a DOE credential, OSHA 10 certification, and portfolio-ready reports. The Center tracks each graduate's first employer, field, and salary range and reports job-quality outcomes to DOE.</w:t>
      </w:r>
    </w:p>
    <w:p>
      <w:pPr>
        <w:keepNext/>
        <w:spacing w:after="60" w:before="120"/>
      </w:pPr>
      <w:r>
        <w:rPr>
          <w:rFonts w:ascii="Times New Roman" w:cs="Times New Roman" w:eastAsia="Times New Roman" w:hAnsi="Times New Roman"/>
          <w:b/>
          <w:bCs/>
          <w:sz w:val="24"/>
          <w:szCs w:val="24"/>
        </w:rPr>
        <w:t xml:space="preserve">Criterion 4: Project Resources</w:t>
      </w:r>
    </w:p>
    <w:p>
      <w:pPr>
        <w:keepNext/>
        <w:spacing w:after="40" w:before="60"/>
      </w:pPr>
      <w:r>
        <w:rPr>
          <w:rFonts w:ascii="Times New Roman" w:cs="Times New Roman" w:eastAsia="Times New Roman" w:hAnsi="Times New Roman"/>
          <w:b/>
          <w:bCs/>
          <w:i/>
          <w:iCs/>
          <w:sz w:val="24"/>
          <w:szCs w:val="24"/>
        </w:rPr>
        <w:t xml:space="preserve">4.1 Facilities, equipment, and other resources</w:t>
      </w:r>
    </w:p>
    <w:p>
      <w:pPr>
        <w:spacing w:after="60" w:before="0" w:line="240"/>
        <w:jc w:val="both"/>
      </w:pPr>
      <w:r>
        <w:rPr>
          <w:rFonts w:ascii="Times New Roman" w:cs="Times New Roman" w:eastAsia="Times New Roman" w:hAnsi="Times New Roman"/>
          <w:sz w:val="24"/>
          <w:szCs w:val="24"/>
        </w:rPr>
        <w:t xml:space="preserve">The Center operates from the Pinchback Engineering Building, which houses Southern's civil, electrical, electronics engineering technology, and mechanical engineering departments, with a dedicated office and workroom for 24 students. Students and clients have access to the Advanced Metal Additive Manufacturing Laboratory; thermal-fluids, power-systems, and environmental laboratories; the XR Jags immersive-training capability; and $40,000 in assessment instrumentation purchased in Year 1. Southern's engineering staff includes 10 mechanical, 5 electrical, and 3 civil engineers plus chemical, environmental, structural, and water-resources engineers, a bench for specialized assessments and backup assessors. V+ adds field engineers, its EDGE platform, and its manufacturer network.</w:t>
      </w:r>
    </w:p>
    <w:p>
      <w:pPr>
        <w:keepNext/>
        <w:spacing w:after="40" w:before="60"/>
      </w:pPr>
      <w:r>
        <w:rPr>
          <w:rFonts w:ascii="Times New Roman" w:cs="Times New Roman" w:eastAsia="Times New Roman" w:hAnsi="Times New Roman"/>
          <w:b/>
          <w:bCs/>
          <w:i/>
          <w:iCs/>
          <w:sz w:val="24"/>
          <w:szCs w:val="24"/>
        </w:rPr>
        <w:t xml:space="preserve">4.2 Institutional commitment and administrative support</w:t>
      </w:r>
    </w:p>
    <w:p>
      <w:pPr>
        <w:spacing w:after="60" w:before="0" w:line="240"/>
        <w:jc w:val="both"/>
      </w:pPr>
      <w:r>
        <w:rPr>
          <w:rFonts w:ascii="Times New Roman" w:cs="Times New Roman" w:eastAsia="Times New Roman" w:hAnsi="Times New Roman"/>
          <w:sz w:val="24"/>
          <w:szCs w:val="24"/>
        </w:rPr>
        <w:t xml:space="preserve">The Vice Chancellor for Research and the Senior Associate Vice Chancellor for Academic Affairs are Co-PIs, placing the Center under the University's senior research and academic leadership. Southern and its partners commit $603,750 in cost share over five years ($120,750 a year, 24.4% of total project cost, above the 20% required): Southern contributes faculty effort not charged to the award, use of the AM Laboratory, XR Jags, and Center space, and cash student scholarships ($73,750 a year); V+ contributes engineering time ($20,000); and the Partner Leadership Council contributes training time and waived registrations ($27,000). The Office of Sponsored Programs manages the EnergyWerx agreement, milestone invoicing, and cost-share records; University Communications produces case studies and outreach materials; Information Technology secures client data; Career Services co-hosts Industry Day; and the College of Business, the MBDA LIFT Center, and the SU Louisiana SBDC support client preparation and impact evaluation. Because EMACE's advanced-energy degree is already in the University's plan, the ITAC gains an academic home that will outlast any single award.</w:t>
      </w:r>
    </w:p>
    <w:sectPr>
      <w:footerReference w:type="default" r:id="rId6"/>
      <w:pgSz w:w="12240" w:h="15840" w:orient="portrait"/>
      <w:pgMar w:top="1440" w:right="1440" w:bottom="1440" w:left="1440" w:header="708" w:footer="500" w:gutter="0"/>
      <w:pgNumType w:start="1"/>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0"/>
        <w:szCs w:val="20"/>
      </w:rPr>
      <w:t xml:space="preserve">Southern University ITAC — Track 1 — Page </w:t>
    </w:r>
    <w:r>
      <w:rPr>
        <w:rFonts w:ascii="Times New Roman" w:cs="Times New Roman" w:eastAsia="Times New Roman" w:hAnsi="Times New Roman"/>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36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2026-10-23T01:57:08.956Z</dcterms:created>
  <dcterms:modified xsi:type="dcterms:W3CDTF">2026-10-23T01:57:08.956Z</dcterms:modified>
</cp:coreProperties>
</file>

<file path=docProps/custom.xml><?xml version="1.0" encoding="utf-8"?>
<Properties xmlns="http://schemas.openxmlformats.org/officeDocument/2006/custom-properties" xmlns:vt="http://schemas.openxmlformats.org/officeDocument/2006/docPropsVTypes"/>
</file>