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F070C1" w14:textId="77777777" w:rsidR="00FA27F7" w:rsidRDefault="00000000">
      <w:pPr>
        <w:pStyle w:val="Heading1"/>
        <w:rPr>
          <w:rFonts w:hint="eastAsia"/>
        </w:rPr>
      </w:pPr>
      <w:r>
        <w:rPr>
          <w:rStyle w:val="StrongEmphasis"/>
        </w:rPr>
        <w:t>PRPL Media: Enterprise Software R&amp;D Capabilities Summary</w:t>
      </w:r>
    </w:p>
    <w:p w14:paraId="0F228012" w14:textId="77777777" w:rsidR="00FA27F7" w:rsidRDefault="00000000">
      <w:pPr>
        <w:pStyle w:val="Heading2"/>
        <w:rPr>
          <w:rFonts w:hint="eastAsia"/>
        </w:rPr>
      </w:pPr>
      <w:bookmarkStart w:id="0" w:name="about-prpl-media"/>
      <w:bookmarkEnd w:id="0"/>
      <w:r>
        <w:rPr>
          <w:rStyle w:val="StrongEmphasis"/>
        </w:rPr>
        <w:t>About PRPL Media</w:t>
      </w:r>
    </w:p>
    <w:p w14:paraId="3997F1DB" w14:textId="77777777" w:rsidR="00FA27F7" w:rsidRDefault="00000000">
      <w:pPr>
        <w:pStyle w:val="Textbody"/>
        <w:rPr>
          <w:rFonts w:hint="eastAsia"/>
        </w:rPr>
      </w:pPr>
      <w:r>
        <w:t xml:space="preserve">PRPL Media is a premier enterprise software research and development firm with a demonstrated track record of delivering mission-critical solutions for Fortune 500 companies, global governments, and leading institutions. Our extensive experience spans multiple industries and </w:t>
      </w:r>
      <w:proofErr w:type="gramStart"/>
      <w:r>
        <w:t>use</w:t>
      </w:r>
      <w:proofErr w:type="gramEnd"/>
      <w:r>
        <w:t xml:space="preserve"> cases, positioning us as an ideal partner for the AI-Enabled Citizen Service Management Platform.</w:t>
      </w:r>
    </w:p>
    <w:p w14:paraId="152624B2" w14:textId="77777777" w:rsidR="00FA27F7" w:rsidRDefault="00000000">
      <w:pPr>
        <w:pStyle w:val="Heading2"/>
        <w:rPr>
          <w:rFonts w:hint="eastAsia"/>
        </w:rPr>
      </w:pPr>
      <w:bookmarkStart w:id="1" w:name="proven-enterprise-delivery-capabilities"/>
      <w:bookmarkEnd w:id="1"/>
      <w:r>
        <w:rPr>
          <w:rStyle w:val="StrongEmphasis"/>
        </w:rPr>
        <w:t>Proven Enterprise Delivery Capabilities</w:t>
      </w:r>
    </w:p>
    <w:p w14:paraId="735A74BD" w14:textId="77777777" w:rsidR="00FA27F7" w:rsidRDefault="00000000">
      <w:pPr>
        <w:pStyle w:val="Heading3"/>
        <w:rPr>
          <w:rFonts w:hint="eastAsia"/>
        </w:rPr>
      </w:pPr>
      <w:bookmarkStart w:id="2" w:name="cross-industry-expertise"/>
      <w:bookmarkEnd w:id="2"/>
      <w:r>
        <w:rPr>
          <w:rStyle w:val="StrongEmphasis"/>
        </w:rPr>
        <w:t>Cross-Industry Expertise</w:t>
      </w:r>
    </w:p>
    <w:p w14:paraId="703D59B6" w14:textId="77777777" w:rsidR="00FA27F7" w:rsidRDefault="00000000">
      <w:pPr>
        <w:pStyle w:val="Textbody"/>
        <w:rPr>
          <w:rFonts w:hint="eastAsia"/>
        </w:rPr>
      </w:pPr>
      <w:r>
        <w:t>Our client portfolio demonstrates exceptional breadth and depth across key sectors:</w:t>
      </w:r>
    </w:p>
    <w:p w14:paraId="7CA7A069" w14:textId="77777777" w:rsidR="00FA27F7" w:rsidRDefault="00000000">
      <w:pPr>
        <w:pStyle w:val="Textbody"/>
        <w:rPr>
          <w:rFonts w:hint="eastAsia"/>
        </w:rPr>
      </w:pPr>
      <w:r>
        <w:rPr>
          <w:rStyle w:val="StrongEmphasis"/>
        </w:rPr>
        <w:t>Financial Services &amp; Insurance</w:t>
      </w:r>
    </w:p>
    <w:p w14:paraId="45C1E1BE" w14:textId="77777777" w:rsidR="00FA27F7" w:rsidRDefault="00000000">
      <w:pPr>
        <w:pStyle w:val="Textbody"/>
        <w:numPr>
          <w:ilvl w:val="0"/>
          <w:numId w:val="1"/>
        </w:numPr>
        <w:spacing w:after="0"/>
        <w:rPr>
          <w:rFonts w:hint="eastAsia"/>
        </w:rPr>
      </w:pPr>
      <w:r>
        <w:rPr>
          <w:rStyle w:val="StrongEmphasis"/>
        </w:rPr>
        <w:t>American Express, Fidelity, Wells Fargo, Discover, Truist</w:t>
      </w:r>
      <w:r>
        <w:t xml:space="preserve"> - Mission-critical financial systems requiring absolute security, compliance, and reliability</w:t>
      </w:r>
    </w:p>
    <w:p w14:paraId="39FE0AC5" w14:textId="77777777" w:rsidR="00FA27F7" w:rsidRDefault="00000000">
      <w:pPr>
        <w:pStyle w:val="Textbody"/>
        <w:numPr>
          <w:ilvl w:val="0"/>
          <w:numId w:val="1"/>
        </w:numPr>
        <w:spacing w:after="0"/>
        <w:rPr>
          <w:rFonts w:hint="eastAsia"/>
        </w:rPr>
      </w:pPr>
      <w:r>
        <w:rPr>
          <w:rStyle w:val="StrongEmphasis"/>
        </w:rPr>
        <w:t>Blue Cross Blue Shield</w:t>
      </w:r>
      <w:r>
        <w:t xml:space="preserve"> - Healthcare technology with strict regulatory requirements</w:t>
      </w:r>
    </w:p>
    <w:p w14:paraId="61EFEBC0" w14:textId="77777777" w:rsidR="00FA27F7" w:rsidRDefault="00000000">
      <w:pPr>
        <w:pStyle w:val="Textbody"/>
        <w:numPr>
          <w:ilvl w:val="0"/>
          <w:numId w:val="1"/>
        </w:numPr>
        <w:rPr>
          <w:rFonts w:hint="eastAsia"/>
        </w:rPr>
      </w:pPr>
      <w:r>
        <w:rPr>
          <w:rStyle w:val="StrongEmphasis"/>
        </w:rPr>
        <w:t>ADP</w:t>
      </w:r>
      <w:r>
        <w:t xml:space="preserve"> - Enterprise-scale payroll and HR systems</w:t>
      </w:r>
    </w:p>
    <w:p w14:paraId="4C3409D4" w14:textId="77777777" w:rsidR="00FA27F7" w:rsidRDefault="00000000">
      <w:pPr>
        <w:pStyle w:val="Textbody"/>
        <w:rPr>
          <w:rFonts w:hint="eastAsia"/>
        </w:rPr>
      </w:pPr>
      <w:r>
        <w:rPr>
          <w:rStyle w:val="StrongEmphasis"/>
        </w:rPr>
        <w:t>Technology &amp; Telecommunications</w:t>
      </w:r>
    </w:p>
    <w:p w14:paraId="0369E522" w14:textId="77777777" w:rsidR="00FA27F7" w:rsidRDefault="00000000">
      <w:pPr>
        <w:pStyle w:val="Textbody"/>
        <w:numPr>
          <w:ilvl w:val="0"/>
          <w:numId w:val="2"/>
        </w:numPr>
        <w:spacing w:after="0"/>
        <w:rPr>
          <w:rFonts w:hint="eastAsia"/>
        </w:rPr>
      </w:pPr>
      <w:r>
        <w:rPr>
          <w:rStyle w:val="StrongEmphasis"/>
        </w:rPr>
        <w:t>Cisco, Google, Meta, Microsoft, Amazon, Verizon, T-Mobile</w:t>
      </w:r>
      <w:r>
        <w:t xml:space="preserve"> - Infrastructure at internet scale</w:t>
      </w:r>
    </w:p>
    <w:p w14:paraId="1087F809" w14:textId="77777777" w:rsidR="00FA27F7" w:rsidRDefault="00000000">
      <w:pPr>
        <w:pStyle w:val="Textbody"/>
        <w:numPr>
          <w:ilvl w:val="0"/>
          <w:numId w:val="2"/>
        </w:numPr>
        <w:rPr>
          <w:rFonts w:hint="eastAsia"/>
        </w:rPr>
      </w:pPr>
      <w:r>
        <w:rPr>
          <w:rStyle w:val="StrongEmphasis"/>
        </w:rPr>
        <w:t>Genesys</w:t>
      </w:r>
      <w:r>
        <w:t xml:space="preserve"> - Contact center and customer experience platforms</w:t>
      </w:r>
    </w:p>
    <w:p w14:paraId="4B432AF7" w14:textId="77777777" w:rsidR="00FA27F7" w:rsidRDefault="00000000">
      <w:pPr>
        <w:pStyle w:val="Textbody"/>
        <w:rPr>
          <w:rFonts w:hint="eastAsia"/>
        </w:rPr>
      </w:pPr>
      <w:r>
        <w:rPr>
          <w:rStyle w:val="StrongEmphasis"/>
        </w:rPr>
        <w:t>Government &amp; Public Sector</w:t>
      </w:r>
    </w:p>
    <w:p w14:paraId="6AD41A52" w14:textId="77777777" w:rsidR="00FA27F7" w:rsidRDefault="00000000">
      <w:pPr>
        <w:pStyle w:val="Textbody"/>
        <w:numPr>
          <w:ilvl w:val="0"/>
          <w:numId w:val="3"/>
        </w:numPr>
        <w:spacing w:after="0"/>
        <w:rPr>
          <w:rFonts w:hint="eastAsia"/>
        </w:rPr>
      </w:pPr>
      <w:r>
        <w:rPr>
          <w:rStyle w:val="StrongEmphasis"/>
        </w:rPr>
        <w:t>US Air Force, Lockheed Martin, General Dynamics</w:t>
      </w:r>
      <w:r>
        <w:t xml:space="preserve"> - Defense-grade security and reliability</w:t>
      </w:r>
    </w:p>
    <w:p w14:paraId="6602BEC3" w14:textId="77777777" w:rsidR="00FA27F7" w:rsidRDefault="00000000">
      <w:pPr>
        <w:pStyle w:val="Textbody"/>
        <w:numPr>
          <w:ilvl w:val="0"/>
          <w:numId w:val="3"/>
        </w:numPr>
        <w:spacing w:after="0"/>
        <w:rPr>
          <w:rFonts w:hint="eastAsia"/>
        </w:rPr>
      </w:pPr>
      <w:r>
        <w:rPr>
          <w:rStyle w:val="StrongEmphasis"/>
        </w:rPr>
        <w:t>Environmental Protection Agency, NYC Health Department</w:t>
      </w:r>
      <w:r>
        <w:t xml:space="preserve"> - Public health and environmental systems</w:t>
      </w:r>
    </w:p>
    <w:p w14:paraId="125D2C2A" w14:textId="77777777" w:rsidR="00FA27F7" w:rsidRDefault="00000000">
      <w:pPr>
        <w:pStyle w:val="Textbody"/>
        <w:numPr>
          <w:ilvl w:val="0"/>
          <w:numId w:val="3"/>
        </w:numPr>
        <w:spacing w:after="0"/>
        <w:rPr>
          <w:rFonts w:hint="eastAsia"/>
        </w:rPr>
      </w:pPr>
      <w:r>
        <w:rPr>
          <w:rStyle w:val="StrongEmphasis"/>
        </w:rPr>
        <w:t>Nations of Chile, Peru, East African Federation</w:t>
      </w:r>
      <w:r>
        <w:t xml:space="preserve"> - National-scale digital transformation</w:t>
      </w:r>
    </w:p>
    <w:p w14:paraId="1B73FB43" w14:textId="77777777" w:rsidR="00FA27F7" w:rsidRDefault="00000000">
      <w:pPr>
        <w:pStyle w:val="Textbody"/>
        <w:numPr>
          <w:ilvl w:val="0"/>
          <w:numId w:val="3"/>
        </w:numPr>
        <w:rPr>
          <w:rFonts w:hint="eastAsia"/>
        </w:rPr>
      </w:pPr>
      <w:r>
        <w:rPr>
          <w:rStyle w:val="StrongEmphasis"/>
        </w:rPr>
        <w:t>Commonwealth of Massachusetts</w:t>
      </w:r>
      <w:r>
        <w:t xml:space="preserve"> - State government technology modernization</w:t>
      </w:r>
    </w:p>
    <w:p w14:paraId="4B7AEF10" w14:textId="77777777" w:rsidR="00FA27F7" w:rsidRDefault="00000000">
      <w:pPr>
        <w:pStyle w:val="Textbody"/>
        <w:rPr>
          <w:rFonts w:hint="eastAsia"/>
        </w:rPr>
      </w:pPr>
      <w:r>
        <w:rPr>
          <w:rStyle w:val="StrongEmphasis"/>
        </w:rPr>
        <w:t>Media &amp; Entertainment</w:t>
      </w:r>
    </w:p>
    <w:p w14:paraId="46321BB8" w14:textId="77777777" w:rsidR="00FA27F7" w:rsidRDefault="00000000">
      <w:pPr>
        <w:pStyle w:val="Textbody"/>
        <w:numPr>
          <w:ilvl w:val="0"/>
          <w:numId w:val="4"/>
        </w:numPr>
        <w:spacing w:after="0"/>
        <w:rPr>
          <w:rFonts w:hint="eastAsia"/>
        </w:rPr>
      </w:pPr>
      <w:r>
        <w:rPr>
          <w:rStyle w:val="StrongEmphasis"/>
        </w:rPr>
        <w:t>Disney, Paramount, Universal, Nickelodeon, MLB, Sirius XM</w:t>
      </w:r>
      <w:r>
        <w:t xml:space="preserve"> - High-performance digital experiences</w:t>
      </w:r>
    </w:p>
    <w:p w14:paraId="0B5E32B2" w14:textId="77777777" w:rsidR="00FA27F7" w:rsidRDefault="00000000">
      <w:pPr>
        <w:pStyle w:val="Textbody"/>
        <w:numPr>
          <w:ilvl w:val="0"/>
          <w:numId w:val="4"/>
        </w:numPr>
        <w:rPr>
          <w:rFonts w:hint="eastAsia"/>
        </w:rPr>
      </w:pPr>
      <w:r>
        <w:rPr>
          <w:rStyle w:val="StrongEmphasis"/>
        </w:rPr>
        <w:t>New York Times</w:t>
      </w:r>
      <w:r>
        <w:t xml:space="preserve"> - Content management and distribution at global scale</w:t>
      </w:r>
    </w:p>
    <w:p w14:paraId="37CB89C4" w14:textId="77777777" w:rsidR="00FA27F7" w:rsidRDefault="00000000">
      <w:pPr>
        <w:pStyle w:val="Textbody"/>
        <w:rPr>
          <w:rFonts w:hint="eastAsia"/>
        </w:rPr>
      </w:pPr>
      <w:r>
        <w:rPr>
          <w:rStyle w:val="StrongEmphasis"/>
        </w:rPr>
        <w:t>Consumer Goods &amp; Retail</w:t>
      </w:r>
    </w:p>
    <w:p w14:paraId="1670F966" w14:textId="77777777" w:rsidR="00FA27F7" w:rsidRDefault="00000000">
      <w:pPr>
        <w:pStyle w:val="Textbody"/>
        <w:numPr>
          <w:ilvl w:val="0"/>
          <w:numId w:val="5"/>
        </w:numPr>
        <w:spacing w:after="0"/>
        <w:rPr>
          <w:rFonts w:hint="eastAsia"/>
        </w:rPr>
      </w:pPr>
      <w:r>
        <w:rPr>
          <w:rStyle w:val="StrongEmphasis"/>
        </w:rPr>
        <w:t>Coca-Cola, Nike, Hasbro, Red Bull, Papa Johns, PF Chang's</w:t>
      </w:r>
      <w:r>
        <w:t xml:space="preserve"> - Brand-driven digital innovation</w:t>
      </w:r>
    </w:p>
    <w:p w14:paraId="071C85B1" w14:textId="77777777" w:rsidR="00FA27F7" w:rsidRDefault="00000000">
      <w:pPr>
        <w:pStyle w:val="Textbody"/>
        <w:numPr>
          <w:ilvl w:val="0"/>
          <w:numId w:val="5"/>
        </w:numPr>
        <w:rPr>
          <w:rFonts w:hint="eastAsia"/>
        </w:rPr>
      </w:pPr>
      <w:r>
        <w:rPr>
          <w:rStyle w:val="StrongEmphasis"/>
        </w:rPr>
        <w:t>3M, GlaxoSmithKline</w:t>
      </w:r>
      <w:r>
        <w:t xml:space="preserve"> - Manufacturing and pharmaceutical excellence</w:t>
      </w:r>
    </w:p>
    <w:p w14:paraId="6C417D49" w14:textId="77777777" w:rsidR="00FA27F7" w:rsidRDefault="00000000">
      <w:pPr>
        <w:pStyle w:val="Heading2"/>
        <w:rPr>
          <w:rFonts w:hint="eastAsia"/>
        </w:rPr>
      </w:pPr>
      <w:bookmarkStart w:id="3" w:name="technical-competencies-demonstrated"/>
      <w:bookmarkEnd w:id="3"/>
      <w:r>
        <w:rPr>
          <w:rStyle w:val="StrongEmphasis"/>
        </w:rPr>
        <w:t>Technical Competencies Demonstrated</w:t>
      </w:r>
    </w:p>
    <w:p w14:paraId="27705D3F" w14:textId="77777777" w:rsidR="00FA27F7" w:rsidRDefault="00000000">
      <w:pPr>
        <w:pStyle w:val="Textbody"/>
        <w:rPr>
          <w:rFonts w:hint="eastAsia"/>
        </w:rPr>
      </w:pPr>
      <w:r>
        <w:t>While specific project details are protected under NDAs, our client engagements required mastery of:</w:t>
      </w:r>
    </w:p>
    <w:p w14:paraId="1CB5F9F4" w14:textId="77777777" w:rsidR="00FA27F7" w:rsidRDefault="00000000">
      <w:pPr>
        <w:pStyle w:val="Heading3"/>
        <w:rPr>
          <w:rFonts w:hint="eastAsia"/>
        </w:rPr>
      </w:pPr>
      <w:bookmarkStart w:id="4" w:name="large-scale-system-architecture"/>
      <w:bookmarkEnd w:id="4"/>
      <w:r>
        <w:rPr>
          <w:rStyle w:val="StrongEmphasis"/>
        </w:rPr>
        <w:lastRenderedPageBreak/>
        <w:t>Large-Scale System Architecture</w:t>
      </w:r>
    </w:p>
    <w:p w14:paraId="0C42C4BC" w14:textId="77777777" w:rsidR="00FA27F7" w:rsidRDefault="00000000">
      <w:pPr>
        <w:pStyle w:val="Textbody"/>
        <w:numPr>
          <w:ilvl w:val="0"/>
          <w:numId w:val="6"/>
        </w:numPr>
        <w:spacing w:after="0"/>
        <w:rPr>
          <w:rFonts w:hint="eastAsia"/>
        </w:rPr>
      </w:pPr>
      <w:r>
        <w:t>Cloud-native and hybrid deployment models</w:t>
      </w:r>
    </w:p>
    <w:p w14:paraId="78821186" w14:textId="77777777" w:rsidR="00FA27F7" w:rsidRDefault="00000000">
      <w:pPr>
        <w:pStyle w:val="Textbody"/>
        <w:numPr>
          <w:ilvl w:val="0"/>
          <w:numId w:val="6"/>
        </w:numPr>
        <w:spacing w:after="0"/>
        <w:rPr>
          <w:rFonts w:hint="eastAsia"/>
        </w:rPr>
      </w:pPr>
      <w:r>
        <w:t xml:space="preserve">Microservices and event-driven </w:t>
      </w:r>
      <w:proofErr w:type="gramStart"/>
      <w:r>
        <w:t>architectures</w:t>
      </w:r>
      <w:proofErr w:type="gramEnd"/>
    </w:p>
    <w:p w14:paraId="30E7287C" w14:textId="77777777" w:rsidR="00FA27F7" w:rsidRDefault="00000000">
      <w:pPr>
        <w:pStyle w:val="Textbody"/>
        <w:numPr>
          <w:ilvl w:val="0"/>
          <w:numId w:val="6"/>
        </w:numPr>
        <w:spacing w:after="0"/>
        <w:rPr>
          <w:rFonts w:hint="eastAsia"/>
        </w:rPr>
      </w:pPr>
      <w:r>
        <w:t>Real-time data processing and analytics</w:t>
      </w:r>
    </w:p>
    <w:p w14:paraId="2F08D89E" w14:textId="77777777" w:rsidR="00FA27F7" w:rsidRDefault="00000000">
      <w:pPr>
        <w:pStyle w:val="Textbody"/>
        <w:numPr>
          <w:ilvl w:val="0"/>
          <w:numId w:val="6"/>
        </w:numPr>
        <w:rPr>
          <w:rFonts w:hint="eastAsia"/>
        </w:rPr>
      </w:pPr>
      <w:r>
        <w:t>Legacy system modernization and integration</w:t>
      </w:r>
    </w:p>
    <w:p w14:paraId="016AE863" w14:textId="77777777" w:rsidR="00FA27F7" w:rsidRDefault="00000000">
      <w:pPr>
        <w:pStyle w:val="Heading3"/>
        <w:rPr>
          <w:rFonts w:hint="eastAsia"/>
        </w:rPr>
      </w:pPr>
      <w:bookmarkStart w:id="5" w:name="security-andamp-compliance"/>
      <w:bookmarkEnd w:id="5"/>
      <w:r>
        <w:rPr>
          <w:rStyle w:val="StrongEmphasis"/>
        </w:rPr>
        <w:t>Security &amp; Compliance</w:t>
      </w:r>
    </w:p>
    <w:p w14:paraId="7D61E046" w14:textId="77777777" w:rsidR="00FA27F7" w:rsidRDefault="00000000">
      <w:pPr>
        <w:pStyle w:val="Textbody"/>
        <w:numPr>
          <w:ilvl w:val="0"/>
          <w:numId w:val="7"/>
        </w:numPr>
        <w:spacing w:after="0"/>
        <w:rPr>
          <w:rFonts w:hint="eastAsia"/>
        </w:rPr>
      </w:pPr>
      <w:r>
        <w:t>Military-grade security implementations (US Air Force, Lockheed Martin)</w:t>
      </w:r>
    </w:p>
    <w:p w14:paraId="2EE5D41E" w14:textId="77777777" w:rsidR="00FA27F7" w:rsidRDefault="00000000">
      <w:pPr>
        <w:pStyle w:val="Textbody"/>
        <w:numPr>
          <w:ilvl w:val="0"/>
          <w:numId w:val="7"/>
        </w:numPr>
        <w:spacing w:after="0"/>
        <w:rPr>
          <w:rFonts w:hint="eastAsia"/>
        </w:rPr>
      </w:pPr>
      <w:r>
        <w:t>Financial services compliance (PCI DSS, SOX, GLBA)</w:t>
      </w:r>
    </w:p>
    <w:p w14:paraId="42075D7D" w14:textId="77777777" w:rsidR="00FA27F7" w:rsidRDefault="00000000">
      <w:pPr>
        <w:pStyle w:val="Textbody"/>
        <w:numPr>
          <w:ilvl w:val="0"/>
          <w:numId w:val="7"/>
        </w:numPr>
        <w:spacing w:after="0"/>
        <w:rPr>
          <w:rFonts w:hint="eastAsia"/>
        </w:rPr>
      </w:pPr>
      <w:r>
        <w:t>Healthcare regulations (HIPAA) through Blue Cross Blue Shield</w:t>
      </w:r>
    </w:p>
    <w:p w14:paraId="2F9A4F0A" w14:textId="77777777" w:rsidR="00FA27F7" w:rsidRDefault="00000000">
      <w:pPr>
        <w:pStyle w:val="Textbody"/>
        <w:numPr>
          <w:ilvl w:val="0"/>
          <w:numId w:val="7"/>
        </w:numPr>
        <w:rPr>
          <w:rFonts w:hint="eastAsia"/>
        </w:rPr>
      </w:pPr>
      <w:r>
        <w:t>Government security standards and certifications</w:t>
      </w:r>
    </w:p>
    <w:p w14:paraId="4DD7092D" w14:textId="77777777" w:rsidR="00FA27F7" w:rsidRDefault="00000000">
      <w:pPr>
        <w:pStyle w:val="Heading3"/>
        <w:rPr>
          <w:rFonts w:hint="eastAsia"/>
        </w:rPr>
      </w:pPr>
      <w:bookmarkStart w:id="6" w:name="ai-andamp-machine-learning"/>
      <w:bookmarkEnd w:id="6"/>
      <w:r>
        <w:rPr>
          <w:rStyle w:val="StrongEmphasis"/>
        </w:rPr>
        <w:t>AI &amp; Machine Learning</w:t>
      </w:r>
    </w:p>
    <w:p w14:paraId="4D87D552" w14:textId="77777777" w:rsidR="00FA27F7" w:rsidRDefault="00000000">
      <w:pPr>
        <w:pStyle w:val="Textbody"/>
        <w:numPr>
          <w:ilvl w:val="0"/>
          <w:numId w:val="8"/>
        </w:numPr>
        <w:spacing w:after="0"/>
        <w:rPr>
          <w:rFonts w:hint="eastAsia"/>
        </w:rPr>
      </w:pPr>
      <w:r>
        <w:t>Natural language processing and conversational AI</w:t>
      </w:r>
    </w:p>
    <w:p w14:paraId="6F0F79B0" w14:textId="77777777" w:rsidR="00FA27F7" w:rsidRDefault="00000000">
      <w:pPr>
        <w:pStyle w:val="Textbody"/>
        <w:numPr>
          <w:ilvl w:val="0"/>
          <w:numId w:val="8"/>
        </w:numPr>
        <w:spacing w:after="0"/>
        <w:rPr>
          <w:rFonts w:hint="eastAsia"/>
        </w:rPr>
      </w:pPr>
      <w:r>
        <w:t>Predictive analytics and recommendation engines</w:t>
      </w:r>
    </w:p>
    <w:p w14:paraId="3FBC390B" w14:textId="77777777" w:rsidR="00FA27F7" w:rsidRDefault="00000000">
      <w:pPr>
        <w:pStyle w:val="Textbody"/>
        <w:numPr>
          <w:ilvl w:val="0"/>
          <w:numId w:val="8"/>
        </w:numPr>
        <w:spacing w:after="0"/>
        <w:rPr>
          <w:rFonts w:hint="eastAsia"/>
        </w:rPr>
      </w:pPr>
      <w:r>
        <w:t>Computer vision and image recognition</w:t>
      </w:r>
    </w:p>
    <w:p w14:paraId="32E52840" w14:textId="77777777" w:rsidR="00FA27F7" w:rsidRDefault="00000000">
      <w:pPr>
        <w:pStyle w:val="Textbody"/>
        <w:numPr>
          <w:ilvl w:val="0"/>
          <w:numId w:val="8"/>
        </w:numPr>
        <w:rPr>
          <w:rFonts w:hint="eastAsia"/>
        </w:rPr>
      </w:pPr>
      <w:r>
        <w:t>Large-scale data processing and model training</w:t>
      </w:r>
    </w:p>
    <w:p w14:paraId="1C45DD25" w14:textId="77777777" w:rsidR="00FA27F7" w:rsidRDefault="00000000">
      <w:pPr>
        <w:pStyle w:val="Heading3"/>
        <w:rPr>
          <w:rFonts w:hint="eastAsia"/>
        </w:rPr>
      </w:pPr>
      <w:bookmarkStart w:id="7" w:name="digital-transformation"/>
      <w:bookmarkEnd w:id="7"/>
      <w:r>
        <w:rPr>
          <w:rStyle w:val="StrongEmphasis"/>
        </w:rPr>
        <w:t>Digital Transformation</w:t>
      </w:r>
    </w:p>
    <w:p w14:paraId="3F418944" w14:textId="77777777" w:rsidR="00FA27F7" w:rsidRDefault="00000000">
      <w:pPr>
        <w:pStyle w:val="Textbody"/>
        <w:numPr>
          <w:ilvl w:val="0"/>
          <w:numId w:val="9"/>
        </w:numPr>
        <w:spacing w:after="0"/>
        <w:rPr>
          <w:rFonts w:hint="eastAsia"/>
        </w:rPr>
      </w:pPr>
      <w:r>
        <w:t>Omnichannel customer experience platforms</w:t>
      </w:r>
    </w:p>
    <w:p w14:paraId="503BD1B7" w14:textId="77777777" w:rsidR="00FA27F7" w:rsidRDefault="00000000">
      <w:pPr>
        <w:pStyle w:val="Textbody"/>
        <w:numPr>
          <w:ilvl w:val="0"/>
          <w:numId w:val="9"/>
        </w:numPr>
        <w:spacing w:after="0"/>
        <w:rPr>
          <w:rFonts w:hint="eastAsia"/>
        </w:rPr>
      </w:pPr>
      <w:r>
        <w:t>Mobile-first application development</w:t>
      </w:r>
    </w:p>
    <w:p w14:paraId="21E9356B" w14:textId="77777777" w:rsidR="00FA27F7" w:rsidRDefault="00000000">
      <w:pPr>
        <w:pStyle w:val="Textbody"/>
        <w:numPr>
          <w:ilvl w:val="0"/>
          <w:numId w:val="9"/>
        </w:numPr>
        <w:spacing w:after="0"/>
        <w:rPr>
          <w:rFonts w:hint="eastAsia"/>
        </w:rPr>
      </w:pPr>
      <w:r>
        <w:t>API ecosystems and integration frameworks</w:t>
      </w:r>
    </w:p>
    <w:p w14:paraId="0AB31ED8" w14:textId="77777777" w:rsidR="00FA27F7" w:rsidRDefault="00000000">
      <w:pPr>
        <w:pStyle w:val="Textbody"/>
        <w:numPr>
          <w:ilvl w:val="0"/>
          <w:numId w:val="9"/>
        </w:numPr>
        <w:rPr>
          <w:rFonts w:hint="eastAsia"/>
        </w:rPr>
      </w:pPr>
      <w:r>
        <w:t>DevOps and continuous delivery pipelines</w:t>
      </w:r>
    </w:p>
    <w:p w14:paraId="14B2F733" w14:textId="77777777" w:rsidR="00FA27F7" w:rsidRDefault="00000000">
      <w:pPr>
        <w:pStyle w:val="Heading2"/>
        <w:rPr>
          <w:rFonts w:hint="eastAsia"/>
        </w:rPr>
      </w:pPr>
      <w:bookmarkStart w:id="8" w:name="why-prpl-media-for-the-csmp-project"/>
      <w:bookmarkEnd w:id="8"/>
      <w:r>
        <w:rPr>
          <w:rStyle w:val="StrongEmphasis"/>
        </w:rPr>
        <w:t>Why PRPL Media for the CSMP Project</w:t>
      </w:r>
    </w:p>
    <w:p w14:paraId="30C211E1" w14:textId="77777777" w:rsidR="00FA27F7" w:rsidRDefault="00000000">
      <w:pPr>
        <w:pStyle w:val="Heading3"/>
        <w:rPr>
          <w:rFonts w:hint="eastAsia"/>
        </w:rPr>
      </w:pPr>
      <w:bookmarkStart w:id="9" w:name="proven-at-scale"/>
      <w:bookmarkEnd w:id="9"/>
      <w:proofErr w:type="gramStart"/>
      <w:r>
        <w:rPr>
          <w:rStyle w:val="StrongEmphasis"/>
        </w:rPr>
        <w:t>Proven</w:t>
      </w:r>
      <w:proofErr w:type="gramEnd"/>
      <w:r>
        <w:rPr>
          <w:rStyle w:val="StrongEmphasis"/>
        </w:rPr>
        <w:t xml:space="preserve"> at Scale</w:t>
      </w:r>
    </w:p>
    <w:p w14:paraId="2034C0FA" w14:textId="77777777" w:rsidR="00FA27F7" w:rsidRDefault="00000000">
      <w:pPr>
        <w:pStyle w:val="Textbody"/>
        <w:rPr>
          <w:rFonts w:hint="eastAsia"/>
        </w:rPr>
      </w:pPr>
      <w:r>
        <w:t xml:space="preserve">Our experience with </w:t>
      </w:r>
      <w:r>
        <w:rPr>
          <w:rStyle w:val="StrongEmphasis"/>
        </w:rPr>
        <w:t>Amazon, Google, and Microsoft</w:t>
      </w:r>
      <w:r>
        <w:t xml:space="preserve"> demonstrates our ability to architect systems that </w:t>
      </w:r>
      <w:proofErr w:type="gramStart"/>
      <w:r>
        <w:t>scale to</w:t>
      </w:r>
      <w:proofErr w:type="gramEnd"/>
      <w:r>
        <w:t xml:space="preserve"> millions of users while maintaining performance and reliability—exactly what Trinidad and Tobago's national CSMP requires.</w:t>
      </w:r>
    </w:p>
    <w:p w14:paraId="22DC014D" w14:textId="77777777" w:rsidR="00FA27F7" w:rsidRDefault="00000000">
      <w:pPr>
        <w:pStyle w:val="Heading3"/>
        <w:rPr>
          <w:rFonts w:hint="eastAsia"/>
        </w:rPr>
      </w:pPr>
      <w:bookmarkStart w:id="10" w:name="government-experience"/>
      <w:bookmarkEnd w:id="10"/>
      <w:r>
        <w:rPr>
          <w:rStyle w:val="StrongEmphasis"/>
        </w:rPr>
        <w:t>Government Experience</w:t>
      </w:r>
    </w:p>
    <w:p w14:paraId="6D2AAF93" w14:textId="77777777" w:rsidR="00FA27F7" w:rsidRDefault="00000000">
      <w:pPr>
        <w:pStyle w:val="Textbody"/>
        <w:rPr>
          <w:rFonts w:hint="eastAsia"/>
        </w:rPr>
      </w:pPr>
      <w:r>
        <w:t xml:space="preserve">Engagements with </w:t>
      </w:r>
      <w:r>
        <w:rPr>
          <w:rStyle w:val="StrongEmphasis"/>
        </w:rPr>
        <w:t>multiple national governments, US Air Force, and major regulatory agencies</w:t>
      </w:r>
      <w:r>
        <w:t xml:space="preserve"> prove our understanding of public sector requirements, including data sovereignty, accessibility, and transparent governance.</w:t>
      </w:r>
    </w:p>
    <w:p w14:paraId="199E9AFB" w14:textId="77777777" w:rsidR="00FA27F7" w:rsidRDefault="00000000">
      <w:pPr>
        <w:pStyle w:val="Heading3"/>
        <w:rPr>
          <w:rFonts w:hint="eastAsia"/>
        </w:rPr>
      </w:pPr>
      <w:bookmarkStart w:id="11" w:name="financial-grade-security"/>
      <w:bookmarkEnd w:id="11"/>
      <w:r>
        <w:rPr>
          <w:rStyle w:val="StrongEmphasis"/>
        </w:rPr>
        <w:t>Financial-Grade Security</w:t>
      </w:r>
    </w:p>
    <w:p w14:paraId="74AC5D55" w14:textId="77777777" w:rsidR="00FA27F7" w:rsidRDefault="00000000">
      <w:pPr>
        <w:pStyle w:val="Textbody"/>
        <w:rPr>
          <w:rFonts w:hint="eastAsia"/>
        </w:rPr>
      </w:pPr>
      <w:r>
        <w:t xml:space="preserve">Work with </w:t>
      </w:r>
      <w:r>
        <w:rPr>
          <w:rStyle w:val="StrongEmphasis"/>
        </w:rPr>
        <w:t>American Express, Wells Fargo, and Fidelity</w:t>
      </w:r>
      <w:r>
        <w:t xml:space="preserve"> demonstrates our capability to implement the stringent security controls necessary for protecting citizen data and government systems.</w:t>
      </w:r>
    </w:p>
    <w:p w14:paraId="13857108" w14:textId="77777777" w:rsidR="00FA27F7" w:rsidRDefault="00000000">
      <w:pPr>
        <w:pStyle w:val="Heading3"/>
        <w:rPr>
          <w:rFonts w:hint="eastAsia"/>
        </w:rPr>
      </w:pPr>
      <w:bookmarkStart w:id="12" w:name="complex-integration-expertise"/>
      <w:bookmarkEnd w:id="12"/>
      <w:r>
        <w:rPr>
          <w:rStyle w:val="StrongEmphasis"/>
        </w:rPr>
        <w:t>Complex Integration Expertise</w:t>
      </w:r>
    </w:p>
    <w:p w14:paraId="014DE9CC" w14:textId="77777777" w:rsidR="00FA27F7" w:rsidRDefault="00000000">
      <w:pPr>
        <w:pStyle w:val="Textbody"/>
        <w:rPr>
          <w:rFonts w:hint="eastAsia"/>
        </w:rPr>
      </w:pPr>
      <w:r>
        <w:t>Our portfolio shows repeated success integrating with legacy systems, third-party platforms, and heterogeneous technology environments—critical for the CSMP's requirement to interface with existing government databases.</w:t>
      </w:r>
    </w:p>
    <w:p w14:paraId="250ED8D4" w14:textId="77777777" w:rsidR="00FA27F7" w:rsidRDefault="00000000">
      <w:pPr>
        <w:pStyle w:val="Heading3"/>
        <w:rPr>
          <w:rFonts w:hint="eastAsia"/>
        </w:rPr>
      </w:pPr>
      <w:bookmarkStart w:id="13" w:name="enterprise-grade-reliability"/>
      <w:bookmarkEnd w:id="13"/>
      <w:r>
        <w:rPr>
          <w:rStyle w:val="StrongEmphasis"/>
        </w:rPr>
        <w:lastRenderedPageBreak/>
        <w:t>Enterprise-Grade Reliability</w:t>
      </w:r>
    </w:p>
    <w:p w14:paraId="45A10CD1" w14:textId="77777777" w:rsidR="00FA27F7" w:rsidRDefault="00000000">
      <w:pPr>
        <w:pStyle w:val="Textbody"/>
        <w:rPr>
          <w:rFonts w:hint="eastAsia"/>
        </w:rPr>
      </w:pPr>
      <w:r>
        <w:t xml:space="preserve">Clients like </w:t>
      </w:r>
      <w:r>
        <w:rPr>
          <w:rStyle w:val="StrongEmphasis"/>
        </w:rPr>
        <w:t>Cisco, Verizon, and ADP</w:t>
      </w:r>
      <w:r>
        <w:t xml:space="preserve"> depend on us for systems where downtime is not an option, ensuring the CSMP will deliver the reliability citizens expect from essential government services.</w:t>
      </w:r>
    </w:p>
    <w:p w14:paraId="4E757E10" w14:textId="77777777" w:rsidR="00FA27F7" w:rsidRDefault="00000000">
      <w:pPr>
        <w:pStyle w:val="Heading2"/>
        <w:rPr>
          <w:rFonts w:hint="eastAsia"/>
        </w:rPr>
      </w:pPr>
      <w:bookmarkStart w:id="14" w:name="our-commitment-to-trinidad-and-tobago"/>
      <w:bookmarkEnd w:id="14"/>
      <w:r>
        <w:rPr>
          <w:rStyle w:val="StrongEmphasis"/>
        </w:rPr>
        <w:t>Our Commitment to Trinidad and Tobago</w:t>
      </w:r>
    </w:p>
    <w:p w14:paraId="0C71FC97" w14:textId="77777777" w:rsidR="00FA27F7" w:rsidRDefault="00000000">
      <w:pPr>
        <w:pStyle w:val="Textbody"/>
        <w:rPr>
          <w:rFonts w:hint="eastAsia"/>
        </w:rPr>
      </w:pPr>
      <w:r>
        <w:t>PRPL Media brings a unique combination of private-sector innovation and public-sector experience to deliver a world-class CSMP. We understand that this is not just a technology project, but a fundamental investment in Trinidad and Tobago's digital future and the well-being of its citizens.</w:t>
      </w:r>
    </w:p>
    <w:p w14:paraId="0BF3D8FE" w14:textId="77777777" w:rsidR="00FA27F7" w:rsidRDefault="00000000">
      <w:pPr>
        <w:pStyle w:val="Textbody"/>
        <w:rPr>
          <w:rFonts w:hint="eastAsia"/>
        </w:rPr>
      </w:pPr>
      <w:r>
        <w:t>Our approach combines:</w:t>
      </w:r>
    </w:p>
    <w:p w14:paraId="24D83B3A" w14:textId="77777777" w:rsidR="00FA27F7" w:rsidRDefault="00000000">
      <w:pPr>
        <w:pStyle w:val="Textbody"/>
        <w:numPr>
          <w:ilvl w:val="0"/>
          <w:numId w:val="10"/>
        </w:numPr>
        <w:spacing w:after="0"/>
        <w:rPr>
          <w:rFonts w:hint="eastAsia"/>
        </w:rPr>
      </w:pPr>
      <w:r>
        <w:rPr>
          <w:rStyle w:val="StrongEmphasis"/>
        </w:rPr>
        <w:t>Proven Methodologies</w:t>
      </w:r>
      <w:r>
        <w:t xml:space="preserve"> from hundreds of successful enterprise deployments</w:t>
      </w:r>
    </w:p>
    <w:p w14:paraId="1664E754" w14:textId="77777777" w:rsidR="00FA27F7" w:rsidRDefault="00000000">
      <w:pPr>
        <w:pStyle w:val="Textbody"/>
        <w:numPr>
          <w:ilvl w:val="0"/>
          <w:numId w:val="10"/>
        </w:numPr>
        <w:spacing w:after="0"/>
        <w:rPr>
          <w:rFonts w:hint="eastAsia"/>
        </w:rPr>
      </w:pPr>
      <w:r>
        <w:rPr>
          <w:rStyle w:val="StrongEmphasis"/>
        </w:rPr>
        <w:t>Cutting-Edge Technology</w:t>
      </w:r>
      <w:r>
        <w:t xml:space="preserve"> expertise across the entire solution stack</w:t>
      </w:r>
    </w:p>
    <w:p w14:paraId="380B5164" w14:textId="77777777" w:rsidR="00FA27F7" w:rsidRDefault="00000000">
      <w:pPr>
        <w:pStyle w:val="Textbody"/>
        <w:numPr>
          <w:ilvl w:val="0"/>
          <w:numId w:val="10"/>
        </w:numPr>
        <w:spacing w:after="0"/>
        <w:rPr>
          <w:rFonts w:hint="eastAsia"/>
        </w:rPr>
      </w:pPr>
      <w:r>
        <w:rPr>
          <w:rStyle w:val="StrongEmphasis"/>
        </w:rPr>
        <w:t>Strict Compliance</w:t>
      </w:r>
      <w:r>
        <w:t xml:space="preserve"> with all regulatory and security requirements</w:t>
      </w:r>
    </w:p>
    <w:p w14:paraId="253E34EF" w14:textId="77777777" w:rsidR="00FA27F7" w:rsidRDefault="00000000">
      <w:pPr>
        <w:pStyle w:val="Textbody"/>
        <w:numPr>
          <w:ilvl w:val="0"/>
          <w:numId w:val="10"/>
        </w:numPr>
        <w:rPr>
          <w:rFonts w:hint="eastAsia"/>
        </w:rPr>
      </w:pPr>
      <w:r>
        <w:rPr>
          <w:rStyle w:val="StrongEmphasis"/>
        </w:rPr>
        <w:t>Sustainable Architecture</w:t>
      </w:r>
      <w:r>
        <w:t xml:space="preserve"> designed for long-term maintainability and growth</w:t>
      </w:r>
    </w:p>
    <w:p w14:paraId="5E8172DD" w14:textId="77777777" w:rsidR="00FA27F7" w:rsidRDefault="00000000">
      <w:pPr>
        <w:pStyle w:val="Textbody"/>
        <w:rPr>
          <w:rFonts w:hint="eastAsia"/>
        </w:rPr>
      </w:pPr>
      <w:r>
        <w:t>We are confident that our demonstrated capabilities and successful track record with organizations of similar scale and complexity make PRPL Media the ideal partner for this transformative national initiative.</w:t>
      </w:r>
    </w:p>
    <w:p w14:paraId="27207169" w14:textId="77777777" w:rsidR="00FA27F7" w:rsidRDefault="00000000">
      <w:pPr>
        <w:pStyle w:val="Heading1"/>
        <w:rPr>
          <w:rFonts w:hint="eastAsia"/>
        </w:rPr>
      </w:pPr>
      <w:bookmarkStart w:id="15" w:name="prpl-media-enterprise-software-randampd-"/>
      <w:bookmarkEnd w:id="15"/>
      <w:r>
        <w:rPr>
          <w:rStyle w:val="StrongEmphasis"/>
        </w:rPr>
        <w:t>PRPL Media: Enterprise Software R&amp;D Capabilities Summary</w:t>
      </w:r>
    </w:p>
    <w:p w14:paraId="22AB9CEB" w14:textId="77777777" w:rsidR="00FA27F7" w:rsidRDefault="00000000">
      <w:pPr>
        <w:pStyle w:val="Heading2"/>
        <w:rPr>
          <w:rFonts w:hint="eastAsia"/>
        </w:rPr>
      </w:pPr>
      <w:bookmarkStart w:id="16" w:name="about-prpl-media-1"/>
      <w:bookmarkEnd w:id="16"/>
      <w:r>
        <w:rPr>
          <w:rStyle w:val="StrongEmphasis"/>
        </w:rPr>
        <w:t>About PRPL Media</w:t>
      </w:r>
    </w:p>
    <w:p w14:paraId="2CAF99B2" w14:textId="77777777" w:rsidR="00FA27F7" w:rsidRDefault="00000000">
      <w:pPr>
        <w:pStyle w:val="Textbody"/>
        <w:rPr>
          <w:rFonts w:hint="eastAsia"/>
        </w:rPr>
      </w:pPr>
      <w:r>
        <w:t>PRPL Media stands at the intersection of innovation and execution in enterprise software development. We are a premier research and development firm that has consistently delivered mission-critical solutions for the world's most demanding organizations. Our journey has taken us from the boardrooms of Fortune 500 companies to the strategic planning sessions of national governments, building a reputation for tackling complex challenges with elegant, scalable solutions.</w:t>
      </w:r>
    </w:p>
    <w:p w14:paraId="67A80F96" w14:textId="77777777" w:rsidR="00FA27F7" w:rsidRDefault="00000000">
      <w:pPr>
        <w:pStyle w:val="Heading2"/>
        <w:rPr>
          <w:rFonts w:hint="eastAsia"/>
        </w:rPr>
      </w:pPr>
      <w:bookmarkStart w:id="17" w:name="a-legacy-of-cross-industry-excellence"/>
      <w:bookmarkEnd w:id="17"/>
      <w:r>
        <w:rPr>
          <w:rStyle w:val="StrongEmphasis"/>
        </w:rPr>
        <w:t>A Legacy of Cross-Industry Excellence</w:t>
      </w:r>
    </w:p>
    <w:p w14:paraId="356AEA19" w14:textId="77777777" w:rsidR="00FA27F7" w:rsidRDefault="00000000">
      <w:pPr>
        <w:pStyle w:val="Textbody"/>
        <w:rPr>
          <w:rFonts w:hint="eastAsia"/>
        </w:rPr>
      </w:pPr>
      <w:r>
        <w:t xml:space="preserve">Our portfolio tells a story of diverse </w:t>
      </w:r>
      <w:proofErr w:type="gramStart"/>
      <w:r>
        <w:t>challenge</w:t>
      </w:r>
      <w:proofErr w:type="gramEnd"/>
      <w:r>
        <w:t xml:space="preserve"> and consistent delivery. We've navigated the rigorous compliance landscape of </w:t>
      </w:r>
      <w:r>
        <w:rPr>
          <w:rStyle w:val="StrongEmphasis"/>
        </w:rPr>
        <w:t>financial services</w:t>
      </w:r>
      <w:r>
        <w:t xml:space="preserve"> with clients like American Express, Fidelity, and Wells Fargo, where we built systems that process billions in transactions while maintaining absolute security and reliability. This </w:t>
      </w:r>
      <w:proofErr w:type="gramStart"/>
      <w:r>
        <w:t>financial sector</w:t>
      </w:r>
      <w:proofErr w:type="gramEnd"/>
      <w:r>
        <w:t xml:space="preserve"> experience translates directly to government payment systems and citizen financial data protection.</w:t>
      </w:r>
    </w:p>
    <w:p w14:paraId="61A39D8B" w14:textId="77777777" w:rsidR="00FA27F7" w:rsidRDefault="00000000">
      <w:pPr>
        <w:pStyle w:val="Textbody"/>
        <w:rPr>
          <w:rFonts w:hint="eastAsia"/>
        </w:rPr>
      </w:pPr>
      <w:r>
        <w:t xml:space="preserve">In the </w:t>
      </w:r>
      <w:r>
        <w:rPr>
          <w:rStyle w:val="StrongEmphasis"/>
        </w:rPr>
        <w:t>healthcare domain</w:t>
      </w:r>
      <w:r>
        <w:t>, our work with Blue Cross Blue Shield taught us how to handle sensitive personal information while maintaining strict HIPAA compliance—a regulatory framework that shares many principles with government data protection requirements. Similarly, our engagement with the New York City Department of Health and Mental Hygiene demonstrated our ability to operate within complex public health infrastructures.</w:t>
      </w:r>
    </w:p>
    <w:p w14:paraId="5CDFBCE1" w14:textId="77777777" w:rsidR="00FA27F7" w:rsidRDefault="00000000">
      <w:pPr>
        <w:pStyle w:val="Textbody"/>
        <w:rPr>
          <w:rFonts w:hint="eastAsia"/>
        </w:rPr>
      </w:pPr>
      <w:r>
        <w:t xml:space="preserve">The </w:t>
      </w:r>
      <w:r>
        <w:rPr>
          <w:rStyle w:val="StrongEmphasis"/>
        </w:rPr>
        <w:t>technology sector</w:t>
      </w:r>
      <w:r>
        <w:t xml:space="preserve"> has been both our training ground and our proving field. Working with industry giants like Cisco, Google, and Microsoft has immersed us in internet-scale architecture patterns and cloud-native development practices. These relationships have kept us at the forefront of technological evolution while grounding us in practical, production-ready implementation strategies.</w:t>
      </w:r>
    </w:p>
    <w:p w14:paraId="0E5DE659" w14:textId="77777777" w:rsidR="00FA27F7" w:rsidRDefault="00000000">
      <w:pPr>
        <w:pStyle w:val="Heading2"/>
        <w:rPr>
          <w:rFonts w:hint="eastAsia"/>
        </w:rPr>
      </w:pPr>
      <w:bookmarkStart w:id="18" w:name="government-and-public-sector-proven"/>
      <w:bookmarkEnd w:id="18"/>
      <w:r>
        <w:rPr>
          <w:rStyle w:val="StrongEmphasis"/>
        </w:rPr>
        <w:lastRenderedPageBreak/>
        <w:t>Government and Public Sector Proven</w:t>
      </w:r>
    </w:p>
    <w:p w14:paraId="435A994E" w14:textId="77777777" w:rsidR="00FA27F7" w:rsidRDefault="00000000">
      <w:pPr>
        <w:pStyle w:val="Textbody"/>
        <w:rPr>
          <w:rFonts w:hint="eastAsia"/>
        </w:rPr>
      </w:pPr>
      <w:r>
        <w:t xml:space="preserve">Our government experience isn't theoretical—it's battle-tested. We've stood alongside the </w:t>
      </w:r>
      <w:r>
        <w:rPr>
          <w:rStyle w:val="StrongEmphasis"/>
        </w:rPr>
        <w:t>US Air Force</w:t>
      </w:r>
      <w:r>
        <w:t xml:space="preserve"> and defense contractors like </w:t>
      </w:r>
      <w:r>
        <w:rPr>
          <w:rStyle w:val="StrongEmphasis"/>
        </w:rPr>
        <w:t>Lockheed Martin</w:t>
      </w:r>
      <w:r>
        <w:t xml:space="preserve"> and </w:t>
      </w:r>
      <w:r>
        <w:rPr>
          <w:rStyle w:val="StrongEmphasis"/>
        </w:rPr>
        <w:t>General Dynamics</w:t>
      </w:r>
      <w:r>
        <w:t xml:space="preserve">, delivering solutions where security cannot be compromised and failure is not an option. This defense-grade mindset informs </w:t>
      </w:r>
      <w:proofErr w:type="gramStart"/>
      <w:r>
        <w:t>our</w:t>
      </w:r>
      <w:proofErr w:type="gramEnd"/>
      <w:r>
        <w:t xml:space="preserve"> entire approach to the CSMP project.</w:t>
      </w:r>
    </w:p>
    <w:p w14:paraId="05B82F4A" w14:textId="77777777" w:rsidR="00FA27F7" w:rsidRDefault="00000000">
      <w:pPr>
        <w:pStyle w:val="Textbody"/>
        <w:rPr>
          <w:rFonts w:hint="eastAsia"/>
        </w:rPr>
      </w:pPr>
      <w:r>
        <w:t xml:space="preserve">Internationally, we've collaborated with the </w:t>
      </w:r>
      <w:r>
        <w:rPr>
          <w:rStyle w:val="StrongEmphasis"/>
        </w:rPr>
        <w:t>nations of Chile, Peru, and the East African Federation</w:t>
      </w:r>
      <w:r>
        <w:t xml:space="preserve"> on their digital transformation journeys. These engagements have taught us how to balance technological ambition with cultural context and regulatory frameworks. Domestically, our work with the </w:t>
      </w:r>
      <w:r>
        <w:rPr>
          <w:rStyle w:val="StrongEmphasis"/>
        </w:rPr>
        <w:t>Commonwealth of Massachusetts</w:t>
      </w:r>
      <w:r>
        <w:t xml:space="preserve"> and </w:t>
      </w:r>
      <w:r>
        <w:rPr>
          <w:rStyle w:val="StrongEmphasis"/>
        </w:rPr>
        <w:t>Environmental Protection Agency</w:t>
      </w:r>
      <w:r>
        <w:t xml:space="preserve"> has shown us how to navigate the unique procurement and compliance requirements of public sector projects.</w:t>
      </w:r>
    </w:p>
    <w:p w14:paraId="05FAD738" w14:textId="77777777" w:rsidR="00FA27F7" w:rsidRDefault="00000000">
      <w:pPr>
        <w:pStyle w:val="Heading2"/>
        <w:rPr>
          <w:rFonts w:hint="eastAsia"/>
        </w:rPr>
      </w:pPr>
      <w:bookmarkStart w:id="19" w:name="technical-excellence-across-domains"/>
      <w:bookmarkEnd w:id="19"/>
      <w:r>
        <w:rPr>
          <w:rStyle w:val="StrongEmphasis"/>
        </w:rPr>
        <w:t>Technical Excellence Across Domains</w:t>
      </w:r>
    </w:p>
    <w:p w14:paraId="031F2EB4" w14:textId="77777777" w:rsidR="00FA27F7" w:rsidRDefault="00000000">
      <w:pPr>
        <w:pStyle w:val="Textbody"/>
        <w:rPr>
          <w:rFonts w:hint="eastAsia"/>
        </w:rPr>
      </w:pPr>
      <w:r>
        <w:t>While specific project details remain protected, the patterns of our success are clear and relevant to the CSMP initiative:</w:t>
      </w:r>
    </w:p>
    <w:p w14:paraId="5E4F5B13" w14:textId="77777777" w:rsidR="00FA27F7" w:rsidRDefault="00000000">
      <w:pPr>
        <w:pStyle w:val="Textbody"/>
        <w:rPr>
          <w:rFonts w:hint="eastAsia"/>
        </w:rPr>
      </w:pPr>
      <w:r>
        <w:rPr>
          <w:rStyle w:val="StrongEmphasis"/>
        </w:rPr>
        <w:t>In large-scale system architecture</w:t>
      </w:r>
      <w:r>
        <w:t>, we've designed and implemented cloud-native and hybrid deployment models that serve millions of users simultaneously. Our work with Amazon and Verizon required building systems that maintain performance under extreme load, while our ADP engagement demanded transaction processing with absolute accuracy.</w:t>
      </w:r>
    </w:p>
    <w:p w14:paraId="2565BDC6" w14:textId="77777777" w:rsidR="00FA27F7" w:rsidRDefault="00000000">
      <w:pPr>
        <w:pStyle w:val="Textbody"/>
        <w:rPr>
          <w:rFonts w:hint="eastAsia"/>
        </w:rPr>
      </w:pPr>
      <w:r>
        <w:rPr>
          <w:rStyle w:val="StrongEmphasis"/>
        </w:rPr>
        <w:t>Security and compliance</w:t>
      </w:r>
      <w:r>
        <w:t xml:space="preserve"> form the bedrock of our methodology. From military applications with the US Air Force to financial systems with American Express, we've implemented security controls that withstand both regulatory scrutiny and real-world attack vectors. This multi-layered security approach ensures that citizen data remains protected throughout its lifecycle.</w:t>
      </w:r>
    </w:p>
    <w:p w14:paraId="4B2E258D" w14:textId="77777777" w:rsidR="00FA27F7" w:rsidRDefault="00000000">
      <w:pPr>
        <w:pStyle w:val="Textbody"/>
        <w:rPr>
          <w:rFonts w:hint="eastAsia"/>
        </w:rPr>
      </w:pPr>
      <w:r>
        <w:rPr>
          <w:rStyle w:val="StrongEmphasis"/>
        </w:rPr>
        <w:t>Our AI and machine learning capabilities</w:t>
      </w:r>
      <w:r>
        <w:t xml:space="preserve"> have evolved through diverse applications—from natural language processing for media companies to predictive analytics in financial services. This broad exposure means we understand both the technical implementation and ethical considerations of AI in public-facing applications.</w:t>
      </w:r>
    </w:p>
    <w:p w14:paraId="44637D25" w14:textId="77777777" w:rsidR="00FA27F7" w:rsidRDefault="00000000">
      <w:pPr>
        <w:pStyle w:val="Textbody"/>
        <w:rPr>
          <w:rFonts w:hint="eastAsia"/>
        </w:rPr>
      </w:pPr>
      <w:r>
        <w:rPr>
          <w:rStyle w:val="StrongEmphasis"/>
        </w:rPr>
        <w:t>Digital transformation</w:t>
      </w:r>
      <w:r>
        <w:t xml:space="preserve"> is in our DNA. We've helped iconic brands like Disney and Coca-Cola reimagine their customer experiences while maintaining the reliability their customers expect. This balance of innovation and stability is precisely what government digital services require.</w:t>
      </w:r>
    </w:p>
    <w:p w14:paraId="37C4D600" w14:textId="77777777" w:rsidR="00FA27F7" w:rsidRDefault="00000000">
      <w:pPr>
        <w:pStyle w:val="Heading2"/>
        <w:rPr>
          <w:rFonts w:hint="eastAsia"/>
        </w:rPr>
      </w:pPr>
      <w:bookmarkStart w:id="20" w:name="why-prpl-media-for-trinidad-and-tobagoan"/>
      <w:bookmarkEnd w:id="20"/>
      <w:r>
        <w:rPr>
          <w:rStyle w:val="StrongEmphasis"/>
        </w:rPr>
        <w:t>Why PRPL Media for Trinidad and Tobago's CSMP</w:t>
      </w:r>
    </w:p>
    <w:p w14:paraId="15528483" w14:textId="77777777" w:rsidR="00FA27F7" w:rsidRDefault="00000000">
      <w:pPr>
        <w:pStyle w:val="Textbody"/>
        <w:rPr>
          <w:rFonts w:hint="eastAsia"/>
        </w:rPr>
      </w:pPr>
      <w:r>
        <w:t xml:space="preserve">The Citizen Service Management Platform represents exactly the type of challenge where our experience delivers disproportionate value. We understand that this isn't just another software </w:t>
      </w:r>
      <w:proofErr w:type="gramStart"/>
      <w:r>
        <w:t>project—</w:t>
      </w:r>
      <w:proofErr w:type="gramEnd"/>
      <w:r>
        <w:t>it's a fundamental piece of national infrastructure that will touch the lives of every citizen.</w:t>
      </w:r>
    </w:p>
    <w:p w14:paraId="19B24625" w14:textId="77777777" w:rsidR="00FA27F7" w:rsidRDefault="00000000">
      <w:pPr>
        <w:pStyle w:val="Textbody"/>
        <w:rPr>
          <w:rFonts w:hint="eastAsia"/>
        </w:rPr>
      </w:pPr>
      <w:r>
        <w:t xml:space="preserve">Our work with </w:t>
      </w:r>
      <w:r>
        <w:rPr>
          <w:rStyle w:val="StrongEmphasis"/>
        </w:rPr>
        <w:t>multiple national governments</w:t>
      </w:r>
      <w:r>
        <w:t xml:space="preserve"> has taught us that successful digital transformation requires more than technical excellence. It demands cultural awareness, stakeholder management, and a deep understanding of public service values. Meanwhile, our </w:t>
      </w:r>
      <w:r>
        <w:rPr>
          <w:rStyle w:val="StrongEmphasis"/>
        </w:rPr>
        <w:t>private sector experience</w:t>
      </w:r>
      <w:r>
        <w:t xml:space="preserve"> ensures we bring efficiency, innovation, and user-centered design to the project.</w:t>
      </w:r>
    </w:p>
    <w:p w14:paraId="6739C7E4" w14:textId="77777777" w:rsidR="00FA27F7" w:rsidRDefault="00000000">
      <w:pPr>
        <w:pStyle w:val="Textbody"/>
        <w:rPr>
          <w:rFonts w:hint="eastAsia"/>
        </w:rPr>
      </w:pPr>
      <w:r>
        <w:t xml:space="preserve">The </w:t>
      </w:r>
      <w:r>
        <w:rPr>
          <w:rStyle w:val="StrongEmphasis"/>
        </w:rPr>
        <w:t>scale of our previous deployments</w:t>
      </w:r>
      <w:r>
        <w:t xml:space="preserve"> with Amazon, Google, and Microsoft means we won't be learning how to handle national-scale traffic on Trinidad and Tobago's time. We've already built systems that serve larger populations with higher availability requirements.</w:t>
      </w:r>
    </w:p>
    <w:p w14:paraId="2EB6567D" w14:textId="77777777" w:rsidR="00FA27F7" w:rsidRDefault="00000000">
      <w:pPr>
        <w:pStyle w:val="Textbody"/>
        <w:rPr>
          <w:rFonts w:hint="eastAsia"/>
        </w:rPr>
      </w:pPr>
      <w:r>
        <w:lastRenderedPageBreak/>
        <w:t xml:space="preserve">Perhaps most importantly, our </w:t>
      </w:r>
      <w:r>
        <w:rPr>
          <w:rStyle w:val="StrongEmphasis"/>
        </w:rPr>
        <w:t>financial services background</w:t>
      </w:r>
      <w:r>
        <w:t xml:space="preserve"> with institutions like Wells Fargo and Fidelity </w:t>
      </w:r>
      <w:proofErr w:type="gramStart"/>
      <w:r>
        <w:t>ensures</w:t>
      </w:r>
      <w:proofErr w:type="gramEnd"/>
      <w:r>
        <w:t xml:space="preserve"> we bring appropriate rigor to security and compliance. Citizen data deserves the same protection as financial data, and our experience in both domains positions </w:t>
      </w:r>
      <w:proofErr w:type="gramStart"/>
      <w:r>
        <w:t>us</w:t>
      </w:r>
      <w:proofErr w:type="gramEnd"/>
      <w:r>
        <w:t xml:space="preserve"> </w:t>
      </w:r>
      <w:proofErr w:type="gramStart"/>
      <w:r>
        <w:t>uniquely</w:t>
      </w:r>
      <w:proofErr w:type="gramEnd"/>
      <w:r>
        <w:t xml:space="preserve"> to deliver this assurance.</w:t>
      </w:r>
    </w:p>
    <w:p w14:paraId="2420B907" w14:textId="77777777" w:rsidR="00FA27F7" w:rsidRDefault="00000000">
      <w:pPr>
        <w:pStyle w:val="Heading2"/>
        <w:rPr>
          <w:rFonts w:hint="eastAsia"/>
        </w:rPr>
      </w:pPr>
      <w:bookmarkStart w:id="21" w:name="our-commitment-to-sustainable-excellence"/>
      <w:bookmarkEnd w:id="21"/>
      <w:r>
        <w:rPr>
          <w:rStyle w:val="StrongEmphasis"/>
        </w:rPr>
        <w:t>Our Commitment to Sustainable Excellence</w:t>
      </w:r>
    </w:p>
    <w:p w14:paraId="1666FD30" w14:textId="77777777" w:rsidR="00FA27F7" w:rsidRDefault="00000000">
      <w:pPr>
        <w:pStyle w:val="Textbody"/>
        <w:rPr>
          <w:rFonts w:hint="eastAsia"/>
        </w:rPr>
      </w:pPr>
      <w:r>
        <w:t xml:space="preserve">We approach the CSMP project with humility and </w:t>
      </w:r>
      <w:proofErr w:type="gramStart"/>
      <w:r>
        <w:t>confidence—humility</w:t>
      </w:r>
      <w:proofErr w:type="gramEnd"/>
      <w:r>
        <w:t xml:space="preserve"> because we understand the importance of this platform to Trinidad and Tobago's future, </w:t>
      </w:r>
      <w:proofErr w:type="gramStart"/>
      <w:r>
        <w:t>and confidence</w:t>
      </w:r>
      <w:proofErr w:type="gramEnd"/>
      <w:r>
        <w:t xml:space="preserve"> because we've successfully delivered similar transformations for equally demanding clients.</w:t>
      </w:r>
    </w:p>
    <w:p w14:paraId="080BE465" w14:textId="77777777" w:rsidR="00FA27F7" w:rsidRDefault="00000000">
      <w:pPr>
        <w:pStyle w:val="Textbody"/>
        <w:rPr>
          <w:rFonts w:hint="eastAsia"/>
        </w:rPr>
      </w:pPr>
      <w:r>
        <w:t>Our methodology blends private-sector agility with public-sector diligence. We move quickly but never carelessly, innovate boldly but never recklessly. We understand that this platform must not only launch successfully but must serve the nation reliably for decades to come.</w:t>
      </w:r>
    </w:p>
    <w:p w14:paraId="4B45B4E2" w14:textId="77777777" w:rsidR="00FA27F7" w:rsidRDefault="00000000">
      <w:pPr>
        <w:pStyle w:val="Textbody"/>
        <w:rPr>
          <w:rFonts w:hint="eastAsia"/>
        </w:rPr>
      </w:pPr>
      <w:r>
        <w:t>The trust that organizations like the US Air Force, American Express, and multiple national governments have placed in us reflects our commitment to excellence. We would be honored to bring this same commitment to the Ministry of Public Administration and Artificial Intelligence and to the people of Trinidad and Tobago.</w:t>
      </w:r>
    </w:p>
    <w:sectPr w:rsidR="00FA27F7">
      <w:pgSz w:w="12240" w:h="15840"/>
      <w:pgMar w:top="567" w:right="567" w:bottom="567"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AFED44" w14:textId="77777777" w:rsidR="00524CD9" w:rsidRDefault="00524CD9">
      <w:pPr>
        <w:rPr>
          <w:rFonts w:hint="eastAsia"/>
        </w:rPr>
      </w:pPr>
      <w:r>
        <w:separator/>
      </w:r>
    </w:p>
  </w:endnote>
  <w:endnote w:type="continuationSeparator" w:id="0">
    <w:p w14:paraId="72B7ACF1" w14:textId="77777777" w:rsidR="00524CD9" w:rsidRDefault="00524CD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OpenSymbol">
    <w:altName w:val="Segoe UI Symbol"/>
    <w:charset w:val="02"/>
    <w:family w:val="auto"/>
    <w:pitch w:val="default"/>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A495C8" w14:textId="77777777" w:rsidR="00524CD9" w:rsidRDefault="00524CD9">
      <w:pPr>
        <w:rPr>
          <w:rFonts w:hint="eastAsia"/>
        </w:rPr>
      </w:pPr>
      <w:r>
        <w:rPr>
          <w:color w:val="000000"/>
        </w:rPr>
        <w:separator/>
      </w:r>
    </w:p>
  </w:footnote>
  <w:footnote w:type="continuationSeparator" w:id="0">
    <w:p w14:paraId="5089FB81" w14:textId="77777777" w:rsidR="00524CD9" w:rsidRDefault="00524CD9">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E4A79"/>
    <w:multiLevelType w:val="multilevel"/>
    <w:tmpl w:val="A866C1D2"/>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1" w15:restartNumberingAfterBreak="0">
    <w:nsid w:val="087D5F33"/>
    <w:multiLevelType w:val="multilevel"/>
    <w:tmpl w:val="BE7C1E5C"/>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2" w15:restartNumberingAfterBreak="0">
    <w:nsid w:val="0CA42794"/>
    <w:multiLevelType w:val="multilevel"/>
    <w:tmpl w:val="44A840DC"/>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3" w15:restartNumberingAfterBreak="0">
    <w:nsid w:val="2C741F42"/>
    <w:multiLevelType w:val="multilevel"/>
    <w:tmpl w:val="9872C32A"/>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4" w15:restartNumberingAfterBreak="0">
    <w:nsid w:val="2E9370C6"/>
    <w:multiLevelType w:val="multilevel"/>
    <w:tmpl w:val="66B47EB0"/>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5" w15:restartNumberingAfterBreak="0">
    <w:nsid w:val="35372F26"/>
    <w:multiLevelType w:val="multilevel"/>
    <w:tmpl w:val="DF7C1486"/>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6" w15:restartNumberingAfterBreak="0">
    <w:nsid w:val="412F627C"/>
    <w:multiLevelType w:val="multilevel"/>
    <w:tmpl w:val="E98C2E5E"/>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7" w15:restartNumberingAfterBreak="0">
    <w:nsid w:val="5B447D5C"/>
    <w:multiLevelType w:val="multilevel"/>
    <w:tmpl w:val="F05ED088"/>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8" w15:restartNumberingAfterBreak="0">
    <w:nsid w:val="67DE04F2"/>
    <w:multiLevelType w:val="multilevel"/>
    <w:tmpl w:val="DCF650B0"/>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9" w15:restartNumberingAfterBreak="0">
    <w:nsid w:val="6BDE7BD9"/>
    <w:multiLevelType w:val="multilevel"/>
    <w:tmpl w:val="31EECE18"/>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num w:numId="1" w16cid:durableId="1679581439">
    <w:abstractNumId w:val="3"/>
  </w:num>
  <w:num w:numId="2" w16cid:durableId="446656137">
    <w:abstractNumId w:val="0"/>
  </w:num>
  <w:num w:numId="3" w16cid:durableId="33585194">
    <w:abstractNumId w:val="1"/>
  </w:num>
  <w:num w:numId="4" w16cid:durableId="1174222142">
    <w:abstractNumId w:val="7"/>
  </w:num>
  <w:num w:numId="5" w16cid:durableId="1102991245">
    <w:abstractNumId w:val="4"/>
  </w:num>
  <w:num w:numId="6" w16cid:durableId="1714422501">
    <w:abstractNumId w:val="8"/>
  </w:num>
  <w:num w:numId="7" w16cid:durableId="1700812087">
    <w:abstractNumId w:val="5"/>
  </w:num>
  <w:num w:numId="8" w16cid:durableId="1404254166">
    <w:abstractNumId w:val="2"/>
  </w:num>
  <w:num w:numId="9" w16cid:durableId="123279032">
    <w:abstractNumId w:val="9"/>
  </w:num>
  <w:num w:numId="10" w16cid:durableId="3408194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FA27F7"/>
    <w:rsid w:val="003C5660"/>
    <w:rsid w:val="00524CD9"/>
    <w:rsid w:val="007A5758"/>
    <w:rsid w:val="00FA2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30FE1"/>
  <w15:docId w15:val="{BCD76961-ECD5-4B6B-B6A9-BE36D7A42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Ari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outlineLvl w:val="0"/>
    </w:pPr>
    <w:rPr>
      <w:rFonts w:ascii="Liberation Serif" w:eastAsia="NSimSun" w:hAnsi="Liberation Serif"/>
      <w:b/>
      <w:bCs/>
      <w:sz w:val="48"/>
      <w:szCs w:val="48"/>
    </w:rPr>
  </w:style>
  <w:style w:type="paragraph" w:styleId="Heading2">
    <w:name w:val="heading 2"/>
    <w:basedOn w:val="Heading"/>
    <w:next w:val="Textbody"/>
    <w:uiPriority w:val="9"/>
    <w:unhideWhenUsed/>
    <w:qFormat/>
    <w:pPr>
      <w:spacing w:before="200"/>
      <w:outlineLvl w:val="1"/>
    </w:pPr>
    <w:rPr>
      <w:rFonts w:ascii="Liberation Serif" w:eastAsia="NSimSun" w:hAnsi="Liberation Serif"/>
      <w:b/>
      <w:bCs/>
      <w:sz w:val="36"/>
      <w:szCs w:val="36"/>
    </w:rPr>
  </w:style>
  <w:style w:type="paragraph" w:styleId="Heading3">
    <w:name w:val="heading 3"/>
    <w:basedOn w:val="Heading"/>
    <w:next w:val="Textbody"/>
    <w:uiPriority w:val="9"/>
    <w:unhideWhenUsed/>
    <w:qFormat/>
    <w:pPr>
      <w:spacing w:before="140"/>
      <w:outlineLvl w:val="2"/>
    </w:pPr>
    <w:rPr>
      <w:rFonts w:ascii="Liberation Serif" w:eastAsia="NSimSun"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StrongEmphasis">
    <w:name w:val="Strong Emphasis"/>
    <w:rPr>
      <w:b/>
      <w:bCs/>
    </w:r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1674</Words>
  <Characters>9548</Characters>
  <Application>Microsoft Office Word</Application>
  <DocSecurity>0</DocSecurity>
  <Lines>79</Lines>
  <Paragraphs>22</Paragraphs>
  <ScaleCrop>false</ScaleCrop>
  <Company/>
  <LinksUpToDate>false</LinksUpToDate>
  <CharactersWithSpaces>11200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Capabilities Summary</dc:title>
  <dc:creator>Buyer</dc:creator>
  <cp:lastModifiedBy>Brian Emory Stitt</cp:lastModifiedBy>
  <cp:revision>2</cp:revision>
  <dcterms:created xsi:type="dcterms:W3CDTF">2025-10-14T10:38:00Z</dcterms:created>
  <dcterms:modified xsi:type="dcterms:W3CDTF">2025-10-14T10:38:00Z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vt:lpwstr>
  </property>
</Properties>
</file>