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8451E" w14:textId="77777777" w:rsidR="00AD6685" w:rsidRDefault="00000000">
      <w:pPr>
        <w:pStyle w:val="Heading2"/>
        <w:rPr>
          <w:rFonts w:hint="eastAsia"/>
        </w:rPr>
      </w:pPr>
      <w:bookmarkStart w:id="0" w:name="commercial-proposal-foss-based-ai-enable"/>
      <w:bookmarkEnd w:id="0"/>
      <w:r>
        <w:rPr>
          <w:rStyle w:val="StrongEmphasis"/>
        </w:rPr>
        <w:t>Commercial Proposal: FOSS-Based AI-Enabled CSMP</w:t>
      </w:r>
    </w:p>
    <w:p w14:paraId="5A6061CB" w14:textId="77777777" w:rsidR="00AD6685" w:rsidRDefault="00000000">
      <w:pPr>
        <w:pStyle w:val="Textbody"/>
        <w:rPr>
          <w:rFonts w:hint="eastAsia"/>
        </w:rPr>
      </w:pPr>
      <w:r>
        <w:rPr>
          <w:rStyle w:val="StrongEmphasis"/>
        </w:rPr>
        <w:t>Cost Structure Assumptions:</w:t>
      </w:r>
    </w:p>
    <w:p w14:paraId="3E94970A" w14:textId="77777777" w:rsidR="00AD6685" w:rsidRDefault="00000000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rPr>
          <w:rStyle w:val="StrongEmphasis"/>
        </w:rPr>
        <w:t>Currency:</w:t>
      </w:r>
      <w:r>
        <w:t xml:space="preserve"> All figures are in </w:t>
      </w:r>
      <w:r>
        <w:rPr>
          <w:rStyle w:val="StrongEmphasis"/>
        </w:rPr>
        <w:t>United States Dollars (USD)</w:t>
      </w:r>
      <w:r>
        <w:t xml:space="preserve"> for international benchmarking. Final contracts can be denominated in TTD.</w:t>
      </w:r>
    </w:p>
    <w:p w14:paraId="657342DB" w14:textId="77777777" w:rsidR="00AD6685" w:rsidRDefault="00000000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rPr>
          <w:rStyle w:val="StrongEmphasis"/>
        </w:rPr>
        <w:t>Pricing Model:</w:t>
      </w:r>
      <w:r>
        <w:t xml:space="preserve"> </w:t>
      </w:r>
      <w:r>
        <w:rPr>
          <w:rStyle w:val="StrongEmphasis"/>
        </w:rPr>
        <w:t>Time &amp; Materials (T&amp;M) with a Not-to-Exceed (NTE) Cap</w:t>
      </w:r>
      <w:r>
        <w:t xml:space="preserve"> for the MVP phase. This provides flexibility for agile development while ensuring budget predictability for MPAAI.</w:t>
      </w:r>
    </w:p>
    <w:p w14:paraId="11D8BECD" w14:textId="77777777" w:rsidR="00AD6685" w:rsidRDefault="00000000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rPr>
          <w:rStyle w:val="StrongEmphasis"/>
        </w:rPr>
        <w:t>Team Rates:</w:t>
      </w:r>
      <w:r>
        <w:t xml:space="preserve"> Based on a blended offshore/onshore model, with senior resources commanding higher rates. Rates are competitive for high-quality FOSS engineering.</w:t>
      </w:r>
    </w:p>
    <w:p w14:paraId="431C7FE3" w14:textId="77777777" w:rsidR="00AD6685" w:rsidRDefault="00000000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</w:rPr>
        <w:t>Infrastructure:</w:t>
      </w:r>
      <w:r>
        <w:t xml:space="preserve"> Estimates are for a cloud-hosted environment (e.g., AWS, compatible with the Caribbean region). On-premises infrastructure would involve significant capital expenditure (</w:t>
      </w:r>
      <w:proofErr w:type="spellStart"/>
      <w:r>
        <w:t>CapEx</w:t>
      </w:r>
      <w:proofErr w:type="spellEnd"/>
      <w:r>
        <w:t>) not reflected here.</w:t>
      </w:r>
    </w:p>
    <w:p w14:paraId="3762F0E5" w14:textId="77777777" w:rsidR="00AD6685" w:rsidRDefault="00AD6685">
      <w:pPr>
        <w:pStyle w:val="HorizontalLine"/>
        <w:rPr>
          <w:rFonts w:hint="eastAsia"/>
        </w:rPr>
      </w:pPr>
    </w:p>
    <w:p w14:paraId="69C05B54" w14:textId="77777777" w:rsidR="00AD6685" w:rsidRDefault="00000000">
      <w:pPr>
        <w:pStyle w:val="Heading3"/>
        <w:rPr>
          <w:rFonts w:hint="eastAsia"/>
        </w:rPr>
      </w:pPr>
      <w:bookmarkStart w:id="1" w:name="1-cost-estimation-minimum-viable-product"/>
      <w:bookmarkEnd w:id="1"/>
      <w:r>
        <w:rPr>
          <w:rStyle w:val="StrongEmphasis"/>
        </w:rPr>
        <w:t>1. Cost Estimation: Minimum Viable Product (MVP)</w:t>
      </w:r>
    </w:p>
    <w:p w14:paraId="137C9310" w14:textId="77777777" w:rsidR="00AD6685" w:rsidRDefault="00000000">
      <w:pPr>
        <w:pStyle w:val="Heading4"/>
        <w:rPr>
          <w:rFonts w:hint="eastAsia"/>
        </w:rPr>
      </w:pPr>
      <w:bookmarkStart w:id="2" w:name="11-implementation-services-32-weeks"/>
      <w:bookmarkEnd w:id="2"/>
      <w:r>
        <w:rPr>
          <w:rStyle w:val="StrongEmphasis"/>
        </w:rPr>
        <w:t>1.1 Implementation Services (32 Weeks)</w:t>
      </w:r>
    </w:p>
    <w:p w14:paraId="2D2295B8" w14:textId="77777777" w:rsidR="00AD6685" w:rsidRDefault="00000000">
      <w:pPr>
        <w:pStyle w:val="Textbody"/>
        <w:rPr>
          <w:rFonts w:hint="eastAsia"/>
        </w:rPr>
      </w:pPr>
      <w:r>
        <w:t>This covers the entire human capital cost for designing, developing, testing, and deploying the MVP.</w:t>
      </w:r>
    </w:p>
    <w:tbl>
      <w:tblPr>
        <w:tblW w:w="105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0"/>
        <w:gridCol w:w="1608"/>
        <w:gridCol w:w="1996"/>
        <w:gridCol w:w="2328"/>
        <w:gridCol w:w="1707"/>
      </w:tblGrid>
      <w:tr w:rsidR="00AD6685" w14:paraId="3C0E5BA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D68392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Role</w:t>
            </w:r>
          </w:p>
        </w:tc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8235B5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Commitment</w:t>
            </w:r>
          </w:p>
        </w:tc>
        <w:tc>
          <w:tcPr>
            <w:tcW w:w="1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53270A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Estimated Man-Days</w:t>
            </w:r>
          </w:p>
        </w:tc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0D6CA5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Blended Daily Rate (USD)</w:t>
            </w:r>
          </w:p>
        </w:tc>
        <w:tc>
          <w:tcPr>
            <w:tcW w:w="17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0DD0C1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Total Cost (USD)</w:t>
            </w:r>
          </w:p>
        </w:tc>
      </w:tr>
      <w:tr w:rsidR="00AD6685" w14:paraId="50FF98C2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DEB97D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Project Manager</w:t>
            </w:r>
          </w:p>
        </w:tc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7E9D25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Full-time</w:t>
            </w:r>
          </w:p>
        </w:tc>
        <w:tc>
          <w:tcPr>
            <w:tcW w:w="1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5F58C6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128</w:t>
            </w:r>
          </w:p>
        </w:tc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DD96F1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$650</w:t>
            </w:r>
          </w:p>
        </w:tc>
        <w:tc>
          <w:tcPr>
            <w:tcW w:w="17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F494DC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$83,200</w:t>
            </w:r>
          </w:p>
        </w:tc>
      </w:tr>
      <w:tr w:rsidR="00AD6685" w14:paraId="2F506EAC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942656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Solution Architect</w:t>
            </w:r>
          </w:p>
        </w:tc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8FA59B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Full-time</w:t>
            </w:r>
          </w:p>
        </w:tc>
        <w:tc>
          <w:tcPr>
            <w:tcW w:w="1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D10898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128</w:t>
            </w:r>
          </w:p>
        </w:tc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438E88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$800</w:t>
            </w:r>
          </w:p>
        </w:tc>
        <w:tc>
          <w:tcPr>
            <w:tcW w:w="17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BFACAF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$102,400</w:t>
            </w:r>
          </w:p>
        </w:tc>
      </w:tr>
      <w:tr w:rsidR="00AD6685" w14:paraId="46881C23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B28B32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Django Backend Developer (x2)</w:t>
            </w:r>
          </w:p>
        </w:tc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92E307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Full-time</w:t>
            </w:r>
          </w:p>
        </w:tc>
        <w:tc>
          <w:tcPr>
            <w:tcW w:w="1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1C6E3D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256</w:t>
            </w:r>
          </w:p>
        </w:tc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BE0D2D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$600</w:t>
            </w:r>
          </w:p>
        </w:tc>
        <w:tc>
          <w:tcPr>
            <w:tcW w:w="17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0C4A37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$153,600</w:t>
            </w:r>
          </w:p>
        </w:tc>
      </w:tr>
      <w:tr w:rsidR="00AD6685" w14:paraId="629B24B2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AC43BA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React/React Native Developer (x2)</w:t>
            </w:r>
          </w:p>
        </w:tc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AF2EAE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Full-time</w:t>
            </w:r>
          </w:p>
        </w:tc>
        <w:tc>
          <w:tcPr>
            <w:tcW w:w="1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9EA9A5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256</w:t>
            </w:r>
          </w:p>
        </w:tc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DEF004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$550</w:t>
            </w:r>
          </w:p>
        </w:tc>
        <w:tc>
          <w:tcPr>
            <w:tcW w:w="17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AA9176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$140,800</w:t>
            </w:r>
          </w:p>
        </w:tc>
      </w:tr>
      <w:tr w:rsidR="00AD6685" w14:paraId="6ED99443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DBAFC8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UI/UX Designer</w:t>
            </w:r>
          </w:p>
        </w:tc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F373CF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Part-time (50%)</w:t>
            </w:r>
          </w:p>
        </w:tc>
        <w:tc>
          <w:tcPr>
            <w:tcW w:w="1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AE9242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64</w:t>
            </w:r>
          </w:p>
        </w:tc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2DC172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$550</w:t>
            </w:r>
          </w:p>
        </w:tc>
        <w:tc>
          <w:tcPr>
            <w:tcW w:w="17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631997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$35,200</w:t>
            </w:r>
          </w:p>
        </w:tc>
      </w:tr>
      <w:tr w:rsidR="00AD6685" w14:paraId="7A6C2533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19C973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DevOps Engineer</w:t>
            </w:r>
          </w:p>
        </w:tc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520509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Part-time (50%)</w:t>
            </w:r>
          </w:p>
        </w:tc>
        <w:tc>
          <w:tcPr>
            <w:tcW w:w="1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981652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64</w:t>
            </w:r>
          </w:p>
        </w:tc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9CF892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$700</w:t>
            </w:r>
          </w:p>
        </w:tc>
        <w:tc>
          <w:tcPr>
            <w:tcW w:w="17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F8B607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$44,800</w:t>
            </w:r>
          </w:p>
        </w:tc>
      </w:tr>
      <w:tr w:rsidR="00AD6685" w14:paraId="585CB956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DBFCA1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AI/ML Engineer</w:t>
            </w:r>
          </w:p>
        </w:tc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7783EF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Part-time (50%)</w:t>
            </w:r>
          </w:p>
        </w:tc>
        <w:tc>
          <w:tcPr>
            <w:tcW w:w="1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0D1A53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64</w:t>
            </w:r>
          </w:p>
        </w:tc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B7CC53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$750</w:t>
            </w:r>
          </w:p>
        </w:tc>
        <w:tc>
          <w:tcPr>
            <w:tcW w:w="17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2674D4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$48,000</w:t>
            </w:r>
          </w:p>
        </w:tc>
      </w:tr>
      <w:tr w:rsidR="00AD6685" w14:paraId="62484C6C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3F0DA7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QA/Test Engineer</w:t>
            </w:r>
          </w:p>
        </w:tc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FBB1B6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Full-time</w:t>
            </w:r>
          </w:p>
        </w:tc>
        <w:tc>
          <w:tcPr>
            <w:tcW w:w="1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DD5847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128</w:t>
            </w:r>
          </w:p>
        </w:tc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90685F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$500</w:t>
            </w:r>
          </w:p>
        </w:tc>
        <w:tc>
          <w:tcPr>
            <w:tcW w:w="17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00D06A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$64,000</w:t>
            </w:r>
          </w:p>
        </w:tc>
      </w:tr>
      <w:tr w:rsidR="00AD6685" w14:paraId="17AF0564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A8A3E1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Subtotal (Labor)</w:t>
            </w:r>
          </w:p>
        </w:tc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A39DA6" w14:textId="77777777" w:rsidR="00AD6685" w:rsidRDefault="00AD6685">
            <w:pPr>
              <w:pStyle w:val="TableContents"/>
              <w:rPr>
                <w:rFonts w:hint="eastAsia"/>
                <w:sz w:val="4"/>
                <w:szCs w:val="4"/>
              </w:rPr>
            </w:pPr>
          </w:p>
        </w:tc>
        <w:tc>
          <w:tcPr>
            <w:tcW w:w="1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3918A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~1,088 days</w:t>
            </w:r>
          </w:p>
        </w:tc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5349BC" w14:textId="77777777" w:rsidR="00AD6685" w:rsidRDefault="00AD6685">
            <w:pPr>
              <w:pStyle w:val="TableContents"/>
              <w:rPr>
                <w:rFonts w:hint="eastAsia"/>
                <w:sz w:val="4"/>
                <w:szCs w:val="4"/>
              </w:rPr>
            </w:pPr>
          </w:p>
        </w:tc>
        <w:tc>
          <w:tcPr>
            <w:tcW w:w="17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40594F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$672,000</w:t>
            </w:r>
          </w:p>
        </w:tc>
      </w:tr>
    </w:tbl>
    <w:p w14:paraId="306E9111" w14:textId="77777777" w:rsidR="00000000" w:rsidRDefault="00000000">
      <w:pPr>
        <w:rPr>
          <w:rFonts w:hint="eastAsia"/>
          <w:vanish/>
        </w:rPr>
      </w:pPr>
    </w:p>
    <w:tbl>
      <w:tblPr>
        <w:tblW w:w="105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7"/>
        <w:gridCol w:w="5851"/>
        <w:gridCol w:w="1291"/>
      </w:tblGrid>
      <w:tr w:rsidR="00AD6685" w14:paraId="0F74E7F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3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BFF472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rPr>
                <w:rStyle w:val="StrongEmphasis"/>
              </w:rPr>
              <w:t>Other Cost Factors</w:t>
            </w:r>
          </w:p>
        </w:tc>
        <w:tc>
          <w:tcPr>
            <w:tcW w:w="5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1186E5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12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70ABA0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Cost (USD)</w:t>
            </w:r>
          </w:p>
        </w:tc>
      </w:tr>
      <w:tr w:rsidR="00AD6685" w14:paraId="0094601D" w14:textId="77777777">
        <w:tblPrEx>
          <w:tblCellMar>
            <w:top w:w="0" w:type="dxa"/>
            <w:bottom w:w="0" w:type="dxa"/>
          </w:tblCellMar>
        </w:tblPrEx>
        <w:tc>
          <w:tcPr>
            <w:tcW w:w="33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F3326B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Project Management &amp; Overhead</w:t>
            </w:r>
          </w:p>
        </w:tc>
        <w:tc>
          <w:tcPr>
            <w:tcW w:w="5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E1DDE2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(15% of Labor) Tools, administration, reporting.</w:t>
            </w:r>
          </w:p>
        </w:tc>
        <w:tc>
          <w:tcPr>
            <w:tcW w:w="12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09E49D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$100,800</w:t>
            </w:r>
          </w:p>
        </w:tc>
      </w:tr>
      <w:tr w:rsidR="00AD6685" w14:paraId="38D6D1B2" w14:textId="77777777">
        <w:tblPrEx>
          <w:tblCellMar>
            <w:top w:w="0" w:type="dxa"/>
            <w:bottom w:w="0" w:type="dxa"/>
          </w:tblCellMar>
        </w:tblPrEx>
        <w:tc>
          <w:tcPr>
            <w:tcW w:w="33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37DC6D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Contingency</w:t>
            </w:r>
          </w:p>
        </w:tc>
        <w:tc>
          <w:tcPr>
            <w:tcW w:w="5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101BAA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(10% of Labor) For scope refinement and unforeseen challenges.</w:t>
            </w:r>
          </w:p>
        </w:tc>
        <w:tc>
          <w:tcPr>
            <w:tcW w:w="12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021470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$67,200</w:t>
            </w:r>
          </w:p>
        </w:tc>
      </w:tr>
      <w:tr w:rsidR="00AD6685" w14:paraId="083CF356" w14:textId="77777777">
        <w:tblPrEx>
          <w:tblCellMar>
            <w:top w:w="0" w:type="dxa"/>
            <w:bottom w:w="0" w:type="dxa"/>
          </w:tblCellMar>
        </w:tblPrEx>
        <w:tc>
          <w:tcPr>
            <w:tcW w:w="33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377EAB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Third-Party Penetration Test</w:t>
            </w:r>
          </w:p>
        </w:tc>
        <w:tc>
          <w:tcPr>
            <w:tcW w:w="5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33A45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Independent security audit prior to go-live.</w:t>
            </w:r>
          </w:p>
        </w:tc>
        <w:tc>
          <w:tcPr>
            <w:tcW w:w="12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DF1BDF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$25,000</w:t>
            </w:r>
          </w:p>
        </w:tc>
      </w:tr>
      <w:tr w:rsidR="00AD6685" w14:paraId="2940E8F1" w14:textId="77777777">
        <w:tblPrEx>
          <w:tblCellMar>
            <w:top w:w="0" w:type="dxa"/>
            <w:bottom w:w="0" w:type="dxa"/>
          </w:tblCellMar>
        </w:tblPrEx>
        <w:tc>
          <w:tcPr>
            <w:tcW w:w="33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4FE9D2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Travel &amp; Expenses (T&amp;E)</w:t>
            </w:r>
          </w:p>
        </w:tc>
        <w:tc>
          <w:tcPr>
            <w:tcW w:w="5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C9E8A2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For key workshops, UAT, and go-live support (2-3 trips).</w:t>
            </w:r>
          </w:p>
        </w:tc>
        <w:tc>
          <w:tcPr>
            <w:tcW w:w="12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EE47B0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$30,000</w:t>
            </w:r>
          </w:p>
        </w:tc>
      </w:tr>
      <w:tr w:rsidR="00AD6685" w14:paraId="7D4B4CA4" w14:textId="77777777">
        <w:tblPrEx>
          <w:tblCellMar>
            <w:top w:w="0" w:type="dxa"/>
            <w:bottom w:w="0" w:type="dxa"/>
          </w:tblCellMar>
        </w:tblPrEx>
        <w:tc>
          <w:tcPr>
            <w:tcW w:w="33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353803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Subtotal (Other Costs)</w:t>
            </w:r>
          </w:p>
        </w:tc>
        <w:tc>
          <w:tcPr>
            <w:tcW w:w="5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B28DBE" w14:textId="77777777" w:rsidR="00AD6685" w:rsidRDefault="00AD6685">
            <w:pPr>
              <w:pStyle w:val="TableContents"/>
              <w:rPr>
                <w:rFonts w:hint="eastAsia"/>
                <w:sz w:val="4"/>
                <w:szCs w:val="4"/>
              </w:rPr>
            </w:pPr>
          </w:p>
        </w:tc>
        <w:tc>
          <w:tcPr>
            <w:tcW w:w="12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F46820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$223,000</w:t>
            </w:r>
          </w:p>
        </w:tc>
      </w:tr>
    </w:tbl>
    <w:p w14:paraId="4CC8388C" w14:textId="77777777" w:rsidR="00AD6685" w:rsidRDefault="00000000">
      <w:pPr>
        <w:pStyle w:val="Heading4"/>
        <w:rPr>
          <w:rFonts w:hint="eastAsia"/>
        </w:rPr>
      </w:pPr>
      <w:bookmarkStart w:id="3" w:name="12-annual-infrastructure-andamp-software"/>
      <w:bookmarkEnd w:id="3"/>
      <w:r>
        <w:rPr>
          <w:rStyle w:val="StrongEmphasis"/>
        </w:rPr>
        <w:t>1.2 Annual Infrastructure &amp; Software (Year 1)</w:t>
      </w:r>
    </w:p>
    <w:p w14:paraId="382E2E33" w14:textId="77777777" w:rsidR="00AD6685" w:rsidRDefault="00000000">
      <w:pPr>
        <w:pStyle w:val="Textbody"/>
        <w:rPr>
          <w:rFonts w:hint="eastAsia"/>
        </w:rPr>
      </w:pPr>
      <w:r>
        <w:t>While the software is FOSS, the cloud infrastructure and managed services have costs.</w:t>
      </w:r>
    </w:p>
    <w:tbl>
      <w:tblPr>
        <w:tblW w:w="105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3"/>
        <w:gridCol w:w="3910"/>
        <w:gridCol w:w="2117"/>
        <w:gridCol w:w="2109"/>
      </w:tblGrid>
      <w:tr w:rsidR="00AD6685" w14:paraId="459604E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AF1E1C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lastRenderedPageBreak/>
              <w:t>Component</w:t>
            </w:r>
          </w:p>
        </w:tc>
        <w:tc>
          <w:tcPr>
            <w:tcW w:w="391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23123A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Specification</w:t>
            </w:r>
          </w:p>
        </w:tc>
        <w:tc>
          <w:tcPr>
            <w:tcW w:w="21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7F3726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Estimated Monthly Cost (USD)</w:t>
            </w:r>
          </w:p>
        </w:tc>
        <w:tc>
          <w:tcPr>
            <w:tcW w:w="21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73A537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Estimated Annual Cost (USD)</w:t>
            </w:r>
          </w:p>
        </w:tc>
      </w:tr>
      <w:tr w:rsidR="00AD6685" w14:paraId="13B2C049" w14:textId="77777777">
        <w:tblPrEx>
          <w:tblCellMar>
            <w:top w:w="0" w:type="dxa"/>
            <w:bottom w:w="0" w:type="dxa"/>
          </w:tblCellMar>
        </w:tblPrEx>
        <w:tc>
          <w:tcPr>
            <w:tcW w:w="2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47B8B0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Compute (Kubernetes Cluster)</w:t>
            </w:r>
          </w:p>
        </w:tc>
        <w:tc>
          <w:tcPr>
            <w:tcW w:w="391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850172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6-8 vCPUs, 16-32GB RAM (Production + Staging)</w:t>
            </w:r>
          </w:p>
        </w:tc>
        <w:tc>
          <w:tcPr>
            <w:tcW w:w="21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52D28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$600</w:t>
            </w:r>
          </w:p>
        </w:tc>
        <w:tc>
          <w:tcPr>
            <w:tcW w:w="21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F240F5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$7,200</w:t>
            </w:r>
          </w:p>
        </w:tc>
      </w:tr>
      <w:tr w:rsidR="00AD6685" w14:paraId="35CE2AA7" w14:textId="77777777">
        <w:tblPrEx>
          <w:tblCellMar>
            <w:top w:w="0" w:type="dxa"/>
            <w:bottom w:w="0" w:type="dxa"/>
          </w:tblCellMar>
        </w:tblPrEx>
        <w:tc>
          <w:tcPr>
            <w:tcW w:w="2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877CB9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Database (PostgreSQL)</w:t>
            </w:r>
          </w:p>
        </w:tc>
        <w:tc>
          <w:tcPr>
            <w:tcW w:w="391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C894A2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Managed instance (e.g., AWS RDS), High Availability, 500GB storage</w:t>
            </w:r>
          </w:p>
        </w:tc>
        <w:tc>
          <w:tcPr>
            <w:tcW w:w="21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FAD302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$450</w:t>
            </w:r>
          </w:p>
        </w:tc>
        <w:tc>
          <w:tcPr>
            <w:tcW w:w="21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7DCA7F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$5,400</w:t>
            </w:r>
          </w:p>
        </w:tc>
      </w:tr>
      <w:tr w:rsidR="00AD6685" w14:paraId="3E242526" w14:textId="77777777">
        <w:tblPrEx>
          <w:tblCellMar>
            <w:top w:w="0" w:type="dxa"/>
            <w:bottom w:w="0" w:type="dxa"/>
          </w:tblCellMar>
        </w:tblPrEx>
        <w:tc>
          <w:tcPr>
            <w:tcW w:w="2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470B34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Object Storage (</w:t>
            </w:r>
            <w:proofErr w:type="spellStart"/>
            <w:r>
              <w:rPr>
                <w:rStyle w:val="StrongEmphasis"/>
              </w:rPr>
              <w:t>MinIO</w:t>
            </w:r>
            <w:proofErr w:type="spellEnd"/>
            <w:r>
              <w:rPr>
                <w:rStyle w:val="StrongEmphasis"/>
              </w:rPr>
              <w:t>/S3)</w:t>
            </w:r>
          </w:p>
        </w:tc>
        <w:tc>
          <w:tcPr>
            <w:tcW w:w="391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85AF1E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2 TB for documents, images, backups</w:t>
            </w:r>
          </w:p>
        </w:tc>
        <w:tc>
          <w:tcPr>
            <w:tcW w:w="21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9BFAF2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$100</w:t>
            </w:r>
          </w:p>
        </w:tc>
        <w:tc>
          <w:tcPr>
            <w:tcW w:w="21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F70914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$1,200</w:t>
            </w:r>
          </w:p>
        </w:tc>
      </w:tr>
      <w:tr w:rsidR="00AD6685" w14:paraId="51CE3935" w14:textId="77777777">
        <w:tblPrEx>
          <w:tblCellMar>
            <w:top w:w="0" w:type="dxa"/>
            <w:bottom w:w="0" w:type="dxa"/>
          </w:tblCellMar>
        </w:tblPrEx>
        <w:tc>
          <w:tcPr>
            <w:tcW w:w="2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B1F754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CDN &amp; WAF</w:t>
            </w:r>
          </w:p>
        </w:tc>
        <w:tc>
          <w:tcPr>
            <w:tcW w:w="391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6A00CC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Content Delivery &amp; Web Application Firewall (e.g., CloudFront)</w:t>
            </w:r>
          </w:p>
        </w:tc>
        <w:tc>
          <w:tcPr>
            <w:tcW w:w="21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AD5D31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$150</w:t>
            </w:r>
          </w:p>
        </w:tc>
        <w:tc>
          <w:tcPr>
            <w:tcW w:w="21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DCD46E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$1,800</w:t>
            </w:r>
          </w:p>
        </w:tc>
      </w:tr>
      <w:tr w:rsidR="00AD6685" w14:paraId="1076C746" w14:textId="77777777">
        <w:tblPrEx>
          <w:tblCellMar>
            <w:top w:w="0" w:type="dxa"/>
            <w:bottom w:w="0" w:type="dxa"/>
          </w:tblCellMar>
        </w:tblPrEx>
        <w:tc>
          <w:tcPr>
            <w:tcW w:w="2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757766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Monitoring &amp; Logging</w:t>
            </w:r>
          </w:p>
        </w:tc>
        <w:tc>
          <w:tcPr>
            <w:tcW w:w="391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727965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Prometheus, Grafana, Loki/ELK Stack</w:t>
            </w:r>
          </w:p>
        </w:tc>
        <w:tc>
          <w:tcPr>
            <w:tcW w:w="21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A7DC8D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$200</w:t>
            </w:r>
          </w:p>
        </w:tc>
        <w:tc>
          <w:tcPr>
            <w:tcW w:w="21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C4E44B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$2,400</w:t>
            </w:r>
          </w:p>
        </w:tc>
      </w:tr>
      <w:tr w:rsidR="00AD6685" w14:paraId="202092D6" w14:textId="77777777">
        <w:tblPrEx>
          <w:tblCellMar>
            <w:top w:w="0" w:type="dxa"/>
            <w:bottom w:w="0" w:type="dxa"/>
          </w:tblCellMar>
        </w:tblPrEx>
        <w:tc>
          <w:tcPr>
            <w:tcW w:w="2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C77A7C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Backup &amp; Disaster Recovery</w:t>
            </w:r>
          </w:p>
        </w:tc>
        <w:tc>
          <w:tcPr>
            <w:tcW w:w="391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B2A768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Automated snapshots and off-site backups</w:t>
            </w:r>
          </w:p>
        </w:tc>
        <w:tc>
          <w:tcPr>
            <w:tcW w:w="21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CD421C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$100</w:t>
            </w:r>
          </w:p>
        </w:tc>
        <w:tc>
          <w:tcPr>
            <w:tcW w:w="21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6DF36F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$1,200</w:t>
            </w:r>
          </w:p>
        </w:tc>
      </w:tr>
      <w:tr w:rsidR="00AD6685" w14:paraId="11E8E83C" w14:textId="77777777">
        <w:tblPrEx>
          <w:tblCellMar>
            <w:top w:w="0" w:type="dxa"/>
            <w:bottom w:w="0" w:type="dxa"/>
          </w:tblCellMar>
        </w:tblPrEx>
        <w:tc>
          <w:tcPr>
            <w:tcW w:w="2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ADE759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Domain &amp; SSL Certificates</w:t>
            </w:r>
          </w:p>
        </w:tc>
        <w:tc>
          <w:tcPr>
            <w:tcW w:w="391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90FF5F" w14:textId="77777777" w:rsidR="00AD6685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.gov.tt</w:t>
            </w:r>
            <w:proofErr w:type="gramEnd"/>
            <w:r>
              <w:t xml:space="preserve"> domain, wildcard SSL</w:t>
            </w:r>
          </w:p>
        </w:tc>
        <w:tc>
          <w:tcPr>
            <w:tcW w:w="21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A1C8A4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$50</w:t>
            </w:r>
          </w:p>
        </w:tc>
        <w:tc>
          <w:tcPr>
            <w:tcW w:w="21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9AE8FC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$600</w:t>
            </w:r>
          </w:p>
        </w:tc>
      </w:tr>
      <w:tr w:rsidR="00AD6685" w14:paraId="45E4F41A" w14:textId="77777777">
        <w:tblPrEx>
          <w:tblCellMar>
            <w:top w:w="0" w:type="dxa"/>
            <w:bottom w:w="0" w:type="dxa"/>
          </w:tblCellMar>
        </w:tblPrEx>
        <w:tc>
          <w:tcPr>
            <w:tcW w:w="2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2213B9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Subtotal (Infrastructure)</w:t>
            </w:r>
          </w:p>
        </w:tc>
        <w:tc>
          <w:tcPr>
            <w:tcW w:w="391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5B7673" w14:textId="77777777" w:rsidR="00AD6685" w:rsidRDefault="00AD6685">
            <w:pPr>
              <w:pStyle w:val="TableContents"/>
              <w:rPr>
                <w:rFonts w:hint="eastAsia"/>
                <w:sz w:val="4"/>
                <w:szCs w:val="4"/>
              </w:rPr>
            </w:pPr>
          </w:p>
        </w:tc>
        <w:tc>
          <w:tcPr>
            <w:tcW w:w="21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DBF63D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~$1,650/month</w:t>
            </w:r>
          </w:p>
        </w:tc>
        <w:tc>
          <w:tcPr>
            <w:tcW w:w="21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82618C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$19,800</w:t>
            </w:r>
          </w:p>
        </w:tc>
      </w:tr>
    </w:tbl>
    <w:p w14:paraId="7B7564C8" w14:textId="77777777" w:rsidR="00AD6685" w:rsidRDefault="00000000">
      <w:pPr>
        <w:pStyle w:val="Heading4"/>
        <w:rPr>
          <w:rFonts w:hint="eastAsia"/>
        </w:rPr>
      </w:pPr>
      <w:bookmarkStart w:id="4" w:name="13-mvp-cost-summary"/>
      <w:bookmarkEnd w:id="4"/>
      <w:r>
        <w:rPr>
          <w:rStyle w:val="StrongEmphasis"/>
        </w:rPr>
        <w:t>1.3 MVP Cost Summary</w:t>
      </w:r>
    </w:p>
    <w:tbl>
      <w:tblPr>
        <w:tblW w:w="55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38"/>
        <w:gridCol w:w="1922"/>
      </w:tblGrid>
      <w:tr w:rsidR="00AD6685" w14:paraId="783037D2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6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A8369A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Cost Category</w:t>
            </w:r>
          </w:p>
        </w:tc>
        <w:tc>
          <w:tcPr>
            <w:tcW w:w="192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43AC28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Total Cost (USD)</w:t>
            </w:r>
          </w:p>
        </w:tc>
      </w:tr>
      <w:tr w:rsidR="00AD6685" w14:paraId="06C59C27" w14:textId="77777777">
        <w:tblPrEx>
          <w:tblCellMar>
            <w:top w:w="0" w:type="dxa"/>
            <w:bottom w:w="0" w:type="dxa"/>
          </w:tblCellMar>
        </w:tblPrEx>
        <w:tc>
          <w:tcPr>
            <w:tcW w:w="36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DA6374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Implementation Services (One-time)</w:t>
            </w:r>
          </w:p>
        </w:tc>
        <w:tc>
          <w:tcPr>
            <w:tcW w:w="192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265633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$895,000</w:t>
            </w:r>
          </w:p>
        </w:tc>
      </w:tr>
      <w:tr w:rsidR="00AD6685" w14:paraId="127EA240" w14:textId="77777777">
        <w:tblPrEx>
          <w:tblCellMar>
            <w:top w:w="0" w:type="dxa"/>
            <w:bottom w:w="0" w:type="dxa"/>
          </w:tblCellMar>
        </w:tblPrEx>
        <w:tc>
          <w:tcPr>
            <w:tcW w:w="36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042B6E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Infrastructure &amp; Hosting (Year 1)</w:t>
            </w:r>
          </w:p>
        </w:tc>
        <w:tc>
          <w:tcPr>
            <w:tcW w:w="192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02FBB1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$19,800</w:t>
            </w:r>
          </w:p>
        </w:tc>
      </w:tr>
      <w:tr w:rsidR="00AD6685" w14:paraId="062A0B03" w14:textId="77777777">
        <w:tblPrEx>
          <w:tblCellMar>
            <w:top w:w="0" w:type="dxa"/>
            <w:bottom w:w="0" w:type="dxa"/>
          </w:tblCellMar>
        </w:tblPrEx>
        <w:tc>
          <w:tcPr>
            <w:tcW w:w="36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2328C6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Total MVP Investment (Year 1)</w:t>
            </w:r>
          </w:p>
        </w:tc>
        <w:tc>
          <w:tcPr>
            <w:tcW w:w="192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DFFE43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$914,800</w:t>
            </w:r>
          </w:p>
        </w:tc>
      </w:tr>
    </w:tbl>
    <w:p w14:paraId="15F52E2F" w14:textId="77777777" w:rsidR="00AD6685" w:rsidRDefault="00000000">
      <w:pPr>
        <w:pStyle w:val="Textbody"/>
        <w:rPr>
          <w:rFonts w:hint="eastAsia"/>
        </w:rPr>
      </w:pPr>
      <w:r>
        <w:rPr>
          <w:rStyle w:val="StrongEmphasis"/>
        </w:rPr>
        <w:t>Not-to-Exceed (NTE) Proposal for MVP Implementation: $895,000</w:t>
      </w:r>
    </w:p>
    <w:p w14:paraId="79F98E79" w14:textId="77777777" w:rsidR="00AD6685" w:rsidRDefault="00AD6685">
      <w:pPr>
        <w:pStyle w:val="HorizontalLine"/>
        <w:rPr>
          <w:rFonts w:hint="eastAsia"/>
        </w:rPr>
      </w:pPr>
    </w:p>
    <w:p w14:paraId="75DBAA25" w14:textId="77777777" w:rsidR="00AD6685" w:rsidRDefault="00000000">
      <w:pPr>
        <w:pStyle w:val="Heading3"/>
        <w:rPr>
          <w:rFonts w:hint="eastAsia"/>
        </w:rPr>
      </w:pPr>
      <w:bookmarkStart w:id="5" w:name="2-cost-estimation-post-mvp-andamp-ongoin"/>
      <w:bookmarkEnd w:id="5"/>
      <w:r>
        <w:rPr>
          <w:rStyle w:val="StrongEmphasis"/>
        </w:rPr>
        <w:t>2. Cost Estimation: Post-MVP &amp; Ongoing Costs</w:t>
      </w:r>
    </w:p>
    <w:p w14:paraId="071B46C1" w14:textId="77777777" w:rsidR="00AD6685" w:rsidRDefault="00000000">
      <w:pPr>
        <w:pStyle w:val="Heading4"/>
        <w:rPr>
          <w:rFonts w:hint="eastAsia"/>
        </w:rPr>
      </w:pPr>
      <w:bookmarkStart w:id="6" w:name="21-annual-support-andamp-maintenance-fro"/>
      <w:bookmarkEnd w:id="6"/>
      <w:r>
        <w:rPr>
          <w:rStyle w:val="StrongEmphasis"/>
        </w:rPr>
        <w:t>2.1 Annual Support &amp; Maintenance (From Year 2 Onwards)</w:t>
      </w:r>
    </w:p>
    <w:p w14:paraId="3C761096" w14:textId="77777777" w:rsidR="00AD6685" w:rsidRDefault="00000000">
      <w:pPr>
        <w:pStyle w:val="Textbody"/>
        <w:rPr>
          <w:rFonts w:hint="eastAsia"/>
        </w:rPr>
      </w:pPr>
      <w:r>
        <w:t>A retainer for ongoing support, minor enhancements, and security updates.</w:t>
      </w:r>
    </w:p>
    <w:tbl>
      <w:tblPr>
        <w:tblW w:w="105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3"/>
        <w:gridCol w:w="6078"/>
        <w:gridCol w:w="1758"/>
      </w:tblGrid>
      <w:tr w:rsidR="00AD6685" w14:paraId="2BAECEBD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7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67265B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Service</w:t>
            </w:r>
          </w:p>
        </w:tc>
        <w:tc>
          <w:tcPr>
            <w:tcW w:w="60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373F0F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175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7AFFAA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Annual Cost (USD)</w:t>
            </w:r>
          </w:p>
        </w:tc>
      </w:tr>
      <w:tr w:rsidR="00AD6685" w14:paraId="44F11B3C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3DE20E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Standard Support Pack</w:t>
            </w:r>
          </w:p>
        </w:tc>
        <w:tc>
          <w:tcPr>
            <w:tcW w:w="60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16122C" w14:textId="77777777" w:rsidR="00AD6685" w:rsidRDefault="00000000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  <w:r>
              <w:t>8x5 support with 4-hour response time for critical issues.</w:t>
            </w:r>
          </w:p>
          <w:p w14:paraId="72C3E8CA" w14:textId="77777777" w:rsidR="00AD6685" w:rsidRDefault="00000000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  <w:r>
              <w:t>Security patching for OS, Django, PostgreSQL, and other FOSS components.</w:t>
            </w:r>
          </w:p>
          <w:p w14:paraId="60C6802C" w14:textId="77777777" w:rsidR="00AD6685" w:rsidRDefault="00000000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  <w:r>
              <w:t>Minor bug fixes and performance tuning.</w:t>
            </w:r>
          </w:p>
          <w:p w14:paraId="3A2FFC50" w14:textId="77777777" w:rsidR="00AD6685" w:rsidRDefault="00000000">
            <w:pPr>
              <w:pStyle w:val="TableContents"/>
              <w:numPr>
                <w:ilvl w:val="0"/>
                <w:numId w:val="2"/>
              </w:numPr>
              <w:spacing w:after="283"/>
              <w:rPr>
                <w:rFonts w:hint="eastAsia"/>
              </w:rPr>
            </w:pPr>
            <w:r>
              <w:t>Up to 10 man-days for minor feature requests.</w:t>
            </w:r>
          </w:p>
        </w:tc>
        <w:tc>
          <w:tcPr>
            <w:tcW w:w="175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EF6B38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$95,000</w:t>
            </w:r>
          </w:p>
        </w:tc>
      </w:tr>
      <w:tr w:rsidR="00AD6685" w14:paraId="64F80B6B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AEA91B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Infrastructure Hosting</w:t>
            </w:r>
          </w:p>
        </w:tc>
        <w:tc>
          <w:tcPr>
            <w:tcW w:w="60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9A689E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(As per Section 1.2)</w:t>
            </w:r>
          </w:p>
        </w:tc>
        <w:tc>
          <w:tcPr>
            <w:tcW w:w="175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AC6051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$19,800</w:t>
            </w:r>
          </w:p>
        </w:tc>
      </w:tr>
      <w:tr w:rsidR="00AD6685" w14:paraId="6988DAB7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DAFBCA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Total Annual Cost (Post-MVP)</w:t>
            </w:r>
          </w:p>
        </w:tc>
        <w:tc>
          <w:tcPr>
            <w:tcW w:w="60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FA27C8" w14:textId="77777777" w:rsidR="00AD6685" w:rsidRDefault="00AD6685">
            <w:pPr>
              <w:pStyle w:val="TableContents"/>
              <w:rPr>
                <w:rFonts w:hint="eastAsia"/>
                <w:sz w:val="4"/>
                <w:szCs w:val="4"/>
              </w:rPr>
            </w:pPr>
          </w:p>
        </w:tc>
        <w:tc>
          <w:tcPr>
            <w:tcW w:w="175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D514B9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$114,800</w:t>
            </w:r>
          </w:p>
        </w:tc>
      </w:tr>
    </w:tbl>
    <w:p w14:paraId="423B92B2" w14:textId="77777777" w:rsidR="00AD6685" w:rsidRDefault="00000000">
      <w:pPr>
        <w:pStyle w:val="Heading4"/>
        <w:rPr>
          <w:rFonts w:hint="eastAsia"/>
        </w:rPr>
      </w:pPr>
      <w:bookmarkStart w:id="7" w:name="22-phase-2-enhancement-packages-optional"/>
      <w:bookmarkEnd w:id="7"/>
      <w:r>
        <w:rPr>
          <w:rStyle w:val="StrongEmphasis"/>
        </w:rPr>
        <w:t>2.2 Phase 2: Enhancement Packages (Optional)</w:t>
      </w:r>
    </w:p>
    <w:p w14:paraId="027785F1" w14:textId="77777777" w:rsidR="00AD6685" w:rsidRDefault="00000000">
      <w:pPr>
        <w:pStyle w:val="Textbody"/>
        <w:rPr>
          <w:rFonts w:hint="eastAsia"/>
        </w:rPr>
      </w:pPr>
      <w:r>
        <w:t xml:space="preserve">These are </w:t>
      </w:r>
      <w:proofErr w:type="gramStart"/>
      <w:r>
        <w:t>fixed-price</w:t>
      </w:r>
      <w:proofErr w:type="gramEnd"/>
      <w:r>
        <w:t xml:space="preserve"> or T&amp;M packages for major new functionality.</w:t>
      </w:r>
    </w:p>
    <w:tbl>
      <w:tblPr>
        <w:tblW w:w="105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6329"/>
        <w:gridCol w:w="1936"/>
      </w:tblGrid>
      <w:tr w:rsidR="00AD6685" w14:paraId="0491084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5A28C5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lastRenderedPageBreak/>
              <w:t>Enhancement Package</w:t>
            </w:r>
          </w:p>
        </w:tc>
        <w:tc>
          <w:tcPr>
            <w:tcW w:w="63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DAEC94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19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B2C089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Estimated Cost (USD)</w:t>
            </w:r>
          </w:p>
        </w:tc>
      </w:tr>
      <w:tr w:rsidR="00AD6685" w14:paraId="207A2857" w14:textId="77777777">
        <w:tblPrEx>
          <w:tblCellMar>
            <w:top w:w="0" w:type="dxa"/>
            <w:bottom w:w="0" w:type="dxa"/>
          </w:tblCellMar>
        </w:tblPrEx>
        <w:tc>
          <w:tcPr>
            <w:tcW w:w="22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F79B0E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Advanced AI &amp; Analytics</w:t>
            </w:r>
          </w:p>
        </w:tc>
        <w:tc>
          <w:tcPr>
            <w:tcW w:w="63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044D51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Predictive routing, sentiment analysis, advanced Superset dashboards.</w:t>
            </w:r>
          </w:p>
        </w:tc>
        <w:tc>
          <w:tcPr>
            <w:tcW w:w="19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16DF1C" w14:textId="77777777" w:rsidR="00AD6685" w:rsidRDefault="00000000">
            <w:pPr>
              <w:pStyle w:val="TableContents"/>
              <w:spacing w:line="288" w:lineRule="auto"/>
              <w:rPr>
                <w:rFonts w:hint="eastAsia"/>
              </w:rPr>
            </w:pPr>
            <w:r>
              <w:rPr>
                <w:rFonts w:ascii="KaTeX Main" w:eastAsia="KaTeX Main" w:hAnsi="KaTeX Main" w:cs="KaTeX Main"/>
              </w:rPr>
              <w:t>120,000−</w:t>
            </w:r>
            <w:r>
              <w:t>180,000</w:t>
            </w:r>
          </w:p>
        </w:tc>
      </w:tr>
      <w:tr w:rsidR="00AD6685" w14:paraId="2D8D7012" w14:textId="77777777">
        <w:tblPrEx>
          <w:tblCellMar>
            <w:top w:w="0" w:type="dxa"/>
            <w:bottom w:w="0" w:type="dxa"/>
          </w:tblCellMar>
        </w:tblPrEx>
        <w:tc>
          <w:tcPr>
            <w:tcW w:w="22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6A4C21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RPA Integration</w:t>
            </w:r>
          </w:p>
        </w:tc>
        <w:tc>
          <w:tcPr>
            <w:tcW w:w="63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F73C25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Automate 5-10 key processes with n8n/Airflow (e.g., data entry, status updates to legacy systems).</w:t>
            </w:r>
          </w:p>
        </w:tc>
        <w:tc>
          <w:tcPr>
            <w:tcW w:w="19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CB2D16" w14:textId="77777777" w:rsidR="00AD6685" w:rsidRDefault="00000000">
            <w:pPr>
              <w:pStyle w:val="TableContents"/>
              <w:spacing w:line="288" w:lineRule="auto"/>
              <w:rPr>
                <w:rFonts w:hint="eastAsia"/>
              </w:rPr>
            </w:pPr>
            <w:r>
              <w:rPr>
                <w:rFonts w:ascii="KaTeX Main" w:eastAsia="KaTeX Main" w:hAnsi="KaTeX Main" w:cs="KaTeX Main"/>
              </w:rPr>
              <w:t>80,000−</w:t>
            </w:r>
            <w:r>
              <w:t>120,000</w:t>
            </w:r>
          </w:p>
        </w:tc>
      </w:tr>
      <w:tr w:rsidR="00AD6685" w14:paraId="623AD1F9" w14:textId="77777777">
        <w:tblPrEx>
          <w:tblCellMar>
            <w:top w:w="0" w:type="dxa"/>
            <w:bottom w:w="0" w:type="dxa"/>
          </w:tblCellMar>
        </w:tblPrEx>
        <w:tc>
          <w:tcPr>
            <w:tcW w:w="22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113C88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Advanced Omnichannel</w:t>
            </w:r>
          </w:p>
        </w:tc>
        <w:tc>
          <w:tcPr>
            <w:tcW w:w="63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4BE6A6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Integration with additional channels (WhatsApp Business API, social listening).</w:t>
            </w:r>
          </w:p>
        </w:tc>
        <w:tc>
          <w:tcPr>
            <w:tcW w:w="19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DC65D1" w14:textId="77777777" w:rsidR="00AD6685" w:rsidRDefault="00000000">
            <w:pPr>
              <w:pStyle w:val="TableContents"/>
              <w:spacing w:line="288" w:lineRule="auto"/>
              <w:rPr>
                <w:rFonts w:hint="eastAsia"/>
              </w:rPr>
            </w:pPr>
            <w:r>
              <w:rPr>
                <w:rFonts w:ascii="KaTeX Main" w:eastAsia="KaTeX Main" w:hAnsi="KaTeX Main" w:cs="KaTeX Main"/>
              </w:rPr>
              <w:t>40,000−</w:t>
            </w:r>
            <w:r>
              <w:t>60,000</w:t>
            </w:r>
          </w:p>
        </w:tc>
      </w:tr>
    </w:tbl>
    <w:p w14:paraId="05962F80" w14:textId="77777777" w:rsidR="00AD6685" w:rsidRDefault="00AD6685">
      <w:pPr>
        <w:pStyle w:val="HorizontalLine"/>
        <w:rPr>
          <w:rFonts w:hint="eastAsia"/>
        </w:rPr>
      </w:pPr>
    </w:p>
    <w:p w14:paraId="6DA90682" w14:textId="77777777" w:rsidR="00AD6685" w:rsidRDefault="00000000">
      <w:pPr>
        <w:pStyle w:val="Heading3"/>
        <w:rPr>
          <w:rFonts w:hint="eastAsia"/>
        </w:rPr>
      </w:pPr>
      <w:bookmarkStart w:id="8" w:name="3-total-cost-of-ownership-tco-analysis-5"/>
      <w:bookmarkEnd w:id="8"/>
      <w:r>
        <w:rPr>
          <w:rStyle w:val="StrongEmphasis"/>
        </w:rPr>
        <w:t>3. Total Cost of Ownership (TCO) Analysis: 5-Year View</w:t>
      </w:r>
    </w:p>
    <w:p w14:paraId="086B8E3C" w14:textId="77777777" w:rsidR="00AD6685" w:rsidRDefault="00000000">
      <w:pPr>
        <w:pStyle w:val="Textbody"/>
        <w:rPr>
          <w:rFonts w:hint="eastAsia"/>
        </w:rPr>
      </w:pPr>
      <w:r>
        <w:t>This demonstrates the significant value of the FOSS model by comparing it to the high recurring license fees of a proprietary stack.</w:t>
      </w:r>
    </w:p>
    <w:tbl>
      <w:tblPr>
        <w:tblW w:w="105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1"/>
        <w:gridCol w:w="3199"/>
        <w:gridCol w:w="5519"/>
      </w:tblGrid>
      <w:tr w:rsidR="00AD6685" w14:paraId="2013808F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3C4195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Year</w:t>
            </w:r>
          </w:p>
        </w:tc>
        <w:tc>
          <w:tcPr>
            <w:tcW w:w="319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ACA3EF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FOSS-Based Solution (USD)</w:t>
            </w:r>
          </w:p>
        </w:tc>
        <w:tc>
          <w:tcPr>
            <w:tcW w:w="55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19C125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Proprietary Stack (Indicative - USD)</w:t>
            </w:r>
          </w:p>
        </w:tc>
      </w:tr>
      <w:tr w:rsidR="00AD6685" w14:paraId="3E3949FE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37B8CE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Year 1 (MVP)</w:t>
            </w:r>
          </w:p>
        </w:tc>
        <w:tc>
          <w:tcPr>
            <w:tcW w:w="319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B97BEC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$914,800</w:t>
            </w:r>
            <w:r>
              <w:t xml:space="preserve"> (Implementation + Infra)</w:t>
            </w:r>
          </w:p>
        </w:tc>
        <w:tc>
          <w:tcPr>
            <w:tcW w:w="55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D3D258" w14:textId="77777777" w:rsidR="00AD6685" w:rsidRDefault="00000000">
            <w:pPr>
              <w:pStyle w:val="TableContents"/>
              <w:spacing w:line="288" w:lineRule="auto"/>
              <w:rPr>
                <w:rFonts w:hint="eastAsia"/>
              </w:rPr>
            </w:pPr>
            <w:r>
              <w:t>~</w:t>
            </w:r>
            <w:r>
              <w:rPr>
                <w:rFonts w:ascii="KaTeX Main" w:eastAsia="KaTeX Main" w:hAnsi="KaTeX Main" w:cs="KaTeX Main"/>
              </w:rPr>
              <w:t>1,200,000(Implementation+∗∗</w:t>
            </w:r>
            <w:r>
              <w:t>300k+ in Annual Licenses**)</w:t>
            </w:r>
          </w:p>
        </w:tc>
      </w:tr>
      <w:tr w:rsidR="00AD6685" w14:paraId="62EBCE5B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D86ED0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Year 2</w:t>
            </w:r>
          </w:p>
        </w:tc>
        <w:tc>
          <w:tcPr>
            <w:tcW w:w="319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1FFDBA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$114,800</w:t>
            </w:r>
            <w:r>
              <w:t xml:space="preserve"> (Support + Infra)</w:t>
            </w:r>
          </w:p>
        </w:tc>
        <w:tc>
          <w:tcPr>
            <w:tcW w:w="55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558C14" w14:textId="77777777" w:rsidR="00AD6685" w:rsidRDefault="00000000">
            <w:pPr>
              <w:pStyle w:val="TableContents"/>
              <w:spacing w:line="288" w:lineRule="auto"/>
              <w:rPr>
                <w:rFonts w:hint="eastAsia"/>
              </w:rPr>
            </w:pPr>
            <w:r>
              <w:t>~</w:t>
            </w:r>
            <w:r>
              <w:rPr>
                <w:rFonts w:ascii="KaTeX Main" w:eastAsia="KaTeX Main" w:hAnsi="KaTeX Main" w:cs="KaTeX Main"/>
              </w:rPr>
              <w:t>450,000(Support+∗∗</w:t>
            </w:r>
            <w:r>
              <w:t>300k+ in Annual Licenses**)</w:t>
            </w:r>
          </w:p>
        </w:tc>
      </w:tr>
      <w:tr w:rsidR="00AD6685" w14:paraId="2B3C8A18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5852E7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Year 3</w:t>
            </w:r>
          </w:p>
        </w:tc>
        <w:tc>
          <w:tcPr>
            <w:tcW w:w="319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71133A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$114,800</w:t>
            </w:r>
            <w:r>
              <w:t xml:space="preserve"> (Support + Infra)</w:t>
            </w:r>
          </w:p>
        </w:tc>
        <w:tc>
          <w:tcPr>
            <w:tcW w:w="55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FB7176" w14:textId="77777777" w:rsidR="00AD6685" w:rsidRDefault="00000000">
            <w:pPr>
              <w:pStyle w:val="TableContents"/>
              <w:spacing w:line="288" w:lineRule="auto"/>
              <w:rPr>
                <w:rFonts w:hint="eastAsia"/>
              </w:rPr>
            </w:pPr>
            <w:r>
              <w:t>~</w:t>
            </w:r>
            <w:r>
              <w:rPr>
                <w:rFonts w:ascii="KaTeX Main" w:eastAsia="KaTeX Main" w:hAnsi="KaTeX Main" w:cs="KaTeX Main"/>
              </w:rPr>
              <w:t>450,000(Support+∗∗</w:t>
            </w:r>
            <w:r>
              <w:t>300k+ in Annual Licenses**)</w:t>
            </w:r>
          </w:p>
        </w:tc>
      </w:tr>
      <w:tr w:rsidR="00AD6685" w14:paraId="52C3F459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8A8679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Year 4</w:t>
            </w:r>
          </w:p>
        </w:tc>
        <w:tc>
          <w:tcPr>
            <w:tcW w:w="319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559BEE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$114,800</w:t>
            </w:r>
            <w:r>
              <w:t xml:space="preserve"> (Support + Infra)</w:t>
            </w:r>
          </w:p>
        </w:tc>
        <w:tc>
          <w:tcPr>
            <w:tcW w:w="55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4C00B4" w14:textId="77777777" w:rsidR="00AD6685" w:rsidRDefault="00000000">
            <w:pPr>
              <w:pStyle w:val="TableContents"/>
              <w:spacing w:line="288" w:lineRule="auto"/>
              <w:rPr>
                <w:rFonts w:hint="eastAsia"/>
              </w:rPr>
            </w:pPr>
            <w:r>
              <w:t>~</w:t>
            </w:r>
            <w:r>
              <w:rPr>
                <w:rFonts w:ascii="KaTeX Main" w:eastAsia="KaTeX Main" w:hAnsi="KaTeX Main" w:cs="KaTeX Main"/>
              </w:rPr>
              <w:t>450,000(Support+∗∗</w:t>
            </w:r>
            <w:r>
              <w:t>300k+ in Annual Licenses**)</w:t>
            </w:r>
          </w:p>
        </w:tc>
      </w:tr>
      <w:tr w:rsidR="00AD6685" w14:paraId="7AC457F5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81D6F2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Year 5</w:t>
            </w:r>
          </w:p>
        </w:tc>
        <w:tc>
          <w:tcPr>
            <w:tcW w:w="319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1FC8E0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$114,800</w:t>
            </w:r>
            <w:r>
              <w:t xml:space="preserve"> (Support + Infra)</w:t>
            </w:r>
          </w:p>
        </w:tc>
        <w:tc>
          <w:tcPr>
            <w:tcW w:w="55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69ED61" w14:textId="77777777" w:rsidR="00AD6685" w:rsidRDefault="00000000">
            <w:pPr>
              <w:pStyle w:val="TableContents"/>
              <w:spacing w:line="288" w:lineRule="auto"/>
              <w:rPr>
                <w:rFonts w:hint="eastAsia"/>
              </w:rPr>
            </w:pPr>
            <w:r>
              <w:t>~</w:t>
            </w:r>
            <w:r>
              <w:rPr>
                <w:rFonts w:ascii="KaTeX Main" w:eastAsia="KaTeX Main" w:hAnsi="KaTeX Main" w:cs="KaTeX Main"/>
              </w:rPr>
              <w:t>450,000(Support+∗∗</w:t>
            </w:r>
            <w:r>
              <w:t>300k+ in Annual Licenses**)</w:t>
            </w:r>
          </w:p>
        </w:tc>
      </w:tr>
      <w:tr w:rsidR="00AD6685" w14:paraId="0F23922E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6F5B46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Total 5-Year TCO</w:t>
            </w:r>
          </w:p>
        </w:tc>
        <w:tc>
          <w:tcPr>
            <w:tcW w:w="319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D6BAA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$1,374,000</w:t>
            </w:r>
          </w:p>
        </w:tc>
        <w:tc>
          <w:tcPr>
            <w:tcW w:w="55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E82D6D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~$3,000,000</w:t>
            </w:r>
          </w:p>
        </w:tc>
      </w:tr>
    </w:tbl>
    <w:p w14:paraId="62ABB18C" w14:textId="77777777" w:rsidR="00AD6685" w:rsidRDefault="00000000">
      <w:pPr>
        <w:pStyle w:val="Textbody"/>
        <w:rPr>
          <w:rFonts w:hint="eastAsia"/>
        </w:rPr>
      </w:pPr>
      <w:r>
        <w:rPr>
          <w:rStyle w:val="StrongEmphasis"/>
        </w:rPr>
        <w:t>Key TCO Insight:</w:t>
      </w:r>
      <w:r>
        <w:t xml:space="preserve"> The FOSS solution offers an estimated </w:t>
      </w:r>
      <w:r>
        <w:rPr>
          <w:rStyle w:val="StrongEmphasis"/>
        </w:rPr>
        <w:t>~55% savings over 5 years</w:t>
      </w:r>
      <w:r>
        <w:t xml:space="preserve">, primarily by eliminating over </w:t>
      </w:r>
      <w:r>
        <w:rPr>
          <w:rStyle w:val="StrongEmphasis"/>
        </w:rPr>
        <w:t>$1.5 million in proprietary software license fees</w:t>
      </w:r>
      <w:r>
        <w:t>. The investment is shifted from perpetual, opaque licensing to transparent, value-added services and development.</w:t>
      </w:r>
    </w:p>
    <w:p w14:paraId="6FC72298" w14:textId="77777777" w:rsidR="00AD6685" w:rsidRDefault="00000000">
      <w:pPr>
        <w:pStyle w:val="Heading3"/>
        <w:rPr>
          <w:rFonts w:hint="eastAsia"/>
        </w:rPr>
      </w:pPr>
      <w:bookmarkStart w:id="9" w:name="4-pricing-andamp-payment-milestones"/>
      <w:bookmarkEnd w:id="9"/>
      <w:r>
        <w:rPr>
          <w:rStyle w:val="StrongEmphasis"/>
        </w:rPr>
        <w:t>4. Pricing &amp; Payment Milestones</w:t>
      </w:r>
    </w:p>
    <w:p w14:paraId="45872026" w14:textId="77777777" w:rsidR="00AD6685" w:rsidRDefault="00000000">
      <w:pPr>
        <w:pStyle w:val="Textbody"/>
        <w:rPr>
          <w:rFonts w:hint="eastAsia"/>
        </w:rPr>
      </w:pPr>
      <w:r>
        <w:t>We propose linking payments to the successful delivery of key MVP milestones, aligning our incentives with MPAAI's project success.</w:t>
      </w:r>
    </w:p>
    <w:tbl>
      <w:tblPr>
        <w:tblW w:w="105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5"/>
        <w:gridCol w:w="5023"/>
        <w:gridCol w:w="1238"/>
        <w:gridCol w:w="1473"/>
      </w:tblGrid>
      <w:tr w:rsidR="00AD6685" w14:paraId="366D471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E92041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Milestone</w:t>
            </w:r>
          </w:p>
        </w:tc>
        <w:tc>
          <w:tcPr>
            <w:tcW w:w="50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873E45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Payment Trigger</w:t>
            </w:r>
          </w:p>
        </w:tc>
        <w:tc>
          <w:tcPr>
            <w:tcW w:w="12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6CC333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Percentage</w:t>
            </w:r>
          </w:p>
        </w:tc>
        <w:tc>
          <w:tcPr>
            <w:tcW w:w="147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891EBE" w14:textId="77777777" w:rsidR="00AD6685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Amount (USD)</w:t>
            </w:r>
          </w:p>
        </w:tc>
      </w:tr>
      <w:tr w:rsidR="00AD6685" w14:paraId="75578DD3" w14:textId="77777777">
        <w:tblPrEx>
          <w:tblCellMar>
            <w:top w:w="0" w:type="dxa"/>
            <w:bottom w:w="0" w:type="dxa"/>
          </w:tblCellMar>
        </w:tblPrEx>
        <w:tc>
          <w:tcPr>
            <w:tcW w:w="28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4D6F63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Mobilization</w:t>
            </w:r>
          </w:p>
        </w:tc>
        <w:tc>
          <w:tcPr>
            <w:tcW w:w="50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B6F29E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Project Kick-off &amp; Charter Sign-off</w:t>
            </w:r>
          </w:p>
        </w:tc>
        <w:tc>
          <w:tcPr>
            <w:tcW w:w="12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868671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10%</w:t>
            </w:r>
          </w:p>
        </w:tc>
        <w:tc>
          <w:tcPr>
            <w:tcW w:w="147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E07E3C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$89,500</w:t>
            </w:r>
          </w:p>
        </w:tc>
      </w:tr>
      <w:tr w:rsidR="00AD6685" w14:paraId="3609C3ED" w14:textId="77777777">
        <w:tblPrEx>
          <w:tblCellMar>
            <w:top w:w="0" w:type="dxa"/>
            <w:bottom w:w="0" w:type="dxa"/>
          </w:tblCellMar>
        </w:tblPrEx>
        <w:tc>
          <w:tcPr>
            <w:tcW w:w="28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E8C32D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Design Sign-off</w:t>
            </w:r>
          </w:p>
        </w:tc>
        <w:tc>
          <w:tcPr>
            <w:tcW w:w="50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946201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Approval of UX/UI &amp; Technical Architecture</w:t>
            </w:r>
          </w:p>
        </w:tc>
        <w:tc>
          <w:tcPr>
            <w:tcW w:w="12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806CDE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20%</w:t>
            </w:r>
          </w:p>
        </w:tc>
        <w:tc>
          <w:tcPr>
            <w:tcW w:w="147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DD7CCD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$179,000</w:t>
            </w:r>
          </w:p>
        </w:tc>
      </w:tr>
      <w:tr w:rsidR="00AD6685" w14:paraId="5E0E4F78" w14:textId="77777777">
        <w:tblPrEx>
          <w:tblCellMar>
            <w:top w:w="0" w:type="dxa"/>
            <w:bottom w:w="0" w:type="dxa"/>
          </w:tblCellMar>
        </w:tblPrEx>
        <w:tc>
          <w:tcPr>
            <w:tcW w:w="28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AE33E4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Core Platform Delivery</w:t>
            </w:r>
          </w:p>
        </w:tc>
        <w:tc>
          <w:tcPr>
            <w:tcW w:w="50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096EAB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Successful UAT of Citizen Portal, Mobile App, and Case Management</w:t>
            </w:r>
          </w:p>
        </w:tc>
        <w:tc>
          <w:tcPr>
            <w:tcW w:w="12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E782D8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40%</w:t>
            </w:r>
          </w:p>
        </w:tc>
        <w:tc>
          <w:tcPr>
            <w:tcW w:w="147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936174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$358,000</w:t>
            </w:r>
          </w:p>
        </w:tc>
      </w:tr>
      <w:tr w:rsidR="00AD6685" w14:paraId="59E77F35" w14:textId="77777777">
        <w:tblPrEx>
          <w:tblCellMar>
            <w:top w:w="0" w:type="dxa"/>
            <w:bottom w:w="0" w:type="dxa"/>
          </w:tblCellMar>
        </w:tblPrEx>
        <w:tc>
          <w:tcPr>
            <w:tcW w:w="28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0B8E80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Go-Live &amp; Project Completion</w:t>
            </w:r>
          </w:p>
        </w:tc>
        <w:tc>
          <w:tcPr>
            <w:tcW w:w="50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66B185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Successful Production Deployment and MVP Sign-off</w:t>
            </w:r>
          </w:p>
        </w:tc>
        <w:tc>
          <w:tcPr>
            <w:tcW w:w="12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B5202B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25%</w:t>
            </w:r>
          </w:p>
        </w:tc>
        <w:tc>
          <w:tcPr>
            <w:tcW w:w="147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9FFE32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$223,750</w:t>
            </w:r>
          </w:p>
        </w:tc>
      </w:tr>
      <w:tr w:rsidR="00AD6685" w14:paraId="1A528D63" w14:textId="77777777">
        <w:tblPrEx>
          <w:tblCellMar>
            <w:top w:w="0" w:type="dxa"/>
            <w:bottom w:w="0" w:type="dxa"/>
          </w:tblCellMar>
        </w:tblPrEx>
        <w:tc>
          <w:tcPr>
            <w:tcW w:w="28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07F331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Post-Deployment Support</w:t>
            </w:r>
          </w:p>
        </w:tc>
        <w:tc>
          <w:tcPr>
            <w:tcW w:w="50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095799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Completion of 6-Month Warranty/Hypercare Period</w:t>
            </w:r>
          </w:p>
        </w:tc>
        <w:tc>
          <w:tcPr>
            <w:tcW w:w="12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725649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5%</w:t>
            </w:r>
          </w:p>
        </w:tc>
        <w:tc>
          <w:tcPr>
            <w:tcW w:w="147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64EFDB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t>$44,750</w:t>
            </w:r>
          </w:p>
        </w:tc>
      </w:tr>
      <w:tr w:rsidR="00AD6685" w14:paraId="12F3D1E0" w14:textId="77777777">
        <w:tblPrEx>
          <w:tblCellMar>
            <w:top w:w="0" w:type="dxa"/>
            <w:bottom w:w="0" w:type="dxa"/>
          </w:tblCellMar>
        </w:tblPrEx>
        <w:tc>
          <w:tcPr>
            <w:tcW w:w="28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06C6EF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Total</w:t>
            </w:r>
          </w:p>
        </w:tc>
        <w:tc>
          <w:tcPr>
            <w:tcW w:w="50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0AB2F6" w14:textId="77777777" w:rsidR="00AD6685" w:rsidRDefault="00AD6685">
            <w:pPr>
              <w:pStyle w:val="TableContents"/>
              <w:rPr>
                <w:rFonts w:hint="eastAsia"/>
                <w:sz w:val="4"/>
                <w:szCs w:val="4"/>
              </w:rPr>
            </w:pPr>
          </w:p>
        </w:tc>
        <w:tc>
          <w:tcPr>
            <w:tcW w:w="12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807630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100%</w:t>
            </w:r>
          </w:p>
        </w:tc>
        <w:tc>
          <w:tcPr>
            <w:tcW w:w="147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42DBB8" w14:textId="77777777" w:rsidR="00AD6685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$895,000</w:t>
            </w:r>
          </w:p>
        </w:tc>
      </w:tr>
    </w:tbl>
    <w:p w14:paraId="2EC74269" w14:textId="77777777" w:rsidR="00AD6685" w:rsidRDefault="00000000">
      <w:pPr>
        <w:pStyle w:val="Textbody"/>
        <w:rPr>
          <w:rFonts w:hint="eastAsia"/>
        </w:rPr>
      </w:pPr>
      <w:r>
        <w:rPr>
          <w:rStyle w:val="StrongEmphasis"/>
        </w:rPr>
        <w:t>Infrastructure costs</w:t>
      </w:r>
      <w:r>
        <w:t xml:space="preserve"> would be invoiced monthly or annually in advance, directly from the cloud provider or through us as a managed service.</w:t>
      </w:r>
    </w:p>
    <w:p w14:paraId="2D4B8D4A" w14:textId="77777777" w:rsidR="00AD6685" w:rsidRDefault="00AD6685">
      <w:pPr>
        <w:pStyle w:val="HorizontalLine"/>
        <w:rPr>
          <w:rFonts w:hint="eastAsia"/>
        </w:rPr>
      </w:pPr>
    </w:p>
    <w:p w14:paraId="46780CE0" w14:textId="77777777" w:rsidR="00AD6685" w:rsidRDefault="00000000">
      <w:pPr>
        <w:pStyle w:val="Heading3"/>
        <w:rPr>
          <w:rFonts w:hint="eastAsia"/>
        </w:rPr>
      </w:pPr>
      <w:bookmarkStart w:id="10" w:name="conclusion"/>
      <w:bookmarkEnd w:id="10"/>
      <w:r>
        <w:rPr>
          <w:rStyle w:val="StrongEmphasis"/>
        </w:rPr>
        <w:lastRenderedPageBreak/>
        <w:t>Conclusion</w:t>
      </w:r>
    </w:p>
    <w:p w14:paraId="0692C1AC" w14:textId="77777777" w:rsidR="00AD6685" w:rsidRDefault="00000000">
      <w:pPr>
        <w:pStyle w:val="Textbody"/>
        <w:rPr>
          <w:rFonts w:hint="eastAsia"/>
        </w:rPr>
      </w:pPr>
      <w:r>
        <w:t xml:space="preserve">This commercial proposal for a FOSS-based CSMP provides the Government of Trinidad and Tobago with a fiscally responsible, high-value path to digital transformation. The estimated </w:t>
      </w:r>
      <w:r>
        <w:rPr>
          <w:rStyle w:val="StrongEmphasis"/>
        </w:rPr>
        <w:t>MVP investment of $895,000</w:t>
      </w:r>
      <w:r>
        <w:t xml:space="preserve"> delivers a complete, secure, and scalable platform, with a total 5-year cost of ownership that is roughly half that of a proprietary equivalent.</w:t>
      </w:r>
    </w:p>
    <w:p w14:paraId="471CA439" w14:textId="77777777" w:rsidR="00AD6685" w:rsidRDefault="00000000">
      <w:pPr>
        <w:pStyle w:val="Textbody"/>
        <w:rPr>
          <w:rFonts w:hint="eastAsia"/>
        </w:rPr>
      </w:pPr>
      <w:r>
        <w:t>This model ensures that public funds are invested in building sovereign capability and long-term sustainability, rather than perpetual license payments. We are prepared to refine these estimates based on more detailed technical discussions.</w:t>
      </w:r>
    </w:p>
    <w:sectPr w:rsidR="00AD6685">
      <w:pgSz w:w="12240" w:h="15840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B761E" w14:textId="77777777" w:rsidR="004E3A75" w:rsidRDefault="004E3A75">
      <w:pPr>
        <w:rPr>
          <w:rFonts w:hint="eastAsia"/>
        </w:rPr>
      </w:pPr>
      <w:r>
        <w:separator/>
      </w:r>
    </w:p>
  </w:endnote>
  <w:endnote w:type="continuationSeparator" w:id="0">
    <w:p w14:paraId="764878C2" w14:textId="77777777" w:rsidR="004E3A75" w:rsidRDefault="004E3A7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TeX Main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80696" w14:textId="77777777" w:rsidR="004E3A75" w:rsidRDefault="004E3A7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622F112" w14:textId="77777777" w:rsidR="004E3A75" w:rsidRDefault="004E3A7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E3E14"/>
    <w:multiLevelType w:val="multilevel"/>
    <w:tmpl w:val="7A3CD33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21BC5308"/>
    <w:multiLevelType w:val="multilevel"/>
    <w:tmpl w:val="5518EDF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822308016">
    <w:abstractNumId w:val="1"/>
  </w:num>
  <w:num w:numId="2" w16cid:durableId="131931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D6685"/>
    <w:rsid w:val="00121394"/>
    <w:rsid w:val="004E3A75"/>
    <w:rsid w:val="007A5758"/>
    <w:rsid w:val="00A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FF1A"/>
  <w15:docId w15:val="{BCD76961-ECD5-4B6B-B6A9-BE36D7A4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Estimate</dc:title>
  <cp:lastModifiedBy>Brian Emory Stitt</cp:lastModifiedBy>
  <cp:revision>2</cp:revision>
  <dcterms:created xsi:type="dcterms:W3CDTF">2025-10-14T10:39:00Z</dcterms:created>
  <dcterms:modified xsi:type="dcterms:W3CDTF">2025-10-14T10:39:00Z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