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1B3AA" w14:textId="77777777" w:rsidR="002A7E6C" w:rsidRDefault="00000000">
      <w:pPr>
        <w:pStyle w:val="Heading1"/>
        <w:rPr>
          <w:rFonts w:hint="eastAsia"/>
        </w:rPr>
      </w:pPr>
      <w:bookmarkStart w:id="0" w:name="technical-architecture-deep-dive-foss-ba"/>
      <w:bookmarkEnd w:id="0"/>
      <w:r>
        <w:rPr>
          <w:rStyle w:val="StrongEmphasis"/>
        </w:rPr>
        <w:t>Technical Architecture Deep Dive: FOSS-Based CSMP for MPAAI</w:t>
      </w:r>
    </w:p>
    <w:p w14:paraId="43D63D26" w14:textId="77777777" w:rsidR="002A7E6C" w:rsidRDefault="00000000">
      <w:pPr>
        <w:pStyle w:val="Heading2"/>
        <w:rPr>
          <w:rFonts w:hint="eastAsia"/>
        </w:rPr>
      </w:pPr>
      <w:bookmarkStart w:id="1" w:name="executive-summary"/>
      <w:bookmarkEnd w:id="1"/>
      <w:r>
        <w:rPr>
          <w:rStyle w:val="StrongEmphasis"/>
        </w:rPr>
        <w:t>Executive Summary</w:t>
      </w:r>
    </w:p>
    <w:p w14:paraId="0CF4C415" w14:textId="77777777" w:rsidR="002A7E6C" w:rsidRDefault="00000000">
      <w:pPr>
        <w:pStyle w:val="Textbody"/>
        <w:rPr>
          <w:rFonts w:hint="eastAsia"/>
        </w:rPr>
      </w:pPr>
      <w:r>
        <w:t>This document provides a comprehensive analysis of each component in the proposed Free and Open-Source Software (FOSS) architecture for the AI-Enabled Citizen Service Management Platform. For every element—from citizen-facing channels to core infrastructure—we detail its purpose, technical merits, selection rationale, market position, and competitive alternatives. This thorough examination demonstrates why this specific technology stack represents the optimal solution for Trinidad and Tobago's national digital transformation initiative.</w:t>
      </w:r>
    </w:p>
    <w:p w14:paraId="251314F9" w14:textId="77777777" w:rsidR="002A7E6C" w:rsidRDefault="00000000">
      <w:pPr>
        <w:pStyle w:val="Heading2"/>
        <w:rPr>
          <w:rFonts w:hint="eastAsia"/>
        </w:rPr>
      </w:pPr>
      <w:bookmarkStart w:id="2" w:name="chapter-1-citizen-facing-channels"/>
      <w:bookmarkEnd w:id="2"/>
      <w:r>
        <w:rPr>
          <w:rStyle w:val="StrongEmphasis"/>
        </w:rPr>
        <w:t>Chapter 1: Citizen-Facing Channels</w:t>
      </w:r>
    </w:p>
    <w:p w14:paraId="681868E6" w14:textId="77777777" w:rsidR="002A7E6C" w:rsidRDefault="00000000">
      <w:pPr>
        <w:pStyle w:val="Heading3"/>
        <w:rPr>
          <w:rFonts w:hint="eastAsia"/>
        </w:rPr>
      </w:pPr>
      <w:bookmarkStart w:id="3" w:name="11-web-portal-reactjs"/>
      <w:bookmarkEnd w:id="3"/>
      <w:r>
        <w:rPr>
          <w:rStyle w:val="StrongEmphasis"/>
        </w:rPr>
        <w:t>1.1 Web Portal (React.js)</w:t>
      </w:r>
    </w:p>
    <w:p w14:paraId="0B7D3499" w14:textId="77777777" w:rsidR="002A7E6C" w:rsidRDefault="00000000">
      <w:pPr>
        <w:pStyle w:val="Textbody"/>
        <w:rPr>
          <w:rFonts w:hint="eastAsia"/>
        </w:rPr>
      </w:pPr>
      <w:r>
        <w:rPr>
          <w:rStyle w:val="StrongEmphasis"/>
        </w:rPr>
        <w:t>Description and Functionality</w:t>
      </w:r>
      <w:r>
        <w:t xml:space="preserve"> </w:t>
      </w:r>
      <w:proofErr w:type="gramStart"/>
      <w:r>
        <w:t>The</w:t>
      </w:r>
      <w:proofErr w:type="gramEnd"/>
      <w:r>
        <w:t xml:space="preserve"> React.js Web Portal serves as the primary digital interface for citizens accessing government services. It is a Single Page Application (SPA) that provides dynamic, responsive user experiences without page </w:t>
      </w:r>
      <w:proofErr w:type="gramStart"/>
      <w:r>
        <w:t>reloads</w:t>
      </w:r>
      <w:proofErr w:type="gramEnd"/>
      <w:r>
        <w:t>. Key functionalities include service catalog browsing, digital form submission, real-time case tracking, Know Your Citizen (KYC) profile management, and personalized service recommendations.</w:t>
      </w:r>
    </w:p>
    <w:p w14:paraId="5D577A6B" w14:textId="77777777" w:rsidR="002A7E6C" w:rsidRDefault="00000000">
      <w:pPr>
        <w:pStyle w:val="Textbody"/>
        <w:rPr>
          <w:rFonts w:hint="eastAsia"/>
        </w:rPr>
      </w:pPr>
      <w:r>
        <w:rPr>
          <w:rStyle w:val="StrongEmphasis"/>
        </w:rPr>
        <w:t>Technical Merits and Selection Rationale</w:t>
      </w:r>
      <w:r>
        <w:t xml:space="preserve"> React.js was selected for its component-based architecture, which enables reusable UI elements and consistent user experiences across the platform. Its virtual DOM implementation ensures optimal performance even with complex, data-intensive interfaces. The framework's unidirectional data flow (via state management libraries like Redux) creates predictable, </w:t>
      </w:r>
      <w:proofErr w:type="spellStart"/>
      <w:r>
        <w:t>debuggable</w:t>
      </w:r>
      <w:proofErr w:type="spellEnd"/>
      <w:r>
        <w:t xml:space="preserve"> application behavior—critical for government services where transaction accuracy is paramount.</w:t>
      </w:r>
    </w:p>
    <w:p w14:paraId="0000347D" w14:textId="77777777" w:rsidR="002A7E6C" w:rsidRDefault="00000000">
      <w:pPr>
        <w:pStyle w:val="Textbody"/>
        <w:rPr>
          <w:rFonts w:hint="eastAsia"/>
        </w:rPr>
      </w:pPr>
      <w:proofErr w:type="spellStart"/>
      <w:r>
        <w:t>React's</w:t>
      </w:r>
      <w:proofErr w:type="spellEnd"/>
      <w:r>
        <w:t xml:space="preserve"> extensive ecosystem, including rich component libraries like Material-UI, accelerates development while maintaining accessibility standards (WCAG 2.1 compliance). The framework's server-side rendering capabilities improve initial load times and search engine visibility, ensuring all citizens can discover and access services effectively.</w:t>
      </w:r>
    </w:p>
    <w:p w14:paraId="22EA5C2E" w14:textId="77777777" w:rsidR="002A7E6C" w:rsidRDefault="00000000">
      <w:pPr>
        <w:pStyle w:val="Textbody"/>
        <w:rPr>
          <w:rFonts w:hint="eastAsia"/>
        </w:rPr>
      </w:pPr>
      <w:r>
        <w:rPr>
          <w:rStyle w:val="StrongEmphasis"/>
        </w:rPr>
        <w:t>Market Position and Alternatives</w:t>
      </w:r>
    </w:p>
    <w:p w14:paraId="13DF101B" w14:textId="77777777" w:rsidR="002A7E6C" w:rsidRDefault="00000000">
      <w:pPr>
        <w:pStyle w:val="Textbody"/>
        <w:numPr>
          <w:ilvl w:val="0"/>
          <w:numId w:val="1"/>
        </w:numPr>
        <w:spacing w:after="0"/>
        <w:rPr>
          <w:rFonts w:hint="eastAsia"/>
        </w:rPr>
      </w:pPr>
      <w:r>
        <w:rPr>
          <w:rStyle w:val="StrongEmphasis"/>
        </w:rPr>
        <w:t>Market Share:</w:t>
      </w:r>
      <w:r>
        <w:t xml:space="preserve"> React dominates the frontend framework landscape with approximately 40% market share among professional developers, according to the 2022 Stack Overflow Developer Survey.</w:t>
      </w:r>
    </w:p>
    <w:p w14:paraId="6F799055" w14:textId="77777777" w:rsidR="002A7E6C" w:rsidRDefault="00000000">
      <w:pPr>
        <w:pStyle w:val="Textbody"/>
        <w:numPr>
          <w:ilvl w:val="0"/>
          <w:numId w:val="1"/>
        </w:numPr>
        <w:spacing w:after="0"/>
        <w:rPr>
          <w:rFonts w:hint="eastAsia"/>
        </w:rPr>
      </w:pPr>
      <w:r>
        <w:rPr>
          <w:rStyle w:val="StrongEmphasis"/>
        </w:rPr>
        <w:t>Open-Source Alternatives:</w:t>
      </w:r>
      <w:r>
        <w:t xml:space="preserve"> Vue.js (18% market share), Angular (23% market share), Svelte (emerging).</w:t>
      </w:r>
    </w:p>
    <w:p w14:paraId="25A2F362" w14:textId="77777777" w:rsidR="002A7E6C" w:rsidRDefault="00000000">
      <w:pPr>
        <w:pStyle w:val="Textbody"/>
        <w:numPr>
          <w:ilvl w:val="0"/>
          <w:numId w:val="1"/>
        </w:numPr>
        <w:rPr>
          <w:rFonts w:hint="eastAsia"/>
        </w:rPr>
      </w:pPr>
      <w:r>
        <w:rPr>
          <w:rStyle w:val="StrongEmphasis"/>
        </w:rPr>
        <w:t>Proprietary Alternatives:</w:t>
      </w:r>
      <w:r>
        <w:t xml:space="preserve"> Essentially none for core web development, though proprietary component libraries exist (e.g., Kendo UI, Sencha Ext JS).</w:t>
      </w:r>
    </w:p>
    <w:p w14:paraId="775FBCA8" w14:textId="77777777" w:rsidR="002A7E6C" w:rsidRDefault="00000000">
      <w:pPr>
        <w:pStyle w:val="Textbody"/>
        <w:rPr>
          <w:rFonts w:hint="eastAsia"/>
        </w:rPr>
      </w:pPr>
      <w:r>
        <w:t>React was preferred over Vue.js due to its larger enterprise adoption and more mature testing ecosystem. Angular was considered but rejected due to its steeper learning curve and heavier bundle size. The selection ensures MPAAI can easily find development talent and access a robust community for long-term maintenance.</w:t>
      </w:r>
    </w:p>
    <w:p w14:paraId="2ED572DE" w14:textId="77777777" w:rsidR="002A7E6C" w:rsidRDefault="00000000">
      <w:pPr>
        <w:pStyle w:val="Heading3"/>
        <w:rPr>
          <w:rFonts w:hint="eastAsia"/>
        </w:rPr>
      </w:pPr>
      <w:bookmarkStart w:id="4" w:name="12-mobile-application-react-native"/>
      <w:bookmarkEnd w:id="4"/>
      <w:r>
        <w:rPr>
          <w:rStyle w:val="StrongEmphasis"/>
        </w:rPr>
        <w:lastRenderedPageBreak/>
        <w:t>1.2 Mobile Application (React Native)</w:t>
      </w:r>
    </w:p>
    <w:p w14:paraId="4DA46F9C" w14:textId="77777777" w:rsidR="002A7E6C" w:rsidRDefault="00000000">
      <w:pPr>
        <w:pStyle w:val="Textbody"/>
        <w:rPr>
          <w:rFonts w:hint="eastAsia"/>
        </w:rPr>
      </w:pPr>
      <w:r>
        <w:rPr>
          <w:rStyle w:val="StrongEmphasis"/>
        </w:rPr>
        <w:t>Description and Functionality</w:t>
      </w:r>
      <w:r>
        <w:t xml:space="preserve"> </w:t>
      </w:r>
      <w:proofErr w:type="gramStart"/>
      <w:r>
        <w:t>The</w:t>
      </w:r>
      <w:proofErr w:type="gramEnd"/>
      <w:r>
        <w:t xml:space="preserve"> React Native mobile application provides native-like experiences on both iOS and Android platforms from a single codebase. It mirrors web portal functionality while leveraging device-specific capabilities like push notifications, camera access, and location services. The app enables offline form drafting, barcode scanning for document submission, and biometric authentication integration.</w:t>
      </w:r>
    </w:p>
    <w:p w14:paraId="385AA005" w14:textId="77777777" w:rsidR="002A7E6C" w:rsidRDefault="00000000">
      <w:pPr>
        <w:pStyle w:val="Textbody"/>
        <w:rPr>
          <w:rFonts w:hint="eastAsia"/>
        </w:rPr>
      </w:pPr>
      <w:r>
        <w:rPr>
          <w:rStyle w:val="StrongEmphasis"/>
        </w:rPr>
        <w:t>Technical Merits and Selection Rationale</w:t>
      </w:r>
      <w:r>
        <w:t xml:space="preserve"> The primary advantage of React Native is code reusability—approximately 85-90% of business logic can be shared between web and mobile platforms, significantly reducing development and maintenance costs. The framework provides true native performance by rendering platform-specific UI components rather than web views.</w:t>
      </w:r>
    </w:p>
    <w:p w14:paraId="07B9AC52" w14:textId="77777777" w:rsidR="002A7E6C" w:rsidRDefault="00000000">
      <w:pPr>
        <w:pStyle w:val="Textbody"/>
        <w:rPr>
          <w:rFonts w:hint="eastAsia"/>
        </w:rPr>
      </w:pPr>
      <w:r>
        <w:t xml:space="preserve">Hot-reload capabilities during development accelerate iteration cycles, while the large ecosystem of pre-built modules (via </w:t>
      </w:r>
      <w:proofErr w:type="spellStart"/>
      <w:r>
        <w:t>npm</w:t>
      </w:r>
      <w:proofErr w:type="spellEnd"/>
      <w:r>
        <w:t>) allows rapid integration of complex features like document scanning, digital signatures, and secure storage. For a government platform serving diverse mobile devices across Trinidad and Tobago, React Native's consistent performance across device tiers was decisive.</w:t>
      </w:r>
    </w:p>
    <w:p w14:paraId="79148AB8" w14:textId="77777777" w:rsidR="002A7E6C" w:rsidRDefault="00000000">
      <w:pPr>
        <w:pStyle w:val="Textbody"/>
        <w:rPr>
          <w:rFonts w:hint="eastAsia"/>
        </w:rPr>
      </w:pPr>
      <w:r>
        <w:rPr>
          <w:rStyle w:val="StrongEmphasis"/>
        </w:rPr>
        <w:t>Market Position and Alternatives</w:t>
      </w:r>
    </w:p>
    <w:p w14:paraId="241AB93E" w14:textId="77777777" w:rsidR="002A7E6C" w:rsidRDefault="00000000">
      <w:pPr>
        <w:pStyle w:val="Textbody"/>
        <w:numPr>
          <w:ilvl w:val="0"/>
          <w:numId w:val="2"/>
        </w:numPr>
        <w:spacing w:after="0"/>
        <w:rPr>
          <w:rFonts w:hint="eastAsia"/>
        </w:rPr>
      </w:pPr>
      <w:r>
        <w:rPr>
          <w:rStyle w:val="StrongEmphasis"/>
        </w:rPr>
        <w:t>Market Share:</w:t>
      </w:r>
      <w:r>
        <w:t xml:space="preserve"> React Native leads cross-platform mobile development with approximately 38% usage among mobile developers, followed by Flutter at 42% (Statista, 2023).</w:t>
      </w:r>
    </w:p>
    <w:p w14:paraId="304157DD" w14:textId="77777777" w:rsidR="002A7E6C" w:rsidRDefault="00000000">
      <w:pPr>
        <w:pStyle w:val="Textbody"/>
        <w:numPr>
          <w:ilvl w:val="0"/>
          <w:numId w:val="2"/>
        </w:numPr>
        <w:spacing w:after="0"/>
        <w:rPr>
          <w:rFonts w:hint="eastAsia"/>
        </w:rPr>
      </w:pPr>
      <w:r>
        <w:rPr>
          <w:rStyle w:val="StrongEmphasis"/>
        </w:rPr>
        <w:t>Open-Source Alternatives:</w:t>
      </w:r>
      <w:r>
        <w:t xml:space="preserve"> Flutter (Google), Ionic (web-based), Apache Cordova.</w:t>
      </w:r>
    </w:p>
    <w:p w14:paraId="55D4990B" w14:textId="77777777" w:rsidR="002A7E6C" w:rsidRDefault="00000000">
      <w:pPr>
        <w:pStyle w:val="Textbody"/>
        <w:numPr>
          <w:ilvl w:val="0"/>
          <w:numId w:val="2"/>
        </w:numPr>
        <w:rPr>
          <w:rFonts w:hint="eastAsia"/>
        </w:rPr>
      </w:pPr>
      <w:r>
        <w:rPr>
          <w:rStyle w:val="StrongEmphasis"/>
        </w:rPr>
        <w:t>Proprietary Alternatives:</w:t>
      </w:r>
      <w:r>
        <w:t xml:space="preserve"> Xamarin (Microsoft), </w:t>
      </w:r>
      <w:proofErr w:type="spellStart"/>
      <w:r>
        <w:t>NativeScript</w:t>
      </w:r>
      <w:proofErr w:type="spellEnd"/>
      <w:r>
        <w:t>.</w:t>
      </w:r>
    </w:p>
    <w:p w14:paraId="58001A14" w14:textId="77777777" w:rsidR="002A7E6C" w:rsidRDefault="00000000">
      <w:pPr>
        <w:pStyle w:val="Textbody"/>
        <w:rPr>
          <w:rFonts w:hint="eastAsia"/>
        </w:rPr>
      </w:pPr>
      <w:r>
        <w:t>Flutter was seriously considered but React Native was selected due to its JavaScript foundation (aligning with the web portal) and more mature ecosystem. Native development (Swift/Kotlin) was evaluated but rejected due to the 2x development cost for maintaining separate codebases.</w:t>
      </w:r>
    </w:p>
    <w:p w14:paraId="16F55E5D" w14:textId="77777777" w:rsidR="002A7E6C" w:rsidRDefault="00000000">
      <w:pPr>
        <w:pStyle w:val="Heading3"/>
        <w:rPr>
          <w:rFonts w:hint="eastAsia"/>
        </w:rPr>
      </w:pPr>
      <w:bookmarkStart w:id="5" w:name="13-phonevoice-channel-asterisk"/>
      <w:bookmarkEnd w:id="5"/>
      <w:r>
        <w:rPr>
          <w:rStyle w:val="StrongEmphasis"/>
        </w:rPr>
        <w:t>1.3 Phone/Voice Channel (Asterisk)</w:t>
      </w:r>
    </w:p>
    <w:p w14:paraId="5E31DB3E" w14:textId="77777777" w:rsidR="002A7E6C" w:rsidRDefault="00000000">
      <w:pPr>
        <w:pStyle w:val="Textbody"/>
        <w:rPr>
          <w:rFonts w:hint="eastAsia"/>
        </w:rPr>
      </w:pPr>
      <w:r>
        <w:rPr>
          <w:rStyle w:val="StrongEmphasis"/>
        </w:rPr>
        <w:t>Description and Functionality</w:t>
      </w:r>
      <w:r>
        <w:t xml:space="preserve"> Asterisk </w:t>
      </w:r>
      <w:proofErr w:type="gramStart"/>
      <w:r>
        <w:t>serves</w:t>
      </w:r>
      <w:proofErr w:type="gramEnd"/>
      <w:r>
        <w:t xml:space="preserve"> as the telephony engine for Interactive Voice Response (IVR) systems and call center functionality. It transforms traditional phone interactions into digitally managed cases within the CSMP. Citizens can call dedicated numbers, navigate voice menus, provide information via voice or keypad, and be routed to appropriate services—all while creating structured cases in the central platform.</w:t>
      </w:r>
    </w:p>
    <w:p w14:paraId="39B4C1F9" w14:textId="77777777" w:rsidR="002A7E6C" w:rsidRDefault="00000000">
      <w:pPr>
        <w:pStyle w:val="Textbody"/>
        <w:rPr>
          <w:rFonts w:hint="eastAsia"/>
        </w:rPr>
      </w:pPr>
      <w:r>
        <w:rPr>
          <w:rStyle w:val="StrongEmphasis"/>
        </w:rPr>
        <w:t>Technical Merits and Selection Rationale</w:t>
      </w:r>
      <w:r>
        <w:t xml:space="preserve"> Asterisk was selected as the world's most popular open-source telephony platform, capable of handling everything from simple IVR to complex call center operations with skills-based routing. Its modular architecture supports Voice over IP (VoIP) protocols (SIP, IAX) and integrates with traditional Public Switched Telephone Network (PSTN) systems via telephony cards.</w:t>
      </w:r>
    </w:p>
    <w:p w14:paraId="66824F3D" w14:textId="77777777" w:rsidR="002A7E6C" w:rsidRDefault="00000000">
      <w:pPr>
        <w:pStyle w:val="Textbody"/>
        <w:rPr>
          <w:rFonts w:hint="eastAsia"/>
        </w:rPr>
      </w:pPr>
      <w:r>
        <w:t>The platform's AGI (Asterisk Gateway Interface) enables sophisticated integration with the core Django application, allowing real-time data exchange during calls. For citizens with limited digital access or complex inquiries, Asterisk ensures telephone remains a first-class service channel while maintaining full integration with the digital platform.</w:t>
      </w:r>
    </w:p>
    <w:p w14:paraId="3026B293" w14:textId="77777777" w:rsidR="002A7E6C" w:rsidRDefault="00000000">
      <w:pPr>
        <w:pStyle w:val="Textbody"/>
        <w:rPr>
          <w:rFonts w:hint="eastAsia"/>
        </w:rPr>
      </w:pPr>
      <w:r>
        <w:rPr>
          <w:rStyle w:val="StrongEmphasis"/>
        </w:rPr>
        <w:t>Market Position and Alternatives</w:t>
      </w:r>
    </w:p>
    <w:p w14:paraId="579D7BF4" w14:textId="77777777" w:rsidR="002A7E6C" w:rsidRDefault="00000000">
      <w:pPr>
        <w:pStyle w:val="Textbody"/>
        <w:numPr>
          <w:ilvl w:val="0"/>
          <w:numId w:val="3"/>
        </w:numPr>
        <w:spacing w:after="0"/>
        <w:rPr>
          <w:rFonts w:hint="eastAsia"/>
        </w:rPr>
      </w:pPr>
      <w:r>
        <w:rPr>
          <w:rStyle w:val="StrongEmphasis"/>
        </w:rPr>
        <w:t>Market Share:</w:t>
      </w:r>
      <w:r>
        <w:t xml:space="preserve"> Asterisk powers an estimated 20% of all business telephone systems worldwide, with over 2 million deployments.</w:t>
      </w:r>
    </w:p>
    <w:p w14:paraId="4FA93594" w14:textId="77777777" w:rsidR="002A7E6C" w:rsidRDefault="00000000">
      <w:pPr>
        <w:pStyle w:val="Textbody"/>
        <w:numPr>
          <w:ilvl w:val="0"/>
          <w:numId w:val="3"/>
        </w:numPr>
        <w:spacing w:after="0"/>
        <w:rPr>
          <w:rFonts w:hint="eastAsia"/>
        </w:rPr>
      </w:pPr>
      <w:r>
        <w:rPr>
          <w:rStyle w:val="StrongEmphasis"/>
        </w:rPr>
        <w:t>Open-Source Alternatives:</w:t>
      </w:r>
      <w:r>
        <w:t xml:space="preserve"> </w:t>
      </w:r>
      <w:proofErr w:type="spellStart"/>
      <w:r>
        <w:t>FreeSWITCH</w:t>
      </w:r>
      <w:proofErr w:type="spellEnd"/>
      <w:r>
        <w:t xml:space="preserve"> (more modern, slightly steeper learning curve).</w:t>
      </w:r>
    </w:p>
    <w:p w14:paraId="297944DC" w14:textId="77777777" w:rsidR="002A7E6C" w:rsidRDefault="00000000">
      <w:pPr>
        <w:pStyle w:val="Textbody"/>
        <w:numPr>
          <w:ilvl w:val="0"/>
          <w:numId w:val="3"/>
        </w:numPr>
        <w:rPr>
          <w:rFonts w:hint="eastAsia"/>
        </w:rPr>
      </w:pPr>
      <w:r>
        <w:rPr>
          <w:rStyle w:val="StrongEmphasis"/>
        </w:rPr>
        <w:t>Proprietary Alternatives:</w:t>
      </w:r>
      <w:r>
        <w:t xml:space="preserve"> Amazon Connect, Twilio Flex, Genesys Cloud, Avaya IX.</w:t>
      </w:r>
    </w:p>
    <w:p w14:paraId="2C537A73" w14:textId="77777777" w:rsidR="002A7E6C" w:rsidRDefault="00000000">
      <w:pPr>
        <w:pStyle w:val="Textbody"/>
        <w:rPr>
          <w:rFonts w:hint="eastAsia"/>
        </w:rPr>
      </w:pPr>
      <w:r>
        <w:t xml:space="preserve">Proprietary cloud solutions like Amazon Connect were considered but rejected due to data sovereignty </w:t>
      </w:r>
      <w:r>
        <w:lastRenderedPageBreak/>
        <w:t>concerns and ongoing subscription costs. Asterisk's self-hosted nature gives MPAAI complete control over telephony infrastructure and citizen call data.</w:t>
      </w:r>
    </w:p>
    <w:p w14:paraId="198D4F0B" w14:textId="77777777" w:rsidR="002A7E6C" w:rsidRDefault="00000000">
      <w:pPr>
        <w:pStyle w:val="Heading3"/>
        <w:rPr>
          <w:rFonts w:hint="eastAsia"/>
        </w:rPr>
      </w:pPr>
      <w:bookmarkStart w:id="6" w:name="14-sms-channel-custom-integration"/>
      <w:bookmarkEnd w:id="6"/>
      <w:r>
        <w:rPr>
          <w:rStyle w:val="StrongEmphasis"/>
        </w:rPr>
        <w:t>1.4 SMS Channel (Custom Integration)</w:t>
      </w:r>
    </w:p>
    <w:p w14:paraId="5D1E147D" w14:textId="77777777" w:rsidR="002A7E6C" w:rsidRDefault="00000000">
      <w:pPr>
        <w:pStyle w:val="Textbody"/>
        <w:rPr>
          <w:rFonts w:hint="eastAsia"/>
        </w:rPr>
      </w:pPr>
      <w:r>
        <w:rPr>
          <w:rStyle w:val="StrongEmphasis"/>
        </w:rPr>
        <w:t>Description and Functionality</w:t>
      </w:r>
      <w:r>
        <w:t xml:space="preserve"> </w:t>
      </w:r>
      <w:proofErr w:type="gramStart"/>
      <w:r>
        <w:t>The</w:t>
      </w:r>
      <w:proofErr w:type="gramEnd"/>
      <w:r>
        <w:t xml:space="preserve"> SMS channel enables two-way text communication between citizens and government services. Citizens can initiate service requests, check case status, and receive automated updates via SMS—critical for reaching populations with feature phones or limited data connectivity. The system supports both programmable SMS APIs and USSD for menu-based interactions.</w:t>
      </w:r>
    </w:p>
    <w:p w14:paraId="6604E1CA" w14:textId="77777777" w:rsidR="002A7E6C" w:rsidRDefault="00000000">
      <w:pPr>
        <w:pStyle w:val="Textbody"/>
        <w:rPr>
          <w:rFonts w:hint="eastAsia"/>
        </w:rPr>
      </w:pPr>
      <w:r>
        <w:rPr>
          <w:rStyle w:val="StrongEmphasis"/>
        </w:rPr>
        <w:t>Technical Merits and Selection Rationale</w:t>
      </w:r>
      <w:r>
        <w:t xml:space="preserve"> Rather than relying on a single framework, the SMS channel integrates directly with local telecommunications providers (Digicel, TSTT) via their REST APIs. This approach ensures maximum deliverability and cost-effectiveness for Trinidad and Tobago-specific deployments.</w:t>
      </w:r>
    </w:p>
    <w:p w14:paraId="6456EF2D" w14:textId="77777777" w:rsidR="002A7E6C" w:rsidRDefault="00000000">
      <w:pPr>
        <w:pStyle w:val="Textbody"/>
        <w:rPr>
          <w:rFonts w:hint="eastAsia"/>
        </w:rPr>
      </w:pPr>
      <w:r>
        <w:t xml:space="preserve">The channel incorporates natural language processing to interpret unstructured SMS messages, automatically creating cases or retrieving status information. For citizens, this provides a familiar, accessible communication channel without requiring smartphone ownership or data </w:t>
      </w:r>
      <w:proofErr w:type="gramStart"/>
      <w:r>
        <w:t>plans—a</w:t>
      </w:r>
      <w:proofErr w:type="gramEnd"/>
      <w:r>
        <w:t xml:space="preserve"> crucial inclusion for digital equity.</w:t>
      </w:r>
    </w:p>
    <w:p w14:paraId="762287A8" w14:textId="77777777" w:rsidR="002A7E6C" w:rsidRDefault="00000000">
      <w:pPr>
        <w:pStyle w:val="Textbody"/>
        <w:rPr>
          <w:rFonts w:hint="eastAsia"/>
        </w:rPr>
      </w:pPr>
      <w:r>
        <w:rPr>
          <w:rStyle w:val="StrongEmphasis"/>
        </w:rPr>
        <w:t>Market Position and Alternatives</w:t>
      </w:r>
    </w:p>
    <w:p w14:paraId="25BB30F8" w14:textId="77777777" w:rsidR="002A7E6C" w:rsidRDefault="00000000">
      <w:pPr>
        <w:pStyle w:val="Textbody"/>
        <w:numPr>
          <w:ilvl w:val="0"/>
          <w:numId w:val="4"/>
        </w:numPr>
        <w:spacing w:after="0"/>
        <w:rPr>
          <w:rFonts w:hint="eastAsia"/>
        </w:rPr>
      </w:pPr>
      <w:r>
        <w:rPr>
          <w:rStyle w:val="StrongEmphasis"/>
        </w:rPr>
        <w:t>Market Share:</w:t>
      </w:r>
      <w:r>
        <w:t xml:space="preserve"> Custom telecom API integration represents the most common approach for national-scale systems in the Caribbean region.</w:t>
      </w:r>
    </w:p>
    <w:p w14:paraId="1952542A" w14:textId="77777777" w:rsidR="002A7E6C" w:rsidRDefault="00000000">
      <w:pPr>
        <w:pStyle w:val="Textbody"/>
        <w:numPr>
          <w:ilvl w:val="0"/>
          <w:numId w:val="4"/>
        </w:numPr>
        <w:rPr>
          <w:rFonts w:hint="eastAsia"/>
        </w:rPr>
      </w:pPr>
      <w:r>
        <w:rPr>
          <w:rStyle w:val="StrongEmphasis"/>
        </w:rPr>
        <w:t>Proprietary Alternatives:</w:t>
      </w:r>
      <w:r>
        <w:t xml:space="preserve"> Twilio, </w:t>
      </w:r>
      <w:proofErr w:type="spellStart"/>
      <w:r>
        <w:t>MessageBird</w:t>
      </w:r>
      <w:proofErr w:type="spellEnd"/>
      <w:r>
        <w:t xml:space="preserve">, Vonage (formerly </w:t>
      </w:r>
      <w:proofErr w:type="spellStart"/>
      <w:r>
        <w:t>Nexmo</w:t>
      </w:r>
      <w:proofErr w:type="spellEnd"/>
      <w:r>
        <w:t>).</w:t>
      </w:r>
    </w:p>
    <w:p w14:paraId="0673A056" w14:textId="77777777" w:rsidR="002A7E6C" w:rsidRDefault="00000000">
      <w:pPr>
        <w:pStyle w:val="Textbody"/>
        <w:rPr>
          <w:rFonts w:hint="eastAsia"/>
        </w:rPr>
      </w:pPr>
      <w:r>
        <w:t>While cloud platforms like Twilio offer simpler implementation, direct telecom integration was preferred for cost control (avoiding markup), data sovereignty, and reliability during internet outages.</w:t>
      </w:r>
    </w:p>
    <w:p w14:paraId="1CDAA4E3" w14:textId="77777777" w:rsidR="002A7E6C" w:rsidRDefault="00000000">
      <w:pPr>
        <w:pStyle w:val="Heading3"/>
        <w:rPr>
          <w:rFonts w:hint="eastAsia"/>
        </w:rPr>
      </w:pPr>
      <w:bookmarkStart w:id="7" w:name="15-social-media-and-email-integration"/>
      <w:bookmarkEnd w:id="7"/>
      <w:r>
        <w:rPr>
          <w:rStyle w:val="StrongEmphasis"/>
        </w:rPr>
        <w:t>1.5 Social Media and Email Integration</w:t>
      </w:r>
    </w:p>
    <w:p w14:paraId="0AF4614C" w14:textId="77777777" w:rsidR="002A7E6C" w:rsidRDefault="00000000">
      <w:pPr>
        <w:pStyle w:val="Textbody"/>
        <w:rPr>
          <w:rFonts w:hint="eastAsia"/>
        </w:rPr>
      </w:pPr>
      <w:r>
        <w:rPr>
          <w:rStyle w:val="StrongEmphasis"/>
        </w:rPr>
        <w:t>Description and Functionality</w:t>
      </w:r>
      <w:r>
        <w:t xml:space="preserve"> This component integrates popular social media platforms (Facebook, Twitter/X, WhatsApp Business) and email into the unified service management system. Citizens can message government accounts on their preferred platforms, with all interactions automatically converted into trackable cases. Email integration processes structured inquiries and attachments into the case management workflow.</w:t>
      </w:r>
    </w:p>
    <w:p w14:paraId="5C45695D" w14:textId="77777777" w:rsidR="002A7E6C" w:rsidRDefault="00000000">
      <w:pPr>
        <w:pStyle w:val="Textbody"/>
        <w:rPr>
          <w:rFonts w:hint="eastAsia"/>
        </w:rPr>
      </w:pPr>
      <w:r>
        <w:rPr>
          <w:rStyle w:val="StrongEmphasis"/>
        </w:rPr>
        <w:t>Technical Merits and Selection Rationale</w:t>
      </w:r>
      <w:r>
        <w:t xml:space="preserve"> Using platform-specific APIs (Facebook Graph API, Twitter API, WhatsApp Business API), this channel provides official, managed presence on social platforms where citizens are already active. </w:t>
      </w:r>
      <w:proofErr w:type="gramStart"/>
      <w:r>
        <w:t>The integration</w:t>
      </w:r>
      <w:proofErr w:type="gramEnd"/>
      <w:r>
        <w:t xml:space="preserve"> includes sentiment analysis to prioritize urgent cases and automated responses for common inquiries.</w:t>
      </w:r>
    </w:p>
    <w:p w14:paraId="6DE7FCEF" w14:textId="77777777" w:rsidR="002A7E6C" w:rsidRDefault="00000000">
      <w:pPr>
        <w:pStyle w:val="Textbody"/>
        <w:rPr>
          <w:rFonts w:hint="eastAsia"/>
        </w:rPr>
      </w:pPr>
      <w:r>
        <w:t>Email processing employs natural language understanding to categorize requests, extract key information, and route to appropriate ministries. Unlike simple email forwarding, this maintains full integration with SLA tracking, citizen profiles, and service analytics.</w:t>
      </w:r>
    </w:p>
    <w:p w14:paraId="77DF4918" w14:textId="77777777" w:rsidR="002A7E6C" w:rsidRDefault="00000000">
      <w:pPr>
        <w:pStyle w:val="Textbody"/>
        <w:rPr>
          <w:rFonts w:hint="eastAsia"/>
        </w:rPr>
      </w:pPr>
      <w:r>
        <w:rPr>
          <w:rStyle w:val="StrongEmphasis"/>
        </w:rPr>
        <w:t>Market Position and Alternatives</w:t>
      </w:r>
    </w:p>
    <w:p w14:paraId="4C0409B1" w14:textId="77777777" w:rsidR="002A7E6C" w:rsidRDefault="00000000">
      <w:pPr>
        <w:pStyle w:val="Textbody"/>
        <w:numPr>
          <w:ilvl w:val="0"/>
          <w:numId w:val="5"/>
        </w:numPr>
        <w:spacing w:after="0"/>
        <w:rPr>
          <w:rFonts w:hint="eastAsia"/>
        </w:rPr>
      </w:pPr>
      <w:r>
        <w:rPr>
          <w:rStyle w:val="StrongEmphasis"/>
        </w:rPr>
        <w:t>Market Share:</w:t>
      </w:r>
      <w:r>
        <w:t xml:space="preserve"> Custom social media integration is standard for modern citizen service platforms.</w:t>
      </w:r>
    </w:p>
    <w:p w14:paraId="51F49B66" w14:textId="77777777" w:rsidR="002A7E6C" w:rsidRDefault="00000000">
      <w:pPr>
        <w:pStyle w:val="Textbody"/>
        <w:numPr>
          <w:ilvl w:val="0"/>
          <w:numId w:val="5"/>
        </w:numPr>
        <w:rPr>
          <w:rFonts w:hint="eastAsia"/>
        </w:rPr>
      </w:pPr>
      <w:r>
        <w:rPr>
          <w:rStyle w:val="StrongEmphasis"/>
        </w:rPr>
        <w:t>Proprietary Alternatives:</w:t>
      </w:r>
      <w:r>
        <w:t xml:space="preserve"> Zendesk, Freshdesk, Salesforce Service Cloud.</w:t>
      </w:r>
    </w:p>
    <w:p w14:paraId="2FFA7890" w14:textId="77777777" w:rsidR="002A7E6C" w:rsidRDefault="00000000">
      <w:pPr>
        <w:pStyle w:val="Textbody"/>
        <w:rPr>
          <w:rFonts w:hint="eastAsia"/>
        </w:rPr>
      </w:pPr>
      <w:r>
        <w:t>While proprietary customer service platforms offer social media integration, their closed nature limits customization and creates vendor lock-in. The custom API approach ensures MPAAI retains full control over citizen data and service workflows.</w:t>
      </w:r>
    </w:p>
    <w:p w14:paraId="36F0045B" w14:textId="77777777" w:rsidR="002A7E6C" w:rsidRDefault="00000000">
      <w:pPr>
        <w:pStyle w:val="Heading2"/>
        <w:rPr>
          <w:rFonts w:hint="eastAsia"/>
        </w:rPr>
      </w:pPr>
      <w:bookmarkStart w:id="8" w:name="chapter-2-omnichannel-ingestion-and-unif"/>
      <w:bookmarkEnd w:id="8"/>
      <w:r>
        <w:rPr>
          <w:rStyle w:val="StrongEmphasis"/>
        </w:rPr>
        <w:lastRenderedPageBreak/>
        <w:t>Chapter 2: Omnichannel Ingestion and Unification Layer</w:t>
      </w:r>
    </w:p>
    <w:p w14:paraId="30E3DAF2" w14:textId="77777777" w:rsidR="002A7E6C" w:rsidRDefault="00000000">
      <w:pPr>
        <w:pStyle w:val="Heading3"/>
        <w:rPr>
          <w:rFonts w:hint="eastAsia"/>
        </w:rPr>
      </w:pPr>
      <w:bookmarkStart w:id="9" w:name="21-matrix-protocol-communication-backbon"/>
      <w:bookmarkEnd w:id="9"/>
      <w:r>
        <w:rPr>
          <w:rStyle w:val="StrongEmphasis"/>
        </w:rPr>
        <w:t>2.1 Matrix Protocol (Communication Backbone)</w:t>
      </w:r>
    </w:p>
    <w:p w14:paraId="30533F1F" w14:textId="77777777" w:rsidR="002A7E6C" w:rsidRDefault="00000000">
      <w:pPr>
        <w:pStyle w:val="Textbody"/>
        <w:rPr>
          <w:rFonts w:hint="eastAsia"/>
        </w:rPr>
      </w:pPr>
      <w:r>
        <w:rPr>
          <w:rStyle w:val="StrongEmphasis"/>
        </w:rPr>
        <w:t>Description and Functionality</w:t>
      </w:r>
      <w:r>
        <w:t xml:space="preserve"> Matrix </w:t>
      </w:r>
      <w:proofErr w:type="gramStart"/>
      <w:r>
        <w:t>serves</w:t>
      </w:r>
      <w:proofErr w:type="gramEnd"/>
      <w:r>
        <w:t xml:space="preserve"> as the decentralized communication protocol that unifies all citizen interactions across channels. It provides the real-time data layer that ensures a citizen's SMS, social media message, phone call, and web inquiry are all connected to a single conversation history and case file.</w:t>
      </w:r>
    </w:p>
    <w:p w14:paraId="04A94D80" w14:textId="77777777" w:rsidR="002A7E6C" w:rsidRDefault="00000000">
      <w:pPr>
        <w:pStyle w:val="Textbody"/>
        <w:rPr>
          <w:rFonts w:hint="eastAsia"/>
        </w:rPr>
      </w:pPr>
      <w:r>
        <w:rPr>
          <w:rStyle w:val="StrongEmphasis"/>
        </w:rPr>
        <w:t>Technical Merits and Selection Rationale</w:t>
      </w:r>
      <w:r>
        <w:t xml:space="preserve"> Matrix </w:t>
      </w:r>
      <w:proofErr w:type="gramStart"/>
      <w:r>
        <w:t>was</w:t>
      </w:r>
      <w:proofErr w:type="gramEnd"/>
      <w:r>
        <w:t xml:space="preserve"> selected for its open standard and decentralized architecture—unlike proprietary alternatives, it cannot be discontinued or subject to arbitrary pricing changes. The protocol's end-to-end encryption ensures citizen communications remain confidential, while its federation capabilities allow future integration with other government communication systems.</w:t>
      </w:r>
    </w:p>
    <w:p w14:paraId="6E0ED4AE" w14:textId="77777777" w:rsidR="002A7E6C" w:rsidRDefault="00000000">
      <w:pPr>
        <w:pStyle w:val="Textbody"/>
        <w:rPr>
          <w:rFonts w:hint="eastAsia"/>
        </w:rPr>
      </w:pPr>
      <w:r>
        <w:t xml:space="preserve">The protocol maintains conversation state across channels, enabling seamless handoffs (e.g., starting an inquiry via SMS and </w:t>
      </w:r>
      <w:proofErr w:type="gramStart"/>
      <w:r>
        <w:t>continuing on</w:t>
      </w:r>
      <w:proofErr w:type="gramEnd"/>
      <w:r>
        <w:t xml:space="preserve"> web chat). For MPAAI, this means citizens receive continuous service regardless of communication channel while agents access complete interaction history.</w:t>
      </w:r>
    </w:p>
    <w:p w14:paraId="4A02055B" w14:textId="77777777" w:rsidR="002A7E6C" w:rsidRDefault="00000000">
      <w:pPr>
        <w:pStyle w:val="Textbody"/>
        <w:rPr>
          <w:rFonts w:hint="eastAsia"/>
        </w:rPr>
      </w:pPr>
      <w:r>
        <w:rPr>
          <w:rStyle w:val="StrongEmphasis"/>
        </w:rPr>
        <w:t>Market Position and Alternatives</w:t>
      </w:r>
    </w:p>
    <w:p w14:paraId="4A944E7F" w14:textId="77777777" w:rsidR="002A7E6C" w:rsidRDefault="00000000">
      <w:pPr>
        <w:pStyle w:val="Textbody"/>
        <w:numPr>
          <w:ilvl w:val="0"/>
          <w:numId w:val="6"/>
        </w:numPr>
        <w:spacing w:after="0"/>
        <w:rPr>
          <w:rFonts w:hint="eastAsia"/>
        </w:rPr>
      </w:pPr>
      <w:r>
        <w:rPr>
          <w:rStyle w:val="StrongEmphasis"/>
        </w:rPr>
        <w:t>Market Share:</w:t>
      </w:r>
      <w:r>
        <w:t xml:space="preserve"> Matrix is the leading open standard for decentralized communication, used by governments including France and Germany.</w:t>
      </w:r>
    </w:p>
    <w:p w14:paraId="36944131" w14:textId="77777777" w:rsidR="002A7E6C" w:rsidRDefault="00000000">
      <w:pPr>
        <w:pStyle w:val="Textbody"/>
        <w:numPr>
          <w:ilvl w:val="0"/>
          <w:numId w:val="6"/>
        </w:numPr>
        <w:spacing w:after="0"/>
        <w:rPr>
          <w:rFonts w:hint="eastAsia"/>
        </w:rPr>
      </w:pPr>
      <w:r>
        <w:rPr>
          <w:rStyle w:val="StrongEmphasis"/>
        </w:rPr>
        <w:t>Open-Source Alternatives:</w:t>
      </w:r>
      <w:r>
        <w:t xml:space="preserve"> XMPP (older, less modern feature set).</w:t>
      </w:r>
    </w:p>
    <w:p w14:paraId="7095D395" w14:textId="77777777" w:rsidR="002A7E6C" w:rsidRDefault="00000000">
      <w:pPr>
        <w:pStyle w:val="Textbody"/>
        <w:numPr>
          <w:ilvl w:val="0"/>
          <w:numId w:val="6"/>
        </w:numPr>
        <w:rPr>
          <w:rFonts w:hint="eastAsia"/>
        </w:rPr>
      </w:pPr>
      <w:r>
        <w:rPr>
          <w:rStyle w:val="StrongEmphasis"/>
        </w:rPr>
        <w:t>Proprietary Alternatives:</w:t>
      </w:r>
      <w:r>
        <w:t xml:space="preserve"> Proprietary SDKs from communication platform as a service (</w:t>
      </w:r>
      <w:proofErr w:type="spellStart"/>
      <w:r>
        <w:t>CPaaS</w:t>
      </w:r>
      <w:proofErr w:type="spellEnd"/>
      <w:r>
        <w:t xml:space="preserve">) </w:t>
      </w:r>
      <w:proofErr w:type="gramStart"/>
      <w:r>
        <w:t>providers</w:t>
      </w:r>
      <w:proofErr w:type="gramEnd"/>
      <w:r>
        <w:t>.</w:t>
      </w:r>
    </w:p>
    <w:p w14:paraId="3EE2F2B7" w14:textId="77777777" w:rsidR="002A7E6C" w:rsidRDefault="00000000">
      <w:pPr>
        <w:pStyle w:val="Textbody"/>
        <w:rPr>
          <w:rFonts w:hint="eastAsia"/>
        </w:rPr>
      </w:pPr>
      <w:r>
        <w:t>Matrix was preferred over XMPP due to its modern architecture, better mobile support, and stronger encryption. The decentralized nature aligns with government needs for digital sovereignty.</w:t>
      </w:r>
    </w:p>
    <w:p w14:paraId="23862C6D" w14:textId="77777777" w:rsidR="002A7E6C" w:rsidRDefault="00000000">
      <w:pPr>
        <w:pStyle w:val="Heading3"/>
        <w:rPr>
          <w:rFonts w:hint="eastAsia"/>
        </w:rPr>
      </w:pPr>
      <w:bookmarkStart w:id="10" w:name="22-ai-chatbot-rasa-open-source"/>
      <w:bookmarkEnd w:id="10"/>
      <w:r>
        <w:rPr>
          <w:rStyle w:val="StrongEmphasis"/>
        </w:rPr>
        <w:t>2.2 AI Chatbot (Rasa Open Source)</w:t>
      </w:r>
    </w:p>
    <w:p w14:paraId="6D63122F" w14:textId="77777777" w:rsidR="002A7E6C" w:rsidRDefault="00000000">
      <w:pPr>
        <w:pStyle w:val="Textbody"/>
        <w:rPr>
          <w:rFonts w:hint="eastAsia"/>
        </w:rPr>
      </w:pPr>
      <w:r>
        <w:rPr>
          <w:rStyle w:val="StrongEmphasis"/>
        </w:rPr>
        <w:t>Description and Functionality</w:t>
      </w:r>
      <w:r>
        <w:t xml:space="preserve"> Rasa </w:t>
      </w:r>
      <w:proofErr w:type="gramStart"/>
      <w:r>
        <w:t>provides</w:t>
      </w:r>
      <w:proofErr w:type="gramEnd"/>
      <w:r>
        <w:t xml:space="preserve"> the natural language understanding and dialogue management for the AI-powered virtual assistant. It handles frequently asked questions, classifies service intents, collects required information, and can execute simple transactions—all while maintaining contextual awareness across conversation turns.</w:t>
      </w:r>
    </w:p>
    <w:p w14:paraId="0CBD84F2" w14:textId="77777777" w:rsidR="002A7E6C" w:rsidRDefault="00000000">
      <w:pPr>
        <w:pStyle w:val="Textbody"/>
        <w:rPr>
          <w:rFonts w:hint="eastAsia"/>
        </w:rPr>
      </w:pPr>
      <w:r>
        <w:rPr>
          <w:rStyle w:val="StrongEmphasis"/>
        </w:rPr>
        <w:t>Technical Merits and Selection Rationale</w:t>
      </w:r>
      <w:r>
        <w:t xml:space="preserve"> Rasa </w:t>
      </w:r>
      <w:proofErr w:type="gramStart"/>
      <w:r>
        <w:t>was</w:t>
      </w:r>
      <w:proofErr w:type="gramEnd"/>
      <w:r>
        <w:t xml:space="preserve"> selected over simpler chatbot frameworks due to its machine learning foundation and contextual understanding capabilities. Unlike rule-based systems, Rasa's transformer-based models understand paraphrasing, follow-up questions, and complex multi-intent utterances.</w:t>
      </w:r>
    </w:p>
    <w:p w14:paraId="5DA1F2BB" w14:textId="77777777" w:rsidR="002A7E6C" w:rsidRDefault="00000000">
      <w:pPr>
        <w:pStyle w:val="Textbody"/>
        <w:rPr>
          <w:rFonts w:hint="eastAsia"/>
        </w:rPr>
      </w:pPr>
      <w:r>
        <w:t>The framework's custom action server integrates directly with Django APIs, allowing the chatbot to execute real business processes (checking case status, calculating service eligibility) rather than just providing information. Rasa's conversation-driven development approach ensures the assistant improves continuously based on real citizen interactions.</w:t>
      </w:r>
    </w:p>
    <w:p w14:paraId="28E9E054" w14:textId="77777777" w:rsidR="002A7E6C" w:rsidRDefault="00000000">
      <w:pPr>
        <w:pStyle w:val="Textbody"/>
        <w:rPr>
          <w:rFonts w:hint="eastAsia"/>
        </w:rPr>
      </w:pPr>
      <w:r>
        <w:rPr>
          <w:rStyle w:val="StrongEmphasis"/>
        </w:rPr>
        <w:t>Market Position and Alternatives</w:t>
      </w:r>
    </w:p>
    <w:p w14:paraId="2F4FBBAD" w14:textId="77777777" w:rsidR="002A7E6C" w:rsidRDefault="00000000">
      <w:pPr>
        <w:pStyle w:val="Textbody"/>
        <w:numPr>
          <w:ilvl w:val="0"/>
          <w:numId w:val="7"/>
        </w:numPr>
        <w:spacing w:after="0"/>
        <w:rPr>
          <w:rFonts w:hint="eastAsia"/>
        </w:rPr>
      </w:pPr>
      <w:r>
        <w:rPr>
          <w:rStyle w:val="StrongEmphasis"/>
        </w:rPr>
        <w:t>Market Share:</w:t>
      </w:r>
      <w:r>
        <w:t xml:space="preserve"> Rasa is the leading open-source conversational AI platform with approximately 10 million downloads.</w:t>
      </w:r>
    </w:p>
    <w:p w14:paraId="20DFA86D" w14:textId="77777777" w:rsidR="002A7E6C" w:rsidRDefault="00000000">
      <w:pPr>
        <w:pStyle w:val="Textbody"/>
        <w:numPr>
          <w:ilvl w:val="0"/>
          <w:numId w:val="7"/>
        </w:numPr>
        <w:spacing w:after="0"/>
        <w:rPr>
          <w:rFonts w:hint="eastAsia"/>
        </w:rPr>
      </w:pPr>
      <w:r>
        <w:rPr>
          <w:rStyle w:val="StrongEmphasis"/>
        </w:rPr>
        <w:t>Open-Source Alternatives:</w:t>
      </w:r>
      <w:r>
        <w:t xml:space="preserve"> </w:t>
      </w:r>
      <w:proofErr w:type="spellStart"/>
      <w:r>
        <w:t>Botpress</w:t>
      </w:r>
      <w:proofErr w:type="spellEnd"/>
      <w:r>
        <w:t xml:space="preserve">, </w:t>
      </w:r>
      <w:proofErr w:type="spellStart"/>
      <w:r>
        <w:t>DeepPavlov</w:t>
      </w:r>
      <w:proofErr w:type="spellEnd"/>
      <w:r>
        <w:t>.</w:t>
      </w:r>
    </w:p>
    <w:p w14:paraId="3F4D2980" w14:textId="77777777" w:rsidR="002A7E6C" w:rsidRDefault="00000000">
      <w:pPr>
        <w:pStyle w:val="Textbody"/>
        <w:numPr>
          <w:ilvl w:val="0"/>
          <w:numId w:val="7"/>
        </w:numPr>
        <w:rPr>
          <w:rFonts w:hint="eastAsia"/>
        </w:rPr>
      </w:pPr>
      <w:r>
        <w:rPr>
          <w:rStyle w:val="StrongEmphasis"/>
        </w:rPr>
        <w:t>Proprietary Alternatives:</w:t>
      </w:r>
      <w:r>
        <w:t xml:space="preserve"> Google </w:t>
      </w:r>
      <w:proofErr w:type="spellStart"/>
      <w:r>
        <w:t>Dialogflow</w:t>
      </w:r>
      <w:proofErr w:type="spellEnd"/>
      <w:r>
        <w:t>, Amazon Lex, IBM Watson Assistant.</w:t>
      </w:r>
    </w:p>
    <w:p w14:paraId="0E3DED6B" w14:textId="77777777" w:rsidR="002A7E6C" w:rsidRDefault="00000000">
      <w:pPr>
        <w:pStyle w:val="Textbody"/>
        <w:rPr>
          <w:rFonts w:hint="eastAsia"/>
        </w:rPr>
      </w:pPr>
      <w:r>
        <w:t xml:space="preserve">Proprietary alternatives were rejected due to data privacy concerns (conversations processed on external </w:t>
      </w:r>
      <w:r>
        <w:lastRenderedPageBreak/>
        <w:t>servers) and limited customization. Rasa's self-hosted deployment ensures all citizen data remains within MPAAI infrastructure.</w:t>
      </w:r>
    </w:p>
    <w:p w14:paraId="78C9D425" w14:textId="77777777" w:rsidR="002A7E6C" w:rsidRDefault="00000000">
      <w:pPr>
        <w:pStyle w:val="Heading3"/>
        <w:rPr>
          <w:rFonts w:hint="eastAsia"/>
        </w:rPr>
      </w:pPr>
      <w:bookmarkStart w:id="11" w:name="23-unified-citizen-profile-manager"/>
      <w:bookmarkEnd w:id="11"/>
      <w:r>
        <w:rPr>
          <w:rStyle w:val="StrongEmphasis"/>
        </w:rPr>
        <w:t>2.3 Unified Citizen Profile Manager</w:t>
      </w:r>
    </w:p>
    <w:p w14:paraId="71DC8B12" w14:textId="77777777" w:rsidR="002A7E6C" w:rsidRDefault="00000000">
      <w:pPr>
        <w:pStyle w:val="Textbody"/>
        <w:rPr>
          <w:rFonts w:hint="eastAsia"/>
        </w:rPr>
      </w:pPr>
      <w:r>
        <w:rPr>
          <w:rStyle w:val="StrongEmphasis"/>
        </w:rPr>
        <w:t>Description and Functionality</w:t>
      </w:r>
      <w:r>
        <w:t xml:space="preserve"> This custom Django module creates and maintains a single, comprehensive profile for each citizen across all interaction channels. It resolves identity across different identifiers (phone numbers, email addresses, social media accounts) and maintains a golden record of citizen data, preferences, and interaction history.</w:t>
      </w:r>
    </w:p>
    <w:p w14:paraId="34D026A7" w14:textId="77777777" w:rsidR="002A7E6C" w:rsidRDefault="00000000">
      <w:pPr>
        <w:pStyle w:val="Textbody"/>
        <w:rPr>
          <w:rFonts w:hint="eastAsia"/>
        </w:rPr>
      </w:pPr>
      <w:r>
        <w:rPr>
          <w:rStyle w:val="StrongEmphasis"/>
        </w:rPr>
        <w:t>Technical Merits and Selection Rationale</w:t>
      </w:r>
      <w:r>
        <w:t xml:space="preserve"> Built as a core Django model with sophisticated matching </w:t>
      </w:r>
      <w:proofErr w:type="gramStart"/>
      <w:r>
        <w:t>algorithms,</w:t>
      </w:r>
      <w:proofErr w:type="gramEnd"/>
      <w:r>
        <w:t xml:space="preserve"> this component prevents duplicate profiles and ensures a 360-degree view of each citizen's journey. It incorporates privacy-by-design principles, tracking consent preferences and data usage permissions.</w:t>
      </w:r>
    </w:p>
    <w:p w14:paraId="3067AAE9" w14:textId="77777777" w:rsidR="002A7E6C" w:rsidRDefault="00000000">
      <w:pPr>
        <w:pStyle w:val="Textbody"/>
        <w:rPr>
          <w:rFonts w:hint="eastAsia"/>
        </w:rPr>
      </w:pPr>
      <w:r>
        <w:t xml:space="preserve">The profile manager serves as the authoritative source for citizen information across the platform, eliminating the data silos that typically plague multi-channel systems. Its </w:t>
      </w:r>
      <w:proofErr w:type="gramStart"/>
      <w:r>
        <w:t>API-first</w:t>
      </w:r>
      <w:proofErr w:type="gramEnd"/>
      <w:r>
        <w:t xml:space="preserve"> design allows both internal systems and future external applications to access unified citizen data (with appropriate authorization).</w:t>
      </w:r>
    </w:p>
    <w:p w14:paraId="1414891C" w14:textId="77777777" w:rsidR="002A7E6C" w:rsidRDefault="00000000">
      <w:pPr>
        <w:pStyle w:val="Textbody"/>
        <w:rPr>
          <w:rFonts w:hint="eastAsia"/>
        </w:rPr>
      </w:pPr>
      <w:r>
        <w:rPr>
          <w:rStyle w:val="StrongEmphasis"/>
        </w:rPr>
        <w:t>Market Position and Alternatives</w:t>
      </w:r>
    </w:p>
    <w:p w14:paraId="72DCB031" w14:textId="77777777" w:rsidR="002A7E6C" w:rsidRDefault="00000000">
      <w:pPr>
        <w:pStyle w:val="Textbody"/>
        <w:numPr>
          <w:ilvl w:val="0"/>
          <w:numId w:val="8"/>
        </w:numPr>
        <w:spacing w:after="0"/>
        <w:rPr>
          <w:rFonts w:hint="eastAsia"/>
        </w:rPr>
      </w:pPr>
      <w:r>
        <w:rPr>
          <w:rStyle w:val="StrongEmphasis"/>
        </w:rPr>
        <w:t>Market Share:</w:t>
      </w:r>
      <w:r>
        <w:t xml:space="preserve"> Custom development is standard for unified profile management in government systems.</w:t>
      </w:r>
    </w:p>
    <w:p w14:paraId="17602A69" w14:textId="77777777" w:rsidR="002A7E6C" w:rsidRDefault="00000000">
      <w:pPr>
        <w:pStyle w:val="Textbody"/>
        <w:numPr>
          <w:ilvl w:val="0"/>
          <w:numId w:val="8"/>
        </w:numPr>
        <w:rPr>
          <w:rFonts w:hint="eastAsia"/>
        </w:rPr>
      </w:pPr>
      <w:r>
        <w:rPr>
          <w:rStyle w:val="StrongEmphasis"/>
        </w:rPr>
        <w:t>Proprietary Alternatives:</w:t>
      </w:r>
      <w:r>
        <w:t xml:space="preserve"> Salesforce Customer 360, Adobe Experience Platform.</w:t>
      </w:r>
    </w:p>
    <w:p w14:paraId="5F47B31E" w14:textId="77777777" w:rsidR="002A7E6C" w:rsidRDefault="00000000">
      <w:pPr>
        <w:pStyle w:val="Textbody"/>
        <w:rPr>
          <w:rFonts w:hint="eastAsia"/>
        </w:rPr>
      </w:pPr>
      <w:r>
        <w:t>Proprietary Customer Data Platforms (CDPs) were considered but rejected due to cost, lack of customization for government-specific requirements, and data sovereignty concerns.</w:t>
      </w:r>
    </w:p>
    <w:p w14:paraId="5CAF6FD8" w14:textId="77777777" w:rsidR="002A7E6C" w:rsidRDefault="00000000">
      <w:pPr>
        <w:pStyle w:val="Heading3"/>
        <w:rPr>
          <w:rFonts w:hint="eastAsia"/>
        </w:rPr>
      </w:pPr>
      <w:bookmarkStart w:id="12" w:name="24-communication-router"/>
      <w:bookmarkEnd w:id="12"/>
      <w:r>
        <w:rPr>
          <w:rStyle w:val="StrongEmphasis"/>
        </w:rPr>
        <w:t>2.4 Communication Router</w:t>
      </w:r>
    </w:p>
    <w:p w14:paraId="5162AB87" w14:textId="77777777" w:rsidR="002A7E6C" w:rsidRDefault="00000000">
      <w:pPr>
        <w:pStyle w:val="Textbody"/>
        <w:rPr>
          <w:rFonts w:hint="eastAsia"/>
        </w:rPr>
      </w:pPr>
      <w:r>
        <w:rPr>
          <w:rStyle w:val="StrongEmphasis"/>
        </w:rPr>
        <w:t>Description and Functionality</w:t>
      </w:r>
      <w:r>
        <w:t xml:space="preserve"> This intelligent routing engine analyzes incoming citizen interactions and directs them to the most appropriate </w:t>
      </w:r>
      <w:proofErr w:type="gramStart"/>
      <w:r>
        <w:t>resource—</w:t>
      </w:r>
      <w:proofErr w:type="gramEnd"/>
      <w:r>
        <w:t>whether automated systems, specific ministry teams, or individual agents. It considers factors like service type, complexity, citizen preferences, language, agent skills, and current workload.</w:t>
      </w:r>
    </w:p>
    <w:p w14:paraId="515B2FC3" w14:textId="77777777" w:rsidR="002A7E6C" w:rsidRDefault="00000000">
      <w:pPr>
        <w:pStyle w:val="Textbody"/>
        <w:rPr>
          <w:rFonts w:hint="eastAsia"/>
        </w:rPr>
      </w:pPr>
      <w:r>
        <w:rPr>
          <w:rStyle w:val="StrongEmphasis"/>
        </w:rPr>
        <w:t>Technical Merits and Selection Rationale</w:t>
      </w:r>
      <w:r>
        <w:t xml:space="preserve"> Built using Django with complex business rules and machine learning models, the router ensures efficient resource utilization while maintaining service level agreements. It can escalate cases automatically based on urgency indicators and provide agents with relevant context before they engage with citizens.</w:t>
      </w:r>
    </w:p>
    <w:p w14:paraId="32441DE3" w14:textId="77777777" w:rsidR="002A7E6C" w:rsidRDefault="00000000">
      <w:pPr>
        <w:pStyle w:val="Textbody"/>
        <w:rPr>
          <w:rFonts w:hint="eastAsia"/>
        </w:rPr>
      </w:pPr>
      <w:r>
        <w:t>The system's routing logic is configurable through the admin interface, allowing MPAAI to adjust priorities and workflows as operational needs evolve. For citizens, this means faster resolution and reduced need for transfers between departments.</w:t>
      </w:r>
    </w:p>
    <w:p w14:paraId="7A3B6354" w14:textId="77777777" w:rsidR="002A7E6C" w:rsidRDefault="00000000">
      <w:pPr>
        <w:pStyle w:val="Textbody"/>
        <w:rPr>
          <w:rFonts w:hint="eastAsia"/>
        </w:rPr>
      </w:pPr>
      <w:r>
        <w:rPr>
          <w:rStyle w:val="StrongEmphasis"/>
        </w:rPr>
        <w:t>Market Position and Alternatives</w:t>
      </w:r>
    </w:p>
    <w:p w14:paraId="535E93DC" w14:textId="77777777" w:rsidR="002A7E6C" w:rsidRDefault="00000000">
      <w:pPr>
        <w:pStyle w:val="Textbody"/>
        <w:numPr>
          <w:ilvl w:val="0"/>
          <w:numId w:val="9"/>
        </w:numPr>
        <w:spacing w:after="0"/>
        <w:rPr>
          <w:rFonts w:hint="eastAsia"/>
        </w:rPr>
      </w:pPr>
      <w:r>
        <w:rPr>
          <w:rStyle w:val="StrongEmphasis"/>
        </w:rPr>
        <w:t>Market Share:</w:t>
      </w:r>
      <w:r>
        <w:t xml:space="preserve"> Custom routing engines are typical for government service platforms due to unique workflow requirements.</w:t>
      </w:r>
    </w:p>
    <w:p w14:paraId="6E5B52FC" w14:textId="77777777" w:rsidR="002A7E6C" w:rsidRDefault="00000000">
      <w:pPr>
        <w:pStyle w:val="Textbody"/>
        <w:numPr>
          <w:ilvl w:val="0"/>
          <w:numId w:val="9"/>
        </w:numPr>
        <w:rPr>
          <w:rFonts w:hint="eastAsia"/>
        </w:rPr>
      </w:pPr>
      <w:r>
        <w:rPr>
          <w:rStyle w:val="StrongEmphasis"/>
        </w:rPr>
        <w:t>Proprietary Alternatives:</w:t>
      </w:r>
      <w:r>
        <w:t xml:space="preserve"> Nice </w:t>
      </w:r>
      <w:proofErr w:type="spellStart"/>
      <w:r>
        <w:t>CXone</w:t>
      </w:r>
      <w:proofErr w:type="spellEnd"/>
      <w:r>
        <w:t>, Genesys Routing.</w:t>
      </w:r>
    </w:p>
    <w:p w14:paraId="408B753F" w14:textId="77777777" w:rsidR="002A7E6C" w:rsidRDefault="00000000">
      <w:pPr>
        <w:pStyle w:val="Textbody"/>
        <w:rPr>
          <w:rFonts w:hint="eastAsia"/>
        </w:rPr>
      </w:pPr>
      <w:r>
        <w:t xml:space="preserve">Proprietary contact center routing solutions were evaluated but found </w:t>
      </w:r>
      <w:proofErr w:type="gramStart"/>
      <w:r>
        <w:t>too</w:t>
      </w:r>
      <w:proofErr w:type="gramEnd"/>
      <w:r>
        <w:t xml:space="preserve"> generic for the complex, multi-ministry workflows of government services.</w:t>
      </w:r>
    </w:p>
    <w:p w14:paraId="411DDAB6" w14:textId="77777777" w:rsidR="002A7E6C" w:rsidRDefault="00000000">
      <w:pPr>
        <w:pStyle w:val="Heading2"/>
        <w:rPr>
          <w:rFonts w:hint="eastAsia"/>
        </w:rPr>
      </w:pPr>
      <w:bookmarkStart w:id="13" w:name="chapter-3-core-service-management-platfo"/>
      <w:bookmarkEnd w:id="13"/>
      <w:r>
        <w:rPr>
          <w:rStyle w:val="StrongEmphasis"/>
        </w:rPr>
        <w:lastRenderedPageBreak/>
        <w:t>Chapter 3: Core Service Management Platform</w:t>
      </w:r>
    </w:p>
    <w:p w14:paraId="315C5661" w14:textId="77777777" w:rsidR="002A7E6C" w:rsidRDefault="00000000">
      <w:pPr>
        <w:pStyle w:val="Heading3"/>
        <w:rPr>
          <w:rFonts w:hint="eastAsia"/>
        </w:rPr>
      </w:pPr>
      <w:bookmarkStart w:id="14" w:name="31-django-and-django-rest-framework"/>
      <w:bookmarkEnd w:id="14"/>
      <w:r>
        <w:rPr>
          <w:rStyle w:val="StrongEmphasis"/>
        </w:rPr>
        <w:t>3.1 Django and Django REST Framework</w:t>
      </w:r>
    </w:p>
    <w:p w14:paraId="3E6A8E0C" w14:textId="77777777" w:rsidR="002A7E6C" w:rsidRDefault="00000000">
      <w:pPr>
        <w:pStyle w:val="Textbody"/>
        <w:rPr>
          <w:rFonts w:hint="eastAsia"/>
        </w:rPr>
      </w:pPr>
      <w:r>
        <w:rPr>
          <w:rStyle w:val="StrongEmphasis"/>
        </w:rPr>
        <w:t>Description and Functionality</w:t>
      </w:r>
      <w:r>
        <w:t xml:space="preserve"> Django </w:t>
      </w:r>
      <w:proofErr w:type="gramStart"/>
      <w:r>
        <w:t>serves</w:t>
      </w:r>
      <w:proofErr w:type="gramEnd"/>
      <w:r>
        <w:t xml:space="preserve"> as the core application framework, providing the model-view-controller architecture for the entire CSMP. Django REST Framework (DRF) extends this to create a comprehensive, secure API layer that serves both the internal admin interfaces and external integrations.</w:t>
      </w:r>
    </w:p>
    <w:p w14:paraId="18D82ECA" w14:textId="77777777" w:rsidR="002A7E6C" w:rsidRDefault="00000000">
      <w:pPr>
        <w:pStyle w:val="Textbody"/>
        <w:rPr>
          <w:rFonts w:hint="eastAsia"/>
        </w:rPr>
      </w:pPr>
      <w:r>
        <w:rPr>
          <w:rStyle w:val="StrongEmphasis"/>
        </w:rPr>
        <w:t>Technical Merits and Selection Rationale</w:t>
      </w:r>
      <w:r>
        <w:t xml:space="preserve"> Django's "batteries-included" philosophy provides pre-built solutions for authentication, URL routing, templating, database abstraction, and admin interfaces—all following security best practices by default. This significantly accelerates development while maintaining enterprise-grade security.</w:t>
      </w:r>
    </w:p>
    <w:p w14:paraId="3887B959" w14:textId="77777777" w:rsidR="002A7E6C" w:rsidRDefault="00000000">
      <w:pPr>
        <w:pStyle w:val="Textbody"/>
        <w:rPr>
          <w:rFonts w:hint="eastAsia"/>
        </w:rPr>
      </w:pPr>
      <w:r>
        <w:t>The framework's ORM (Object-Relational Mapper) abstracts database operations into Python code, ensuring database-agnostic implementation and preventing SQL injection vulnerabilities. Django's middleware architecture enables clean implementation of cross-cutting concerns like security headers, rate limiting, and audit logging.</w:t>
      </w:r>
    </w:p>
    <w:p w14:paraId="49DE6D7D" w14:textId="77777777" w:rsidR="002A7E6C" w:rsidRDefault="00000000">
      <w:pPr>
        <w:pStyle w:val="Textbody"/>
        <w:rPr>
          <w:rFonts w:hint="eastAsia"/>
        </w:rPr>
      </w:pPr>
      <w:r>
        <w:rPr>
          <w:rStyle w:val="StrongEmphasis"/>
        </w:rPr>
        <w:t>Market Position and Alternatives</w:t>
      </w:r>
    </w:p>
    <w:p w14:paraId="751B2C4C" w14:textId="77777777" w:rsidR="002A7E6C" w:rsidRDefault="00000000">
      <w:pPr>
        <w:pStyle w:val="Textbody"/>
        <w:numPr>
          <w:ilvl w:val="0"/>
          <w:numId w:val="10"/>
        </w:numPr>
        <w:spacing w:after="0"/>
        <w:rPr>
          <w:rFonts w:hint="eastAsia"/>
        </w:rPr>
      </w:pPr>
      <w:r>
        <w:rPr>
          <w:rStyle w:val="StrongEmphasis"/>
        </w:rPr>
        <w:t>Market Share:</w:t>
      </w:r>
      <w:r>
        <w:t xml:space="preserve"> Django holds approximately 14% of the Python web framework market, with strong representation in government and enterprise.</w:t>
      </w:r>
    </w:p>
    <w:p w14:paraId="2E7F6249" w14:textId="77777777" w:rsidR="002A7E6C" w:rsidRDefault="00000000">
      <w:pPr>
        <w:pStyle w:val="Textbody"/>
        <w:numPr>
          <w:ilvl w:val="0"/>
          <w:numId w:val="10"/>
        </w:numPr>
        <w:spacing w:after="0"/>
        <w:rPr>
          <w:rFonts w:hint="eastAsia"/>
        </w:rPr>
      </w:pPr>
      <w:r>
        <w:rPr>
          <w:rStyle w:val="StrongEmphasis"/>
        </w:rPr>
        <w:t>Open-Source Alternatives:</w:t>
      </w:r>
      <w:r>
        <w:t xml:space="preserve"> Flask, </w:t>
      </w:r>
      <w:proofErr w:type="spellStart"/>
      <w:r>
        <w:t>FastAPI</w:t>
      </w:r>
      <w:proofErr w:type="spellEnd"/>
      <w:r>
        <w:t>, Ruby on Rails, Laravel (PHP).</w:t>
      </w:r>
    </w:p>
    <w:p w14:paraId="67EA5BF7" w14:textId="77777777" w:rsidR="002A7E6C" w:rsidRDefault="00000000">
      <w:pPr>
        <w:pStyle w:val="Textbody"/>
        <w:numPr>
          <w:ilvl w:val="0"/>
          <w:numId w:val="10"/>
        </w:numPr>
        <w:rPr>
          <w:rFonts w:hint="eastAsia"/>
        </w:rPr>
      </w:pPr>
      <w:r>
        <w:rPr>
          <w:rStyle w:val="StrongEmphasis"/>
        </w:rPr>
        <w:t>Proprietary Alternatives:</w:t>
      </w:r>
      <w:r>
        <w:t xml:space="preserve"> Essentially none for core application frameworks.</w:t>
      </w:r>
    </w:p>
    <w:p w14:paraId="24D6FD95" w14:textId="77777777" w:rsidR="002A7E6C" w:rsidRDefault="00000000">
      <w:pPr>
        <w:pStyle w:val="Textbody"/>
        <w:rPr>
          <w:rFonts w:hint="eastAsia"/>
        </w:rPr>
      </w:pPr>
      <w:r>
        <w:t>Django was selected over Flask/</w:t>
      </w:r>
      <w:proofErr w:type="spellStart"/>
      <w:r>
        <w:t>FastAPI</w:t>
      </w:r>
      <w:proofErr w:type="spellEnd"/>
      <w:r>
        <w:t xml:space="preserve"> due to its comprehensive built-in features, which reduce development time and security risks. The admin interface alone saves months of development effort for internal management tools.</w:t>
      </w:r>
    </w:p>
    <w:p w14:paraId="66CAF15A" w14:textId="77777777" w:rsidR="002A7E6C" w:rsidRDefault="00000000">
      <w:pPr>
        <w:pStyle w:val="Heading3"/>
        <w:rPr>
          <w:rFonts w:hint="eastAsia"/>
        </w:rPr>
      </w:pPr>
      <w:bookmarkStart w:id="15" w:name="32-postgresql-with-pgvector"/>
      <w:bookmarkEnd w:id="15"/>
      <w:r>
        <w:rPr>
          <w:rStyle w:val="StrongEmphasis"/>
        </w:rPr>
        <w:t xml:space="preserve">3.2 PostgreSQL with </w:t>
      </w:r>
      <w:proofErr w:type="spellStart"/>
      <w:r>
        <w:rPr>
          <w:rStyle w:val="StrongEmphasis"/>
        </w:rPr>
        <w:t>pgVector</w:t>
      </w:r>
      <w:proofErr w:type="spellEnd"/>
    </w:p>
    <w:p w14:paraId="1299FAB1" w14:textId="77777777" w:rsidR="002A7E6C" w:rsidRDefault="00000000">
      <w:pPr>
        <w:pStyle w:val="Textbody"/>
        <w:rPr>
          <w:rFonts w:hint="eastAsia"/>
        </w:rPr>
      </w:pPr>
      <w:r>
        <w:rPr>
          <w:rStyle w:val="StrongEmphasis"/>
        </w:rPr>
        <w:t>Description and Functionality</w:t>
      </w:r>
      <w:r>
        <w:t xml:space="preserve"> PostgreSQL </w:t>
      </w:r>
      <w:proofErr w:type="gramStart"/>
      <w:r>
        <w:t>serves</w:t>
      </w:r>
      <w:proofErr w:type="gramEnd"/>
      <w:r>
        <w:t xml:space="preserve"> as the primary operational database, storing all structured data including citizen profiles, service requests, case records, and system configurations. The </w:t>
      </w:r>
      <w:proofErr w:type="spellStart"/>
      <w:r>
        <w:t>pgVector</w:t>
      </w:r>
      <w:proofErr w:type="spellEnd"/>
      <w:r>
        <w:t xml:space="preserve"> extension enables vector similarity operations for AI-powered features like semantic search and recommendation systems.</w:t>
      </w:r>
    </w:p>
    <w:p w14:paraId="3833087B" w14:textId="77777777" w:rsidR="002A7E6C" w:rsidRDefault="00000000">
      <w:pPr>
        <w:pStyle w:val="Textbody"/>
        <w:rPr>
          <w:rFonts w:hint="eastAsia"/>
        </w:rPr>
      </w:pPr>
      <w:r>
        <w:rPr>
          <w:rStyle w:val="StrongEmphasis"/>
        </w:rPr>
        <w:t>Technical Merits and Selection Rationale</w:t>
      </w:r>
      <w:r>
        <w:t xml:space="preserve"> PostgreSQL </w:t>
      </w:r>
      <w:proofErr w:type="gramStart"/>
      <w:r>
        <w:t>was</w:t>
      </w:r>
      <w:proofErr w:type="gramEnd"/>
      <w:r>
        <w:t xml:space="preserve"> selected for its proven reliability, full ACID compliance, and extensive feature set including JSON support, full-text search, and sophisticated indexing. As the most advanced open-source database, it provides enterprise features comparable to commercial alternatives at zero license cost.</w:t>
      </w:r>
    </w:p>
    <w:p w14:paraId="18D928A8" w14:textId="77777777" w:rsidR="002A7E6C" w:rsidRDefault="00000000">
      <w:pPr>
        <w:pStyle w:val="Textbody"/>
        <w:rPr>
          <w:rFonts w:hint="eastAsia"/>
        </w:rPr>
      </w:pPr>
      <w:r>
        <w:t xml:space="preserve">The </w:t>
      </w:r>
      <w:proofErr w:type="spellStart"/>
      <w:r>
        <w:t>pgVector</w:t>
      </w:r>
      <w:proofErr w:type="spellEnd"/>
      <w:r>
        <w:t xml:space="preserve"> extension transforms PostgreSQL into a hybrid transactional/vector database, allowing AI features to operate directly on operational data without complex synchronization pipelines. This architecture simplifies the system while improving AI feature performance and accuracy.</w:t>
      </w:r>
    </w:p>
    <w:p w14:paraId="5DF983EE" w14:textId="77777777" w:rsidR="002A7E6C" w:rsidRDefault="00000000">
      <w:pPr>
        <w:pStyle w:val="Textbody"/>
        <w:rPr>
          <w:rFonts w:hint="eastAsia"/>
        </w:rPr>
      </w:pPr>
      <w:r>
        <w:rPr>
          <w:rStyle w:val="StrongEmphasis"/>
        </w:rPr>
        <w:t>Market Position and Alternatives</w:t>
      </w:r>
    </w:p>
    <w:p w14:paraId="48472591" w14:textId="77777777" w:rsidR="002A7E6C" w:rsidRDefault="00000000">
      <w:pPr>
        <w:pStyle w:val="Textbody"/>
        <w:numPr>
          <w:ilvl w:val="0"/>
          <w:numId w:val="11"/>
        </w:numPr>
        <w:spacing w:after="0"/>
        <w:rPr>
          <w:rFonts w:hint="eastAsia"/>
        </w:rPr>
      </w:pPr>
      <w:r>
        <w:rPr>
          <w:rStyle w:val="StrongEmphasis"/>
        </w:rPr>
        <w:t>Market Share:</w:t>
      </w:r>
      <w:r>
        <w:t xml:space="preserve"> PostgreSQL is the second most popular database overall (behind MySQL) with 43% developer usage according to Stack Overflow 2022.</w:t>
      </w:r>
    </w:p>
    <w:p w14:paraId="6C78F8ED" w14:textId="77777777" w:rsidR="002A7E6C" w:rsidRDefault="00000000">
      <w:pPr>
        <w:pStyle w:val="Textbody"/>
        <w:numPr>
          <w:ilvl w:val="0"/>
          <w:numId w:val="11"/>
        </w:numPr>
        <w:spacing w:after="0"/>
        <w:rPr>
          <w:rFonts w:hint="eastAsia"/>
        </w:rPr>
      </w:pPr>
      <w:r>
        <w:rPr>
          <w:rStyle w:val="StrongEmphasis"/>
        </w:rPr>
        <w:t>Open-Source Alternatives:</w:t>
      </w:r>
      <w:r>
        <w:t xml:space="preserve"> MySQL, MariaDB.</w:t>
      </w:r>
    </w:p>
    <w:p w14:paraId="77F28059" w14:textId="77777777" w:rsidR="002A7E6C" w:rsidRDefault="00000000">
      <w:pPr>
        <w:pStyle w:val="Textbody"/>
        <w:numPr>
          <w:ilvl w:val="0"/>
          <w:numId w:val="11"/>
        </w:numPr>
        <w:rPr>
          <w:rFonts w:hint="eastAsia"/>
        </w:rPr>
      </w:pPr>
      <w:r>
        <w:rPr>
          <w:rStyle w:val="StrongEmphasis"/>
        </w:rPr>
        <w:t>Proprietary Alternatives:</w:t>
      </w:r>
      <w:r>
        <w:t xml:space="preserve"> Oracle Database, Microsoft SQL Server, Amazon Aurora.</w:t>
      </w:r>
    </w:p>
    <w:p w14:paraId="2D32D809" w14:textId="77777777" w:rsidR="002A7E6C" w:rsidRDefault="00000000">
      <w:pPr>
        <w:pStyle w:val="Textbody"/>
        <w:rPr>
          <w:rFonts w:hint="eastAsia"/>
        </w:rPr>
      </w:pPr>
      <w:r>
        <w:t xml:space="preserve">MySQL was considered but PostgreSQL was preferred for its superior JSON support, more sophisticated </w:t>
      </w:r>
      <w:r>
        <w:lastRenderedPageBreak/>
        <w:t xml:space="preserve">query optimizer, and better compliance with SQL standards. The </w:t>
      </w:r>
      <w:proofErr w:type="spellStart"/>
      <w:r>
        <w:t>pgVector</w:t>
      </w:r>
      <w:proofErr w:type="spellEnd"/>
      <w:r>
        <w:t xml:space="preserve"> extension provided a decisive advantage over other open-source databases.</w:t>
      </w:r>
    </w:p>
    <w:p w14:paraId="129694EF" w14:textId="77777777" w:rsidR="002A7E6C" w:rsidRDefault="00000000">
      <w:pPr>
        <w:pStyle w:val="Heading3"/>
        <w:rPr>
          <w:rFonts w:hint="eastAsia"/>
        </w:rPr>
      </w:pPr>
      <w:bookmarkStart w:id="16" w:name="33-case-management-system"/>
      <w:bookmarkEnd w:id="16"/>
      <w:r>
        <w:rPr>
          <w:rStyle w:val="StrongEmphasis"/>
        </w:rPr>
        <w:t>3.3 Case Management System</w:t>
      </w:r>
    </w:p>
    <w:p w14:paraId="35DC4920" w14:textId="77777777" w:rsidR="002A7E6C" w:rsidRDefault="00000000">
      <w:pPr>
        <w:pStyle w:val="Textbody"/>
        <w:rPr>
          <w:rFonts w:hint="eastAsia"/>
        </w:rPr>
      </w:pPr>
      <w:r>
        <w:rPr>
          <w:rStyle w:val="StrongEmphasis"/>
        </w:rPr>
        <w:t>Description and Functionality</w:t>
      </w:r>
      <w:r>
        <w:t xml:space="preserve"> Built as a customized extension of Django's admin </w:t>
      </w:r>
      <w:proofErr w:type="gramStart"/>
      <w:r>
        <w:t>interface,</w:t>
      </w:r>
      <w:proofErr w:type="gramEnd"/>
      <w:r>
        <w:t xml:space="preserve"> this component provides ministry staff with comprehensive tools for managing citizen service cases. Features include bulk operations, SLA tracking, automated assignment, internal collaboration, and integration with external systems.</w:t>
      </w:r>
    </w:p>
    <w:p w14:paraId="5EEE2238" w14:textId="77777777" w:rsidR="002A7E6C" w:rsidRDefault="00000000">
      <w:pPr>
        <w:pStyle w:val="Textbody"/>
        <w:rPr>
          <w:rFonts w:hint="eastAsia"/>
        </w:rPr>
      </w:pPr>
      <w:r>
        <w:rPr>
          <w:rStyle w:val="StrongEmphasis"/>
        </w:rPr>
        <w:t>Technical Merits and Selection Rationale</w:t>
      </w:r>
      <w:r>
        <w:t xml:space="preserve"> Leveraging Django's admin as a foundation provides immediate productivity benefits: responsive design, accessibility compliance, and built-in CRUD operations. Customizations add ministry-specific workflows, real-time notifications, and integration with the omnichannel communication layer.</w:t>
      </w:r>
    </w:p>
    <w:p w14:paraId="70A3B720" w14:textId="77777777" w:rsidR="002A7E6C" w:rsidRDefault="00000000">
      <w:pPr>
        <w:pStyle w:val="Textbody"/>
        <w:rPr>
          <w:rFonts w:hint="eastAsia"/>
        </w:rPr>
      </w:pPr>
      <w:r>
        <w:t>The system enforces role-based permissions ensuring agents only access authorized cases and data. Audit trails automatically track all case modifications, providing transparency and compliance reporting. The interface is designed for efficiency, minimizing clicks and context switching for high-volume service environments.</w:t>
      </w:r>
    </w:p>
    <w:p w14:paraId="53B53F55" w14:textId="77777777" w:rsidR="002A7E6C" w:rsidRDefault="00000000">
      <w:pPr>
        <w:pStyle w:val="Textbody"/>
        <w:rPr>
          <w:rFonts w:hint="eastAsia"/>
        </w:rPr>
      </w:pPr>
      <w:r>
        <w:rPr>
          <w:rStyle w:val="StrongEmphasis"/>
        </w:rPr>
        <w:t>Market Position and Alternatives</w:t>
      </w:r>
    </w:p>
    <w:p w14:paraId="6B4B91B1" w14:textId="77777777" w:rsidR="002A7E6C" w:rsidRDefault="00000000">
      <w:pPr>
        <w:pStyle w:val="Textbody"/>
        <w:numPr>
          <w:ilvl w:val="0"/>
          <w:numId w:val="12"/>
        </w:numPr>
        <w:spacing w:after="0"/>
        <w:rPr>
          <w:rFonts w:hint="eastAsia"/>
        </w:rPr>
      </w:pPr>
      <w:r>
        <w:rPr>
          <w:rStyle w:val="StrongEmphasis"/>
        </w:rPr>
        <w:t>Market Share:</w:t>
      </w:r>
      <w:r>
        <w:t xml:space="preserve"> Custom case management built on framework admin interfaces is common in government systems.</w:t>
      </w:r>
    </w:p>
    <w:p w14:paraId="4D213021" w14:textId="77777777" w:rsidR="002A7E6C" w:rsidRDefault="00000000">
      <w:pPr>
        <w:pStyle w:val="Textbody"/>
        <w:numPr>
          <w:ilvl w:val="0"/>
          <w:numId w:val="12"/>
        </w:numPr>
        <w:rPr>
          <w:rFonts w:hint="eastAsia"/>
        </w:rPr>
      </w:pPr>
      <w:r>
        <w:rPr>
          <w:rStyle w:val="StrongEmphasis"/>
        </w:rPr>
        <w:t>Proprietary Alternatives:</w:t>
      </w:r>
      <w:r>
        <w:t xml:space="preserve"> Salesforce Service Cloud, Microsoft Dynamics 365 Customer Service, Zendesk.</w:t>
      </w:r>
    </w:p>
    <w:p w14:paraId="0D405382" w14:textId="77777777" w:rsidR="002A7E6C" w:rsidRDefault="00000000">
      <w:pPr>
        <w:pStyle w:val="Textbody"/>
        <w:rPr>
          <w:rFonts w:hint="eastAsia"/>
        </w:rPr>
      </w:pPr>
      <w:r>
        <w:t>Proprietary case management systems were rejected due to cost, limited customization for government-specific workflows, and data residency concerns. The Django-based approach ensures perfect alignment with MPAAI's operational processes.</w:t>
      </w:r>
    </w:p>
    <w:p w14:paraId="77D05CD1" w14:textId="77777777" w:rsidR="002A7E6C" w:rsidRDefault="00000000">
      <w:pPr>
        <w:pStyle w:val="Heading3"/>
        <w:rPr>
          <w:rFonts w:hint="eastAsia"/>
        </w:rPr>
      </w:pPr>
      <w:bookmarkStart w:id="17" w:name="34-business-intelligence-and-analytics-m"/>
      <w:bookmarkEnd w:id="17"/>
      <w:r>
        <w:rPr>
          <w:rStyle w:val="StrongEmphasis"/>
        </w:rPr>
        <w:t>3.4 Business Intelligence and Analytics (</w:t>
      </w:r>
      <w:proofErr w:type="spellStart"/>
      <w:r>
        <w:rPr>
          <w:rStyle w:val="StrongEmphasis"/>
        </w:rPr>
        <w:t>Metabase</w:t>
      </w:r>
      <w:proofErr w:type="spellEnd"/>
      <w:r>
        <w:rPr>
          <w:rStyle w:val="StrongEmphasis"/>
        </w:rPr>
        <w:t>)</w:t>
      </w:r>
    </w:p>
    <w:p w14:paraId="0F85BFC8" w14:textId="77777777" w:rsidR="002A7E6C" w:rsidRDefault="00000000">
      <w:pPr>
        <w:pStyle w:val="Textbody"/>
        <w:rPr>
          <w:rFonts w:hint="eastAsia"/>
        </w:rPr>
      </w:pPr>
      <w:r>
        <w:rPr>
          <w:rStyle w:val="StrongEmphasis"/>
        </w:rPr>
        <w:t>Description and Functionality</w:t>
      </w:r>
      <w:r>
        <w:t xml:space="preserve"> </w:t>
      </w:r>
      <w:proofErr w:type="spellStart"/>
      <w:r>
        <w:t>Metabase</w:t>
      </w:r>
      <w:proofErr w:type="spellEnd"/>
      <w:r>
        <w:t xml:space="preserve"> provides self-service business intelligence capabilities for users at all levels: operational dashboards for ministry agents, performance analytics for managers, and public transparency reports for citizens. It connects directly to the PostgreSQL database to create interactive visualizations of service metrics.</w:t>
      </w:r>
    </w:p>
    <w:p w14:paraId="191B06E5" w14:textId="77777777" w:rsidR="002A7E6C" w:rsidRDefault="00000000">
      <w:pPr>
        <w:pStyle w:val="Textbody"/>
        <w:rPr>
          <w:rFonts w:hint="eastAsia"/>
        </w:rPr>
      </w:pPr>
      <w:r>
        <w:rPr>
          <w:rStyle w:val="StrongEmphasis"/>
        </w:rPr>
        <w:t>Technical Merits and Selection Rationale</w:t>
      </w:r>
      <w:r>
        <w:t xml:space="preserve"> </w:t>
      </w:r>
      <w:proofErr w:type="spellStart"/>
      <w:r>
        <w:t>Metabase</w:t>
      </w:r>
      <w:proofErr w:type="spellEnd"/>
      <w:r>
        <w:t xml:space="preserve"> was selected for its ease of use—non-technical staff can create and share dashboards without SQL knowledge through its graphical query builder. For advanced users, native SQL queries provide unlimited analytical capabilities.</w:t>
      </w:r>
    </w:p>
    <w:p w14:paraId="3CE42B40" w14:textId="77777777" w:rsidR="002A7E6C" w:rsidRDefault="00000000">
      <w:pPr>
        <w:pStyle w:val="Textbody"/>
        <w:rPr>
          <w:rFonts w:hint="eastAsia"/>
        </w:rPr>
      </w:pPr>
      <w:r>
        <w:t xml:space="preserve">The platform's embedding features allow dashboards to be seamlessly integrated into both the citizen portal and staff interfaces. Row-level security ensures users only see authorized data. </w:t>
      </w:r>
      <w:proofErr w:type="spellStart"/>
      <w:r>
        <w:t>Metabase's</w:t>
      </w:r>
      <w:proofErr w:type="spellEnd"/>
      <w:r>
        <w:t xml:space="preserve"> lightweight architecture minimizes performance impact on the operational database.</w:t>
      </w:r>
    </w:p>
    <w:p w14:paraId="185C0899" w14:textId="77777777" w:rsidR="002A7E6C" w:rsidRDefault="00000000">
      <w:pPr>
        <w:pStyle w:val="Textbody"/>
        <w:rPr>
          <w:rFonts w:hint="eastAsia"/>
        </w:rPr>
      </w:pPr>
      <w:r>
        <w:rPr>
          <w:rStyle w:val="StrongEmphasis"/>
        </w:rPr>
        <w:t>Market Position and Alternatives</w:t>
      </w:r>
    </w:p>
    <w:p w14:paraId="1DC2A0F6" w14:textId="77777777" w:rsidR="002A7E6C" w:rsidRDefault="00000000">
      <w:pPr>
        <w:pStyle w:val="Textbody"/>
        <w:numPr>
          <w:ilvl w:val="0"/>
          <w:numId w:val="13"/>
        </w:numPr>
        <w:spacing w:after="0"/>
        <w:rPr>
          <w:rFonts w:hint="eastAsia"/>
        </w:rPr>
      </w:pPr>
      <w:r>
        <w:rPr>
          <w:rStyle w:val="StrongEmphasis"/>
        </w:rPr>
        <w:t>Market Share:</w:t>
      </w:r>
      <w:r>
        <w:t xml:space="preserve"> </w:t>
      </w:r>
      <w:proofErr w:type="spellStart"/>
      <w:r>
        <w:t>Metabase</w:t>
      </w:r>
      <w:proofErr w:type="spellEnd"/>
      <w:r>
        <w:t xml:space="preserve"> is the most popular open-source BI tool with over 30,000 deployments.</w:t>
      </w:r>
    </w:p>
    <w:p w14:paraId="4EA5CCDE" w14:textId="77777777" w:rsidR="002A7E6C" w:rsidRDefault="00000000">
      <w:pPr>
        <w:pStyle w:val="Textbody"/>
        <w:numPr>
          <w:ilvl w:val="0"/>
          <w:numId w:val="13"/>
        </w:numPr>
        <w:spacing w:after="0"/>
        <w:rPr>
          <w:rFonts w:hint="eastAsia"/>
        </w:rPr>
      </w:pPr>
      <w:r>
        <w:rPr>
          <w:rStyle w:val="StrongEmphasis"/>
        </w:rPr>
        <w:t>Open-Source Alternatives:</w:t>
      </w:r>
      <w:r>
        <w:t xml:space="preserve"> Apache Superset, </w:t>
      </w:r>
      <w:proofErr w:type="spellStart"/>
      <w:r>
        <w:t>Redash</w:t>
      </w:r>
      <w:proofErr w:type="spellEnd"/>
      <w:r>
        <w:t>.</w:t>
      </w:r>
    </w:p>
    <w:p w14:paraId="49B12FC6" w14:textId="77777777" w:rsidR="002A7E6C" w:rsidRDefault="00000000">
      <w:pPr>
        <w:pStyle w:val="Textbody"/>
        <w:numPr>
          <w:ilvl w:val="0"/>
          <w:numId w:val="13"/>
        </w:numPr>
        <w:rPr>
          <w:rFonts w:hint="eastAsia"/>
        </w:rPr>
      </w:pPr>
      <w:r>
        <w:rPr>
          <w:rStyle w:val="StrongEmphasis"/>
        </w:rPr>
        <w:t>Proprietary Alternatives:</w:t>
      </w:r>
      <w:r>
        <w:t xml:space="preserve"> Tableau, Microsoft Power BI, Qlik Sense.</w:t>
      </w:r>
    </w:p>
    <w:p w14:paraId="2D829194" w14:textId="77777777" w:rsidR="002A7E6C" w:rsidRDefault="00000000">
      <w:pPr>
        <w:pStyle w:val="Textbody"/>
        <w:rPr>
          <w:rFonts w:hint="eastAsia"/>
        </w:rPr>
      </w:pPr>
      <w:proofErr w:type="spellStart"/>
      <w:r>
        <w:t>Metabase</w:t>
      </w:r>
      <w:proofErr w:type="spellEnd"/>
      <w:r>
        <w:t xml:space="preserve"> was preferred over Superset due to its superior user experience for non-technical users. Power BI was seriously considered but rejected due to licensing costs and limited embedding capabilities in the open-</w:t>
      </w:r>
      <w:r>
        <w:lastRenderedPageBreak/>
        <w:t>source stack.</w:t>
      </w:r>
    </w:p>
    <w:p w14:paraId="05179BA8" w14:textId="77777777" w:rsidR="002A7E6C" w:rsidRDefault="00000000">
      <w:pPr>
        <w:pStyle w:val="Heading2"/>
        <w:rPr>
          <w:rFonts w:hint="eastAsia"/>
        </w:rPr>
      </w:pPr>
      <w:bookmarkStart w:id="18" w:name="chapter-4-infrastructure-and-security"/>
      <w:bookmarkEnd w:id="18"/>
      <w:r>
        <w:rPr>
          <w:rStyle w:val="StrongEmphasis"/>
        </w:rPr>
        <w:t>Chapter 4: Infrastructure and Security</w:t>
      </w:r>
    </w:p>
    <w:p w14:paraId="75BB3B0B" w14:textId="77777777" w:rsidR="002A7E6C" w:rsidRDefault="00000000">
      <w:pPr>
        <w:pStyle w:val="Heading3"/>
        <w:rPr>
          <w:rFonts w:hint="eastAsia"/>
        </w:rPr>
      </w:pPr>
      <w:bookmarkStart w:id="19" w:name="41-identity-and-access-management-keyclo"/>
      <w:bookmarkEnd w:id="19"/>
      <w:r>
        <w:rPr>
          <w:rStyle w:val="StrongEmphasis"/>
        </w:rPr>
        <w:t>4.1 Identity and Access Management (</w:t>
      </w:r>
      <w:proofErr w:type="spellStart"/>
      <w:r>
        <w:rPr>
          <w:rStyle w:val="StrongEmphasis"/>
        </w:rPr>
        <w:t>Keycloak</w:t>
      </w:r>
      <w:proofErr w:type="spellEnd"/>
      <w:r>
        <w:rPr>
          <w:rStyle w:val="StrongEmphasis"/>
        </w:rPr>
        <w:t>)</w:t>
      </w:r>
    </w:p>
    <w:p w14:paraId="2AD50BFC" w14:textId="77777777" w:rsidR="002A7E6C" w:rsidRDefault="00000000">
      <w:pPr>
        <w:pStyle w:val="Textbody"/>
        <w:rPr>
          <w:rFonts w:hint="eastAsia"/>
        </w:rPr>
      </w:pPr>
      <w:r>
        <w:rPr>
          <w:rStyle w:val="StrongEmphasis"/>
        </w:rPr>
        <w:t>Description and Functionality</w:t>
      </w:r>
      <w:r>
        <w:t xml:space="preserve"> </w:t>
      </w:r>
      <w:proofErr w:type="spellStart"/>
      <w:r>
        <w:t>Keycloak</w:t>
      </w:r>
      <w:proofErr w:type="spellEnd"/>
      <w:r>
        <w:t xml:space="preserve"> provides enterprise-grade identity and access management, handling authentication and authorization for all user types: citizens, ministry staff, and system administrators. It supports multiple authentication methods including social </w:t>
      </w:r>
      <w:proofErr w:type="gramStart"/>
      <w:r>
        <w:t>logins</w:t>
      </w:r>
      <w:proofErr w:type="gramEnd"/>
      <w:r>
        <w:t>, traditional credentials, and multi-factor authentication.</w:t>
      </w:r>
    </w:p>
    <w:p w14:paraId="4A39871B" w14:textId="77777777" w:rsidR="002A7E6C" w:rsidRDefault="00000000">
      <w:pPr>
        <w:pStyle w:val="Textbody"/>
        <w:rPr>
          <w:rFonts w:hint="eastAsia"/>
        </w:rPr>
      </w:pPr>
      <w:r>
        <w:rPr>
          <w:rStyle w:val="StrongEmphasis"/>
        </w:rPr>
        <w:t>Technical Merits and Selection Rationale</w:t>
      </w:r>
      <w:r>
        <w:t xml:space="preserve"> </w:t>
      </w:r>
      <w:proofErr w:type="spellStart"/>
      <w:r>
        <w:t>Keycloak</w:t>
      </w:r>
      <w:proofErr w:type="spellEnd"/>
      <w:r>
        <w:t xml:space="preserve"> was selected for its comprehensive feature set including Single Sign-On (SSO), identity brokering (integration with existing government identity systems), and user federation (LDAP/Active Directory integration). Its fine-grained authorization services enforce role-based access control across the platform.</w:t>
      </w:r>
    </w:p>
    <w:p w14:paraId="1C00F85E" w14:textId="77777777" w:rsidR="002A7E6C" w:rsidRDefault="00000000">
      <w:pPr>
        <w:pStyle w:val="Textbody"/>
        <w:rPr>
          <w:rFonts w:hint="eastAsia"/>
        </w:rPr>
      </w:pPr>
      <w:r>
        <w:t xml:space="preserve">The system's ability to manage separate realms allows clean separation between citizen authentication and internal staff access while using the same infrastructure. </w:t>
      </w:r>
      <w:proofErr w:type="spellStart"/>
      <w:r>
        <w:t>Keycloak's</w:t>
      </w:r>
      <w:proofErr w:type="spellEnd"/>
      <w:r>
        <w:t xml:space="preserve"> extensive protocol support (OAuth 2.0, OpenID Connect, SAML) ensures compatibility with future systems and third-party integrations.</w:t>
      </w:r>
    </w:p>
    <w:p w14:paraId="6C44F4A7" w14:textId="77777777" w:rsidR="002A7E6C" w:rsidRDefault="00000000">
      <w:pPr>
        <w:pStyle w:val="Textbody"/>
        <w:rPr>
          <w:rFonts w:hint="eastAsia"/>
        </w:rPr>
      </w:pPr>
      <w:r>
        <w:rPr>
          <w:rStyle w:val="StrongEmphasis"/>
        </w:rPr>
        <w:t>Market Position and Alternatives</w:t>
      </w:r>
    </w:p>
    <w:p w14:paraId="2C6AA7F3" w14:textId="77777777" w:rsidR="002A7E6C" w:rsidRDefault="00000000">
      <w:pPr>
        <w:pStyle w:val="Textbody"/>
        <w:numPr>
          <w:ilvl w:val="0"/>
          <w:numId w:val="14"/>
        </w:numPr>
        <w:spacing w:after="0"/>
        <w:rPr>
          <w:rFonts w:hint="eastAsia"/>
        </w:rPr>
      </w:pPr>
      <w:r>
        <w:rPr>
          <w:rStyle w:val="StrongEmphasis"/>
        </w:rPr>
        <w:t>Market Share:</w:t>
      </w:r>
      <w:r>
        <w:t xml:space="preserve"> </w:t>
      </w:r>
      <w:proofErr w:type="spellStart"/>
      <w:r>
        <w:t>Keycloak</w:t>
      </w:r>
      <w:proofErr w:type="spellEnd"/>
      <w:r>
        <w:t xml:space="preserve"> is the leading open-source IAM solution with thousands of enterprise deployments.</w:t>
      </w:r>
    </w:p>
    <w:p w14:paraId="12B9E3BB" w14:textId="77777777" w:rsidR="002A7E6C" w:rsidRDefault="00000000">
      <w:pPr>
        <w:pStyle w:val="Textbody"/>
        <w:numPr>
          <w:ilvl w:val="0"/>
          <w:numId w:val="14"/>
        </w:numPr>
        <w:spacing w:after="0"/>
        <w:rPr>
          <w:rFonts w:hint="eastAsia"/>
        </w:rPr>
      </w:pPr>
      <w:r>
        <w:rPr>
          <w:rStyle w:val="StrongEmphasis"/>
        </w:rPr>
        <w:t>Open-Source Alternatives:</w:t>
      </w:r>
      <w:r>
        <w:t xml:space="preserve"> </w:t>
      </w:r>
      <w:proofErr w:type="spellStart"/>
      <w:r>
        <w:t>Gluu</w:t>
      </w:r>
      <w:proofErr w:type="spellEnd"/>
      <w:r>
        <w:t>, ORY Hydra.</w:t>
      </w:r>
    </w:p>
    <w:p w14:paraId="0062373B" w14:textId="77777777" w:rsidR="002A7E6C" w:rsidRDefault="00000000">
      <w:pPr>
        <w:pStyle w:val="Textbody"/>
        <w:numPr>
          <w:ilvl w:val="0"/>
          <w:numId w:val="14"/>
        </w:numPr>
        <w:rPr>
          <w:rFonts w:hint="eastAsia"/>
        </w:rPr>
      </w:pPr>
      <w:r>
        <w:rPr>
          <w:rStyle w:val="StrongEmphasis"/>
        </w:rPr>
        <w:t>Proprietary Alternatives:</w:t>
      </w:r>
      <w:r>
        <w:t xml:space="preserve"> Okta, Auth0, Ping Identity, Microsoft Azure Active Directory.</w:t>
      </w:r>
    </w:p>
    <w:p w14:paraId="52ED920C" w14:textId="77777777" w:rsidR="002A7E6C" w:rsidRDefault="00000000">
      <w:pPr>
        <w:pStyle w:val="Textbody"/>
        <w:rPr>
          <w:rFonts w:hint="eastAsia"/>
        </w:rPr>
      </w:pPr>
      <w:r>
        <w:t xml:space="preserve">Proprietary solutions like Okta were considered but rejected due to ongoing subscription costs and data sovereignty concerns. </w:t>
      </w:r>
      <w:proofErr w:type="spellStart"/>
      <w:r>
        <w:t>Keycloak's</w:t>
      </w:r>
      <w:proofErr w:type="spellEnd"/>
      <w:r>
        <w:t xml:space="preserve"> self-hosted deployment gives MPAAI complete control over citizen identity data.</w:t>
      </w:r>
    </w:p>
    <w:p w14:paraId="7F08B85D" w14:textId="77777777" w:rsidR="002A7E6C" w:rsidRDefault="00000000">
      <w:pPr>
        <w:pStyle w:val="Heading3"/>
        <w:rPr>
          <w:rFonts w:hint="eastAsia"/>
        </w:rPr>
      </w:pPr>
      <w:bookmarkStart w:id="20" w:name="42-containerization-and-orchestration-do"/>
      <w:bookmarkEnd w:id="20"/>
      <w:r>
        <w:rPr>
          <w:rStyle w:val="StrongEmphasis"/>
        </w:rPr>
        <w:t>4.2 Containerization and Orchestration (Docker &amp; Kubernetes)</w:t>
      </w:r>
    </w:p>
    <w:p w14:paraId="0C95C67E" w14:textId="77777777" w:rsidR="002A7E6C" w:rsidRDefault="00000000">
      <w:pPr>
        <w:pStyle w:val="Textbody"/>
        <w:rPr>
          <w:rFonts w:hint="eastAsia"/>
        </w:rPr>
      </w:pPr>
      <w:r>
        <w:rPr>
          <w:rStyle w:val="StrongEmphasis"/>
        </w:rPr>
        <w:t>Description and Functionality</w:t>
      </w:r>
      <w:r>
        <w:t xml:space="preserve"> Docker packages the application components into portable containers, while Kubernetes automates deployment, scaling, and management of these containers across server infrastructure. This creates a resilient, scalable platform that can handle variable citizen demand.</w:t>
      </w:r>
    </w:p>
    <w:p w14:paraId="68EC893E" w14:textId="77777777" w:rsidR="002A7E6C" w:rsidRDefault="00000000">
      <w:pPr>
        <w:pStyle w:val="Textbody"/>
        <w:rPr>
          <w:rFonts w:hint="eastAsia"/>
        </w:rPr>
      </w:pPr>
      <w:r>
        <w:rPr>
          <w:rStyle w:val="StrongEmphasis"/>
        </w:rPr>
        <w:t>Technical Merits and Selection Rationale</w:t>
      </w:r>
      <w:r>
        <w:t xml:space="preserve"> The container-based architecture ensures consistent environments from development through production, eliminating "</w:t>
      </w:r>
      <w:proofErr w:type="gramStart"/>
      <w:r>
        <w:t>works</w:t>
      </w:r>
      <w:proofErr w:type="gramEnd"/>
      <w:r>
        <w:t xml:space="preserve"> on my machine" problems. Kubernetes provides self-healing capabilities (automatic restarts, replication) and horizontal scaling to maintain performance during peak usage.</w:t>
      </w:r>
    </w:p>
    <w:p w14:paraId="5559F593" w14:textId="77777777" w:rsidR="002A7E6C" w:rsidRDefault="00000000">
      <w:pPr>
        <w:pStyle w:val="Textbody"/>
        <w:rPr>
          <w:rFonts w:hint="eastAsia"/>
        </w:rPr>
      </w:pPr>
      <w:r>
        <w:t>The infrastructure-as-code approach enables reproducible environments and disaster recovery. Kubernetes' service mesh capabilities provide security features like mutual TLS between microservices without application changes.</w:t>
      </w:r>
    </w:p>
    <w:p w14:paraId="772EF160" w14:textId="77777777" w:rsidR="002A7E6C" w:rsidRDefault="00000000">
      <w:pPr>
        <w:pStyle w:val="Textbody"/>
        <w:rPr>
          <w:rFonts w:hint="eastAsia"/>
        </w:rPr>
      </w:pPr>
      <w:r>
        <w:rPr>
          <w:rStyle w:val="StrongEmphasis"/>
        </w:rPr>
        <w:t>Market Position and Alternatives</w:t>
      </w:r>
    </w:p>
    <w:p w14:paraId="5EEEDC12" w14:textId="77777777" w:rsidR="002A7E6C" w:rsidRDefault="00000000">
      <w:pPr>
        <w:pStyle w:val="Textbody"/>
        <w:numPr>
          <w:ilvl w:val="0"/>
          <w:numId w:val="15"/>
        </w:numPr>
        <w:spacing w:after="0"/>
        <w:rPr>
          <w:rFonts w:hint="eastAsia"/>
        </w:rPr>
      </w:pPr>
      <w:r>
        <w:rPr>
          <w:rStyle w:val="StrongEmphasis"/>
        </w:rPr>
        <w:t>Market Share:</w:t>
      </w:r>
      <w:r>
        <w:t xml:space="preserve"> Docker and Kubernetes dominate containerization with 90% and 83% market share respectively in cloud-native applications.</w:t>
      </w:r>
    </w:p>
    <w:p w14:paraId="0C7D8379" w14:textId="77777777" w:rsidR="002A7E6C" w:rsidRDefault="00000000">
      <w:pPr>
        <w:pStyle w:val="Textbody"/>
        <w:numPr>
          <w:ilvl w:val="0"/>
          <w:numId w:val="15"/>
        </w:numPr>
        <w:spacing w:after="0"/>
        <w:rPr>
          <w:rFonts w:hint="eastAsia"/>
        </w:rPr>
      </w:pPr>
      <w:r>
        <w:rPr>
          <w:rStyle w:val="StrongEmphasis"/>
        </w:rPr>
        <w:t>Open-Source Alternatives:</w:t>
      </w:r>
      <w:r>
        <w:t xml:space="preserve"> </w:t>
      </w:r>
      <w:proofErr w:type="spellStart"/>
      <w:r>
        <w:t>Podman</w:t>
      </w:r>
      <w:proofErr w:type="spellEnd"/>
      <w:r>
        <w:t xml:space="preserve"> (Docker alternative), Nomad (Kubernetes alternative).</w:t>
      </w:r>
    </w:p>
    <w:p w14:paraId="46295FC5" w14:textId="77777777" w:rsidR="002A7E6C" w:rsidRDefault="00000000">
      <w:pPr>
        <w:pStyle w:val="Textbody"/>
        <w:numPr>
          <w:ilvl w:val="0"/>
          <w:numId w:val="15"/>
        </w:numPr>
        <w:rPr>
          <w:rFonts w:hint="eastAsia"/>
        </w:rPr>
      </w:pPr>
      <w:r>
        <w:rPr>
          <w:rStyle w:val="StrongEmphasis"/>
        </w:rPr>
        <w:t>Proprietary Alternatives:</w:t>
      </w:r>
      <w:r>
        <w:t xml:space="preserve"> Commercial Kubernetes distributions (Red Hat OpenShift, VMware Tanzu), proprietary PaaS (Heroku).</w:t>
      </w:r>
    </w:p>
    <w:p w14:paraId="3C4BE5DA" w14:textId="77777777" w:rsidR="002A7E6C" w:rsidRDefault="00000000">
      <w:pPr>
        <w:pStyle w:val="Textbody"/>
        <w:rPr>
          <w:rFonts w:hint="eastAsia"/>
        </w:rPr>
      </w:pPr>
      <w:r>
        <w:lastRenderedPageBreak/>
        <w:t>The Docker/Kubernetes combination represents the industry standard for modern application deployment, ensuring MPAAI benefits from ongoing community innovation and can easily find operational expertise.</w:t>
      </w:r>
    </w:p>
    <w:p w14:paraId="46BDBB81" w14:textId="77777777" w:rsidR="002A7E6C" w:rsidRDefault="00000000">
      <w:pPr>
        <w:pStyle w:val="Heading3"/>
        <w:rPr>
          <w:rFonts w:hint="eastAsia"/>
        </w:rPr>
      </w:pPr>
      <w:bookmarkStart w:id="21" w:name="43-monitoring-and-observability-promethe"/>
      <w:bookmarkEnd w:id="21"/>
      <w:r>
        <w:rPr>
          <w:rStyle w:val="StrongEmphasis"/>
        </w:rPr>
        <w:t>4.3 Monitoring and Observability (Prometheus &amp; Grafana)</w:t>
      </w:r>
    </w:p>
    <w:p w14:paraId="77CF1F7F" w14:textId="77777777" w:rsidR="002A7E6C" w:rsidRDefault="00000000">
      <w:pPr>
        <w:pStyle w:val="Textbody"/>
        <w:rPr>
          <w:rFonts w:hint="eastAsia"/>
        </w:rPr>
      </w:pPr>
      <w:r>
        <w:rPr>
          <w:rStyle w:val="StrongEmphasis"/>
        </w:rPr>
        <w:t>Description and Functionality</w:t>
      </w:r>
      <w:r>
        <w:t xml:space="preserve"> Prometheus </w:t>
      </w:r>
      <w:proofErr w:type="gramStart"/>
      <w:r>
        <w:t>collects</w:t>
      </w:r>
      <w:proofErr w:type="gramEnd"/>
      <w:r>
        <w:t xml:space="preserve"> and stores system metrics, while Grafana provides visualization and alerting capabilities. Together they monitor application performance, infrastructure health, and business metrics in real-time.</w:t>
      </w:r>
    </w:p>
    <w:p w14:paraId="5FF850F5" w14:textId="77777777" w:rsidR="002A7E6C" w:rsidRDefault="00000000">
      <w:pPr>
        <w:pStyle w:val="Textbody"/>
        <w:rPr>
          <w:rFonts w:hint="eastAsia"/>
        </w:rPr>
      </w:pPr>
      <w:r>
        <w:rPr>
          <w:rStyle w:val="StrongEmphasis"/>
        </w:rPr>
        <w:t>Technical Merits and Selection Rationale</w:t>
      </w:r>
      <w:r>
        <w:t xml:space="preserve"> </w:t>
      </w:r>
      <w:proofErr w:type="gramStart"/>
      <w:r>
        <w:t>The</w:t>
      </w:r>
      <w:proofErr w:type="gramEnd"/>
      <w:r>
        <w:t xml:space="preserve"> Prometheus/Grafana combination provides comprehensive observability without licensing costs. Prometheus's pull-based model and multi-dimensional data model are particularly well-suited for dynamic container environments.</w:t>
      </w:r>
    </w:p>
    <w:p w14:paraId="5446B0BA" w14:textId="77777777" w:rsidR="002A7E6C" w:rsidRDefault="00000000">
      <w:pPr>
        <w:pStyle w:val="Textbody"/>
        <w:rPr>
          <w:rFonts w:hint="eastAsia"/>
        </w:rPr>
      </w:pPr>
      <w:r>
        <w:t>Grafana's rich visualization library creates executive dashboards showing citizen service performance alongside technical metrics. Alerting rules notify operations staff of emerging issues before they impact service delivery.</w:t>
      </w:r>
    </w:p>
    <w:p w14:paraId="36F6B4B9" w14:textId="77777777" w:rsidR="002A7E6C" w:rsidRDefault="00000000">
      <w:pPr>
        <w:pStyle w:val="Textbody"/>
        <w:rPr>
          <w:rFonts w:hint="eastAsia"/>
        </w:rPr>
      </w:pPr>
      <w:r>
        <w:rPr>
          <w:rStyle w:val="StrongEmphasis"/>
        </w:rPr>
        <w:t>Market Position and Alternatives</w:t>
      </w:r>
    </w:p>
    <w:p w14:paraId="317FFF4A" w14:textId="77777777" w:rsidR="002A7E6C" w:rsidRDefault="00000000">
      <w:pPr>
        <w:pStyle w:val="Textbody"/>
        <w:numPr>
          <w:ilvl w:val="0"/>
          <w:numId w:val="16"/>
        </w:numPr>
        <w:spacing w:after="0"/>
        <w:rPr>
          <w:rFonts w:hint="eastAsia"/>
        </w:rPr>
      </w:pPr>
      <w:r>
        <w:rPr>
          <w:rStyle w:val="StrongEmphasis"/>
        </w:rPr>
        <w:t>Market Share:</w:t>
      </w:r>
      <w:r>
        <w:t xml:space="preserve"> Prometheus and Grafana are the de facto </w:t>
      </w:r>
      <w:proofErr w:type="gramStart"/>
      <w:r>
        <w:t>standard</w:t>
      </w:r>
      <w:proofErr w:type="gramEnd"/>
      <w:r>
        <w:t xml:space="preserve"> for cloud-native monitoring with 65% and 75% adoption respectively in Kubernetes environments.</w:t>
      </w:r>
    </w:p>
    <w:p w14:paraId="16718ACF" w14:textId="77777777" w:rsidR="002A7E6C" w:rsidRDefault="00000000">
      <w:pPr>
        <w:pStyle w:val="Textbody"/>
        <w:numPr>
          <w:ilvl w:val="0"/>
          <w:numId w:val="16"/>
        </w:numPr>
        <w:spacing w:after="0"/>
        <w:rPr>
          <w:rFonts w:hint="eastAsia"/>
        </w:rPr>
      </w:pPr>
      <w:r>
        <w:rPr>
          <w:rStyle w:val="StrongEmphasis"/>
        </w:rPr>
        <w:t>Open-Source Alternatives:</w:t>
      </w:r>
      <w:r>
        <w:t xml:space="preserve"> Nagios, Zabbix (legacy systems).</w:t>
      </w:r>
    </w:p>
    <w:p w14:paraId="1CE6E145" w14:textId="77777777" w:rsidR="002A7E6C" w:rsidRDefault="00000000">
      <w:pPr>
        <w:pStyle w:val="Textbody"/>
        <w:numPr>
          <w:ilvl w:val="0"/>
          <w:numId w:val="16"/>
        </w:numPr>
        <w:rPr>
          <w:rFonts w:hint="eastAsia"/>
        </w:rPr>
      </w:pPr>
      <w:r>
        <w:rPr>
          <w:rStyle w:val="StrongEmphasis"/>
        </w:rPr>
        <w:t>Proprietary Alternatives:</w:t>
      </w:r>
      <w:r>
        <w:t xml:space="preserve"> Datadog, New Relic, Dynatrace.</w:t>
      </w:r>
    </w:p>
    <w:p w14:paraId="605CE523" w14:textId="77777777" w:rsidR="002A7E6C" w:rsidRDefault="00000000">
      <w:pPr>
        <w:pStyle w:val="Textbody"/>
        <w:rPr>
          <w:rFonts w:hint="eastAsia"/>
        </w:rPr>
      </w:pPr>
      <w:r>
        <w:t>Commercial APM solutions were evaluated but rejected due to cost and data egress concerns. The open-source stack provides equivalent capabilities with full data control.</w:t>
      </w:r>
    </w:p>
    <w:p w14:paraId="66CF5E15" w14:textId="77777777" w:rsidR="002A7E6C" w:rsidRDefault="00000000">
      <w:pPr>
        <w:pStyle w:val="Heading2"/>
        <w:rPr>
          <w:rFonts w:hint="eastAsia"/>
        </w:rPr>
      </w:pPr>
      <w:bookmarkStart w:id="22" w:name="chapter-5-conclusion"/>
      <w:bookmarkEnd w:id="22"/>
      <w:r>
        <w:rPr>
          <w:rStyle w:val="StrongEmphasis"/>
        </w:rPr>
        <w:t>Chapter 5: Conclusion</w:t>
      </w:r>
    </w:p>
    <w:p w14:paraId="3C593AD3" w14:textId="77777777" w:rsidR="002A7E6C" w:rsidRDefault="00000000">
      <w:pPr>
        <w:pStyle w:val="Heading3"/>
        <w:rPr>
          <w:rFonts w:hint="eastAsia"/>
        </w:rPr>
      </w:pPr>
      <w:bookmarkStart w:id="23" w:name="51-strategic-advantages-of-the-selected-"/>
      <w:bookmarkEnd w:id="23"/>
      <w:r>
        <w:rPr>
          <w:rStyle w:val="StrongEmphasis"/>
        </w:rPr>
        <w:t>5.1 Strategic Advantages of the Selected Architecture</w:t>
      </w:r>
    </w:p>
    <w:p w14:paraId="46327968" w14:textId="77777777" w:rsidR="002A7E6C" w:rsidRDefault="00000000">
      <w:pPr>
        <w:pStyle w:val="Textbody"/>
        <w:rPr>
          <w:rFonts w:hint="eastAsia"/>
        </w:rPr>
      </w:pPr>
      <w:r>
        <w:t>This carefully curated FOSS stack delivers significant strategic advantages for MPAAI's CSMP initiative:</w:t>
      </w:r>
    </w:p>
    <w:p w14:paraId="196872EF" w14:textId="77777777" w:rsidR="002A7E6C" w:rsidRDefault="00000000">
      <w:pPr>
        <w:pStyle w:val="Textbody"/>
        <w:rPr>
          <w:rFonts w:hint="eastAsia"/>
        </w:rPr>
      </w:pPr>
      <w:r>
        <w:rPr>
          <w:rStyle w:val="StrongEmphasis"/>
        </w:rPr>
        <w:t>Sovereignty and Control:</w:t>
      </w:r>
      <w:r>
        <w:t xml:space="preserve"> Every component can be self-hosted on MPAAI infrastructure, ensuring complete data sovereignty and elimination of vendor lock-in. The government retains full control over citizen data and system evolution.</w:t>
      </w:r>
    </w:p>
    <w:p w14:paraId="570E00BB" w14:textId="77777777" w:rsidR="002A7E6C" w:rsidRDefault="00000000">
      <w:pPr>
        <w:pStyle w:val="Textbody"/>
        <w:rPr>
          <w:rFonts w:hint="eastAsia"/>
        </w:rPr>
      </w:pPr>
      <w:r>
        <w:rPr>
          <w:rStyle w:val="StrongEmphasis"/>
        </w:rPr>
        <w:t>Long-Term Sustainability:</w:t>
      </w:r>
      <w:r>
        <w:t xml:space="preserve"> With zero licensing costs and open standards, the total cost of ownership is dramatically lower than proprietary alternatives. The savings can be redirected toward continuous enhancement and local capacity building.</w:t>
      </w:r>
    </w:p>
    <w:p w14:paraId="4F3EF1D4" w14:textId="77777777" w:rsidR="002A7E6C" w:rsidRDefault="00000000">
      <w:pPr>
        <w:pStyle w:val="Textbody"/>
        <w:rPr>
          <w:rFonts w:hint="eastAsia"/>
        </w:rPr>
      </w:pPr>
      <w:r>
        <w:rPr>
          <w:rStyle w:val="StrongEmphasis"/>
        </w:rPr>
        <w:t>Security and Compliance:</w:t>
      </w:r>
      <w:r>
        <w:t xml:space="preserve"> The transparency of open-source software enables thorough security review and customization to meet Trinidad and Tobago's specific regulatory requirements. Security patches can be applied immediately without vendor scheduling constraints.</w:t>
      </w:r>
    </w:p>
    <w:p w14:paraId="3CD0416F" w14:textId="77777777" w:rsidR="002A7E6C" w:rsidRDefault="00000000">
      <w:pPr>
        <w:pStyle w:val="Textbody"/>
        <w:rPr>
          <w:rFonts w:hint="eastAsia"/>
        </w:rPr>
      </w:pPr>
      <w:r>
        <w:rPr>
          <w:rStyle w:val="StrongEmphasis"/>
        </w:rPr>
        <w:t>Interoperability and Extensibility:</w:t>
      </w:r>
      <w:r>
        <w:t xml:space="preserve"> Open standards and API-first design ensure seamless integration with existing government systems and future technological innovations. The platform can evolve as </w:t>
      </w:r>
      <w:proofErr w:type="gramStart"/>
      <w:r>
        <w:t>citizen needs</w:t>
      </w:r>
      <w:proofErr w:type="gramEnd"/>
      <w:r>
        <w:t xml:space="preserve"> and technologies change.</w:t>
      </w:r>
    </w:p>
    <w:p w14:paraId="1C6B1CFD" w14:textId="77777777" w:rsidR="002A7E6C" w:rsidRDefault="00000000">
      <w:pPr>
        <w:pStyle w:val="Heading3"/>
        <w:rPr>
          <w:rFonts w:hint="eastAsia"/>
        </w:rPr>
      </w:pPr>
      <w:bookmarkStart w:id="24" w:name="52-implementation-confidence"/>
      <w:bookmarkEnd w:id="24"/>
      <w:r>
        <w:rPr>
          <w:rStyle w:val="StrongEmphasis"/>
        </w:rPr>
        <w:t>5.2 Implementation Confidence</w:t>
      </w:r>
    </w:p>
    <w:p w14:paraId="5443CB55" w14:textId="77777777" w:rsidR="002A7E6C" w:rsidRDefault="00000000">
      <w:pPr>
        <w:pStyle w:val="Textbody"/>
        <w:rPr>
          <w:rFonts w:hint="eastAsia"/>
        </w:rPr>
      </w:pPr>
      <w:r>
        <w:t>Each technology selection has been validated against stringent criteria including enterprise readiness, community support, security track record, and talent availability. The architecture represents not just technically sound choices, but strategically optimal ones for a national-scale digital public good.</w:t>
      </w:r>
    </w:p>
    <w:p w14:paraId="47DC6946" w14:textId="77777777" w:rsidR="002A7E6C" w:rsidRDefault="00000000">
      <w:pPr>
        <w:pStyle w:val="Textbody"/>
        <w:rPr>
          <w:rFonts w:hint="eastAsia"/>
        </w:rPr>
      </w:pPr>
      <w:r>
        <w:lastRenderedPageBreak/>
        <w:t>This foundation will enable Trinidad and Tobago to deliver world-class citizen services while maintaining digital sovereignty and fiscal responsibility for decades to come.</w:t>
      </w:r>
    </w:p>
    <w:p w14:paraId="6DBF83C2" w14:textId="77777777" w:rsidR="002A7E6C" w:rsidRDefault="00000000">
      <w:pPr>
        <w:pStyle w:val="Heading1"/>
        <w:rPr>
          <w:rFonts w:hint="eastAsia"/>
        </w:rPr>
      </w:pPr>
      <w:bookmarkStart w:id="25" w:name="hybrid-cloudon-premise-saas-architecture"/>
      <w:bookmarkEnd w:id="25"/>
      <w:r>
        <w:rPr>
          <w:rStyle w:val="StrongEmphasis"/>
        </w:rPr>
        <w:t>Hybrid Cloud/</w:t>
      </w:r>
      <w:proofErr w:type="gramStart"/>
      <w:r>
        <w:rPr>
          <w:rStyle w:val="StrongEmphasis"/>
        </w:rPr>
        <w:t>On-Premise</w:t>
      </w:r>
      <w:proofErr w:type="gramEnd"/>
      <w:r>
        <w:rPr>
          <w:rStyle w:val="StrongEmphasis"/>
        </w:rPr>
        <w:t xml:space="preserve"> SaaS Architecture: Data Sovereignty and Security</w:t>
      </w:r>
    </w:p>
    <w:p w14:paraId="672EA7CE" w14:textId="77777777" w:rsidR="002A7E6C" w:rsidRDefault="00000000">
      <w:pPr>
        <w:pStyle w:val="Heading2"/>
        <w:rPr>
          <w:rFonts w:hint="eastAsia"/>
        </w:rPr>
      </w:pPr>
      <w:bookmarkStart w:id="26" w:name="executive-summary-1"/>
      <w:bookmarkEnd w:id="26"/>
      <w:r>
        <w:rPr>
          <w:rStyle w:val="StrongEmphasis"/>
        </w:rPr>
        <w:t>Executive Summary</w:t>
      </w:r>
    </w:p>
    <w:p w14:paraId="03E86D45" w14:textId="77777777" w:rsidR="002A7E6C" w:rsidRDefault="00000000">
      <w:pPr>
        <w:pStyle w:val="Textbody"/>
        <w:rPr>
          <w:rFonts w:hint="eastAsia"/>
        </w:rPr>
      </w:pPr>
      <w:r>
        <w:t>This document provides a comprehensive analysis of the hybrid cloud/</w:t>
      </w:r>
      <w:proofErr w:type="gramStart"/>
      <w:r>
        <w:t>on-premise</w:t>
      </w:r>
      <w:proofErr w:type="gramEnd"/>
      <w:r>
        <w:t xml:space="preserve"> deployment architecture for the AI-Enabled Citizen Service Management Platform. The solution is designed as a government-tier SaaS managed service with military-grade encryption and configurable data residency controls. This architecture enables MPAAI to maintain absolute data sovereignty while leveraging cloud scalability, ensuring compliance with Trinidad and Tobago's regulatory requirements while delivering world-class citizen services.</w:t>
      </w:r>
    </w:p>
    <w:p w14:paraId="06B4A4F8" w14:textId="77777777" w:rsidR="002A7E6C" w:rsidRDefault="00000000">
      <w:pPr>
        <w:pStyle w:val="Heading2"/>
        <w:rPr>
          <w:rFonts w:hint="eastAsia"/>
        </w:rPr>
      </w:pPr>
      <w:bookmarkStart w:id="27" w:name="chapter-6-hybrid-deployment-architecture"/>
      <w:bookmarkEnd w:id="27"/>
      <w:r>
        <w:rPr>
          <w:rStyle w:val="StrongEmphasis"/>
        </w:rPr>
        <w:t>Chapter 6: Hybrid Deployment Architecture</w:t>
      </w:r>
    </w:p>
    <w:p w14:paraId="5B297AB6" w14:textId="77777777" w:rsidR="002A7E6C" w:rsidRDefault="00000000">
      <w:pPr>
        <w:pStyle w:val="Heading3"/>
        <w:rPr>
          <w:rFonts w:hint="eastAsia"/>
        </w:rPr>
      </w:pPr>
      <w:bookmarkStart w:id="28" w:name="61-sovereign-cloud-deployment-model"/>
      <w:bookmarkEnd w:id="28"/>
      <w:r>
        <w:rPr>
          <w:rStyle w:val="StrongEmphasis"/>
        </w:rPr>
        <w:t>6.1 Sovereign Cloud Deployment Model</w:t>
      </w:r>
    </w:p>
    <w:p w14:paraId="61556FEE" w14:textId="77777777" w:rsidR="002A7E6C" w:rsidRDefault="00000000">
      <w:pPr>
        <w:pStyle w:val="Textbody"/>
        <w:rPr>
          <w:rFonts w:hint="eastAsia"/>
        </w:rPr>
      </w:pPr>
      <w:r>
        <w:rPr>
          <w:rStyle w:val="StrongEmphasis"/>
        </w:rPr>
        <w:t>Description and Functionality</w:t>
      </w:r>
      <w:r>
        <w:t xml:space="preserve"> </w:t>
      </w:r>
      <w:proofErr w:type="gramStart"/>
      <w:r>
        <w:t>The</w:t>
      </w:r>
      <w:proofErr w:type="gramEnd"/>
      <w:r>
        <w:t xml:space="preserve"> CSMP implements a true hybrid architecture where sensitive citizen data and core processing can remain entirely within MPAAI's </w:t>
      </w:r>
      <w:proofErr w:type="gramStart"/>
      <w:r>
        <w:t>on-premise</w:t>
      </w:r>
      <w:proofErr w:type="gramEnd"/>
      <w:r>
        <w:t xml:space="preserve"> infrastructure, while non-sensitive components leverage cloud scalability. The system uses a federated Kubernetes cluster that spans both environments, with intelligent traffic routing and data placement policies.</w:t>
      </w:r>
    </w:p>
    <w:p w14:paraId="25B3F92B" w14:textId="77777777" w:rsidR="002A7E6C" w:rsidRDefault="00000000">
      <w:pPr>
        <w:pStyle w:val="Textbody"/>
        <w:rPr>
          <w:rFonts w:hint="eastAsia"/>
        </w:rPr>
      </w:pPr>
      <w:r>
        <w:rPr>
          <w:rStyle w:val="StrongEmphasis"/>
        </w:rPr>
        <w:t>Technical Merits and Selection Rationale</w:t>
      </w:r>
      <w:r>
        <w:t xml:space="preserve"> This architecture was designed specifically for government environments where data sovereignty is non-negotiable. The deployment uses Kubernetes Federation v2 to manage multiple clusters across cloud and </w:t>
      </w:r>
      <w:proofErr w:type="gramStart"/>
      <w:r>
        <w:t>on-premise</w:t>
      </w:r>
      <w:proofErr w:type="gramEnd"/>
      <w:r>
        <w:t xml:space="preserve"> environments as a single logical entity. </w:t>
      </w:r>
      <w:proofErr w:type="spellStart"/>
      <w:r>
        <w:t>GitOps</w:t>
      </w:r>
      <w:proofErr w:type="spellEnd"/>
      <w:r>
        <w:t xml:space="preserve"> workflows (using </w:t>
      </w:r>
      <w:proofErr w:type="spellStart"/>
      <w:r>
        <w:t>ArgoCD</w:t>
      </w:r>
      <w:proofErr w:type="spellEnd"/>
      <w:r>
        <w:t>) ensure consistent configuration and deployment across all environments.</w:t>
      </w:r>
    </w:p>
    <w:p w14:paraId="046ABC31" w14:textId="77777777" w:rsidR="002A7E6C" w:rsidRDefault="00000000">
      <w:pPr>
        <w:pStyle w:val="Textbody"/>
        <w:rPr>
          <w:rFonts w:hint="eastAsia"/>
        </w:rPr>
      </w:pPr>
      <w:r>
        <w:t xml:space="preserve">The key innovation is the </w:t>
      </w:r>
      <w:r>
        <w:rPr>
          <w:rStyle w:val="StrongEmphasis"/>
        </w:rPr>
        <w:t>data classification-aware scheduling</w:t>
      </w:r>
      <w:r>
        <w:t xml:space="preserve"> system. Workloads are tagged with data sensitivity levels, and the scheduler automatically places them in the appropriate environment based on MPAAI's data sovereignty policies. For example:</w:t>
      </w:r>
    </w:p>
    <w:p w14:paraId="0DC267EA" w14:textId="77777777" w:rsidR="002A7E6C" w:rsidRDefault="00000000">
      <w:pPr>
        <w:pStyle w:val="Textbody"/>
        <w:numPr>
          <w:ilvl w:val="0"/>
          <w:numId w:val="17"/>
        </w:numPr>
        <w:spacing w:after="0"/>
        <w:rPr>
          <w:rFonts w:hint="eastAsia"/>
        </w:rPr>
      </w:pPr>
      <w:r>
        <w:t xml:space="preserve">P0 (Highly Sensitive): Citizen identification data, case details → </w:t>
      </w:r>
      <w:proofErr w:type="gramStart"/>
      <w:r>
        <w:t>On-premise</w:t>
      </w:r>
      <w:proofErr w:type="gramEnd"/>
      <w:r>
        <w:t xml:space="preserve"> only</w:t>
      </w:r>
    </w:p>
    <w:p w14:paraId="761933C0" w14:textId="77777777" w:rsidR="002A7E6C" w:rsidRDefault="00000000">
      <w:pPr>
        <w:pStyle w:val="Textbody"/>
        <w:numPr>
          <w:ilvl w:val="0"/>
          <w:numId w:val="17"/>
        </w:numPr>
        <w:spacing w:after="0"/>
        <w:rPr>
          <w:rFonts w:hint="eastAsia"/>
        </w:rPr>
      </w:pPr>
      <w:r>
        <w:t>P1 (Moderately Sensitive): Service metadata, anonymized analytics → Optional cloud with encryption</w:t>
      </w:r>
    </w:p>
    <w:p w14:paraId="3FE35259" w14:textId="77777777" w:rsidR="002A7E6C" w:rsidRDefault="00000000">
      <w:pPr>
        <w:pStyle w:val="Textbody"/>
        <w:numPr>
          <w:ilvl w:val="0"/>
          <w:numId w:val="17"/>
        </w:numPr>
        <w:rPr>
          <w:rFonts w:hint="eastAsia"/>
        </w:rPr>
      </w:pPr>
      <w:r>
        <w:t>P2 (Public): Static content, CDN assets → Cloud-optimized</w:t>
      </w:r>
    </w:p>
    <w:p w14:paraId="0EDAF514" w14:textId="77777777" w:rsidR="002A7E6C" w:rsidRDefault="00000000">
      <w:pPr>
        <w:pStyle w:val="Textbody"/>
        <w:rPr>
          <w:rFonts w:hint="eastAsia"/>
        </w:rPr>
      </w:pPr>
      <w:r>
        <w:rPr>
          <w:rStyle w:val="StrongEmphasis"/>
        </w:rPr>
        <w:t>Market Position and Alternatives</w:t>
      </w:r>
    </w:p>
    <w:p w14:paraId="00F8C474" w14:textId="77777777" w:rsidR="002A7E6C" w:rsidRDefault="00000000">
      <w:pPr>
        <w:pStyle w:val="Textbody"/>
        <w:numPr>
          <w:ilvl w:val="0"/>
          <w:numId w:val="18"/>
        </w:numPr>
        <w:spacing w:after="0"/>
        <w:rPr>
          <w:rFonts w:hint="eastAsia"/>
        </w:rPr>
      </w:pPr>
      <w:r>
        <w:rPr>
          <w:rStyle w:val="StrongEmphasis"/>
        </w:rPr>
        <w:t>Market Share:</w:t>
      </w:r>
      <w:r>
        <w:t xml:space="preserve"> Hybrid government cloud is an emerging standard, with 65% of G20 nations adopting similar models for citizen services.</w:t>
      </w:r>
    </w:p>
    <w:p w14:paraId="629554DB" w14:textId="77777777" w:rsidR="002A7E6C" w:rsidRDefault="00000000">
      <w:pPr>
        <w:pStyle w:val="Textbody"/>
        <w:numPr>
          <w:ilvl w:val="0"/>
          <w:numId w:val="18"/>
        </w:numPr>
        <w:spacing w:after="0"/>
        <w:rPr>
          <w:rFonts w:hint="eastAsia"/>
        </w:rPr>
      </w:pPr>
      <w:r>
        <w:rPr>
          <w:rStyle w:val="StrongEmphasis"/>
        </w:rPr>
        <w:t>Proprietary Alternatives:</w:t>
      </w:r>
      <w:r>
        <w:t xml:space="preserve"> Azure Arc, Google Anthos, AWS Outposts.</w:t>
      </w:r>
    </w:p>
    <w:p w14:paraId="15E530AD" w14:textId="77777777" w:rsidR="002A7E6C" w:rsidRDefault="00000000">
      <w:pPr>
        <w:pStyle w:val="Textbody"/>
        <w:numPr>
          <w:ilvl w:val="0"/>
          <w:numId w:val="18"/>
        </w:numPr>
        <w:rPr>
          <w:rFonts w:hint="eastAsia"/>
        </w:rPr>
      </w:pPr>
      <w:r>
        <w:rPr>
          <w:rStyle w:val="StrongEmphasis"/>
        </w:rPr>
        <w:t>Open-Source Alternatives:</w:t>
      </w:r>
      <w:r>
        <w:t xml:space="preserve"> Native Kubernetes Federation, </w:t>
      </w:r>
      <w:proofErr w:type="spellStart"/>
      <w:r>
        <w:t>KubeFed</w:t>
      </w:r>
      <w:proofErr w:type="spellEnd"/>
      <w:r>
        <w:t>.</w:t>
      </w:r>
    </w:p>
    <w:p w14:paraId="148916FF" w14:textId="77777777" w:rsidR="002A7E6C" w:rsidRDefault="00000000">
      <w:pPr>
        <w:pStyle w:val="Textbody"/>
        <w:rPr>
          <w:rFonts w:hint="eastAsia"/>
        </w:rPr>
      </w:pPr>
      <w:r>
        <w:t>The open-source Kubernetes Federation approach was selected over proprietary solutions to avoid vendor lock-in and maintain deployment flexibility across multiple cloud providers.</w:t>
      </w:r>
    </w:p>
    <w:p w14:paraId="6A43E650" w14:textId="77777777" w:rsidR="002A7E6C" w:rsidRDefault="00000000">
      <w:pPr>
        <w:pStyle w:val="Heading3"/>
        <w:rPr>
          <w:rFonts w:hint="eastAsia"/>
        </w:rPr>
      </w:pPr>
      <w:bookmarkStart w:id="29" w:name="62-data-residency-and-sovereignty-contro"/>
      <w:bookmarkEnd w:id="29"/>
      <w:r>
        <w:rPr>
          <w:rStyle w:val="StrongEmphasis"/>
        </w:rPr>
        <w:t>6.2 Data Residency and Sovereignty Controls</w:t>
      </w:r>
    </w:p>
    <w:p w14:paraId="49E7754F" w14:textId="77777777" w:rsidR="002A7E6C" w:rsidRDefault="00000000">
      <w:pPr>
        <w:pStyle w:val="Textbody"/>
        <w:rPr>
          <w:rFonts w:hint="eastAsia"/>
        </w:rPr>
      </w:pPr>
      <w:r>
        <w:rPr>
          <w:rStyle w:val="StrongEmphasis"/>
        </w:rPr>
        <w:t>Description and Functionality</w:t>
      </w:r>
      <w:r>
        <w:t xml:space="preserve"> The platform implements granular data residency controls that allow MPAAI </w:t>
      </w:r>
      <w:r>
        <w:lastRenderedPageBreak/>
        <w:t>to define exactly where each data element is stored, processed, and replicated. This includes field-level data tagging, cross-border transfer controls, and jurisdiction-aware processing rules.</w:t>
      </w:r>
    </w:p>
    <w:p w14:paraId="4F8C4744" w14:textId="77777777" w:rsidR="002A7E6C" w:rsidRDefault="00000000">
      <w:pPr>
        <w:pStyle w:val="Textbody"/>
        <w:rPr>
          <w:rFonts w:hint="eastAsia"/>
        </w:rPr>
      </w:pPr>
      <w:r>
        <w:rPr>
          <w:rStyle w:val="StrongEmphasis"/>
        </w:rPr>
        <w:t>Technical Merits and Selection Rationale</w:t>
      </w:r>
      <w:r>
        <w:t xml:space="preserve"> Built on the Open Policy Agent (OPA) framework, the data sovereignty engine evaluates every data operation against MPAAI's residency policies. The system includes:</w:t>
      </w:r>
    </w:p>
    <w:p w14:paraId="5396E74D" w14:textId="77777777" w:rsidR="002A7E6C" w:rsidRDefault="00000000">
      <w:pPr>
        <w:pStyle w:val="Textbody"/>
        <w:numPr>
          <w:ilvl w:val="0"/>
          <w:numId w:val="19"/>
        </w:numPr>
        <w:spacing w:after="0"/>
        <w:rPr>
          <w:rFonts w:hint="eastAsia"/>
        </w:rPr>
      </w:pPr>
      <w:r>
        <w:rPr>
          <w:rStyle w:val="StrongEmphasis"/>
        </w:rPr>
        <w:t>Geofencing:</w:t>
      </w:r>
      <w:r>
        <w:t xml:space="preserve"> Automatic rejection of cross-border data transfer attempts</w:t>
      </w:r>
    </w:p>
    <w:p w14:paraId="5F344884" w14:textId="77777777" w:rsidR="002A7E6C" w:rsidRDefault="00000000">
      <w:pPr>
        <w:pStyle w:val="Textbody"/>
        <w:numPr>
          <w:ilvl w:val="0"/>
          <w:numId w:val="19"/>
        </w:numPr>
        <w:spacing w:after="0"/>
        <w:rPr>
          <w:rFonts w:hint="eastAsia"/>
        </w:rPr>
      </w:pPr>
      <w:r>
        <w:rPr>
          <w:rStyle w:val="StrongEmphasis"/>
        </w:rPr>
        <w:t>Data Tagging:</w:t>
      </w:r>
      <w:r>
        <w:t xml:space="preserve"> Classification of all data elements at creation time</w:t>
      </w:r>
    </w:p>
    <w:p w14:paraId="73CEDE18" w14:textId="77777777" w:rsidR="002A7E6C" w:rsidRDefault="00000000">
      <w:pPr>
        <w:pStyle w:val="Textbody"/>
        <w:numPr>
          <w:ilvl w:val="0"/>
          <w:numId w:val="19"/>
        </w:numPr>
        <w:spacing w:after="0"/>
        <w:rPr>
          <w:rFonts w:hint="eastAsia"/>
        </w:rPr>
      </w:pPr>
      <w:r>
        <w:rPr>
          <w:rStyle w:val="StrongEmphasis"/>
        </w:rPr>
        <w:t>Consent Management:</w:t>
      </w:r>
      <w:r>
        <w:t xml:space="preserve"> Citizen-controlled data sharing preferences</w:t>
      </w:r>
    </w:p>
    <w:p w14:paraId="622B3F5E" w14:textId="77777777" w:rsidR="002A7E6C" w:rsidRDefault="00000000">
      <w:pPr>
        <w:pStyle w:val="Textbody"/>
        <w:numPr>
          <w:ilvl w:val="0"/>
          <w:numId w:val="19"/>
        </w:numPr>
        <w:rPr>
          <w:rFonts w:hint="eastAsia"/>
        </w:rPr>
      </w:pPr>
      <w:r>
        <w:rPr>
          <w:rStyle w:val="StrongEmphasis"/>
        </w:rPr>
        <w:t>Audit Trail:</w:t>
      </w:r>
      <w:r>
        <w:t xml:space="preserve"> Comprehensive logging of all data movement</w:t>
      </w:r>
    </w:p>
    <w:p w14:paraId="302AF4B5" w14:textId="77777777" w:rsidR="002A7E6C" w:rsidRDefault="00000000">
      <w:pPr>
        <w:pStyle w:val="Textbody"/>
        <w:rPr>
          <w:rFonts w:hint="eastAsia"/>
        </w:rPr>
      </w:pPr>
      <w:r>
        <w:t>The architecture supports multiple deployment scenarios:</w:t>
      </w:r>
    </w:p>
    <w:p w14:paraId="7AFA8B62" w14:textId="77777777" w:rsidR="002A7E6C" w:rsidRDefault="00000000">
      <w:pPr>
        <w:pStyle w:val="Textbody"/>
        <w:numPr>
          <w:ilvl w:val="0"/>
          <w:numId w:val="20"/>
        </w:numPr>
        <w:spacing w:after="0"/>
        <w:rPr>
          <w:rFonts w:hint="eastAsia"/>
        </w:rPr>
      </w:pPr>
      <w:r>
        <w:rPr>
          <w:rStyle w:val="StrongEmphasis"/>
        </w:rPr>
        <w:t xml:space="preserve">Full </w:t>
      </w:r>
      <w:proofErr w:type="gramStart"/>
      <w:r>
        <w:rPr>
          <w:rStyle w:val="StrongEmphasis"/>
        </w:rPr>
        <w:t>On-Premise</w:t>
      </w:r>
      <w:proofErr w:type="gramEnd"/>
      <w:r>
        <w:rPr>
          <w:rStyle w:val="StrongEmphasis"/>
        </w:rPr>
        <w:t>:</w:t>
      </w:r>
      <w:r>
        <w:t xml:space="preserve"> All components within MPAAI data centers</w:t>
      </w:r>
    </w:p>
    <w:p w14:paraId="78C22150" w14:textId="77777777" w:rsidR="002A7E6C" w:rsidRDefault="00000000">
      <w:pPr>
        <w:pStyle w:val="Textbody"/>
        <w:numPr>
          <w:ilvl w:val="0"/>
          <w:numId w:val="20"/>
        </w:numPr>
        <w:spacing w:after="0"/>
        <w:rPr>
          <w:rFonts w:hint="eastAsia"/>
        </w:rPr>
      </w:pPr>
      <w:r>
        <w:rPr>
          <w:rStyle w:val="StrongEmphasis"/>
        </w:rPr>
        <w:t>Split Processing:</w:t>
      </w:r>
      <w:r>
        <w:t xml:space="preserve"> Front-end in cloud, data processing </w:t>
      </w:r>
      <w:proofErr w:type="gramStart"/>
      <w:r>
        <w:t>on-premise</w:t>
      </w:r>
      <w:proofErr w:type="gramEnd"/>
    </w:p>
    <w:p w14:paraId="4A84FDDC" w14:textId="77777777" w:rsidR="002A7E6C" w:rsidRDefault="00000000">
      <w:pPr>
        <w:pStyle w:val="Textbody"/>
        <w:numPr>
          <w:ilvl w:val="0"/>
          <w:numId w:val="20"/>
        </w:numPr>
        <w:rPr>
          <w:rFonts w:hint="eastAsia"/>
        </w:rPr>
      </w:pPr>
      <w:r>
        <w:rPr>
          <w:rStyle w:val="StrongEmphasis"/>
        </w:rPr>
        <w:t>Cloud-Bursting:</w:t>
      </w:r>
      <w:r>
        <w:t xml:space="preserve"> </w:t>
      </w:r>
      <w:proofErr w:type="gramStart"/>
      <w:r>
        <w:t>On-premise</w:t>
      </w:r>
      <w:proofErr w:type="gramEnd"/>
      <w:r>
        <w:t xml:space="preserve"> primary with cloud failover</w:t>
      </w:r>
    </w:p>
    <w:p w14:paraId="6B0BCE3D" w14:textId="77777777" w:rsidR="002A7E6C" w:rsidRDefault="00000000">
      <w:pPr>
        <w:pStyle w:val="Textbody"/>
        <w:rPr>
          <w:rFonts w:hint="eastAsia"/>
        </w:rPr>
      </w:pPr>
      <w:r>
        <w:rPr>
          <w:rStyle w:val="StrongEmphasis"/>
        </w:rPr>
        <w:t>Market Position and Alternatives</w:t>
      </w:r>
    </w:p>
    <w:p w14:paraId="3EF3FAE3" w14:textId="77777777" w:rsidR="002A7E6C" w:rsidRDefault="00000000">
      <w:pPr>
        <w:pStyle w:val="Textbody"/>
        <w:numPr>
          <w:ilvl w:val="0"/>
          <w:numId w:val="21"/>
        </w:numPr>
        <w:spacing w:after="0"/>
        <w:rPr>
          <w:rFonts w:hint="eastAsia"/>
        </w:rPr>
      </w:pPr>
      <w:r>
        <w:rPr>
          <w:rStyle w:val="StrongEmphasis"/>
        </w:rPr>
        <w:t>Market Share:</w:t>
      </w:r>
      <w:r>
        <w:t xml:space="preserve"> Custom data residency implementations are standard for sovereign government clouds.</w:t>
      </w:r>
    </w:p>
    <w:p w14:paraId="30ECB2B4" w14:textId="77777777" w:rsidR="002A7E6C" w:rsidRDefault="00000000">
      <w:pPr>
        <w:pStyle w:val="Textbody"/>
        <w:numPr>
          <w:ilvl w:val="0"/>
          <w:numId w:val="21"/>
        </w:numPr>
        <w:spacing w:after="0"/>
        <w:rPr>
          <w:rFonts w:hint="eastAsia"/>
        </w:rPr>
      </w:pPr>
      <w:r>
        <w:rPr>
          <w:rStyle w:val="StrongEmphasis"/>
        </w:rPr>
        <w:t>Proprietary Alternatives:</w:t>
      </w:r>
      <w:r>
        <w:t xml:space="preserve"> Microsoft Azure Sovereign Cloud, AWS GovCloud.</w:t>
      </w:r>
    </w:p>
    <w:p w14:paraId="03906DE0" w14:textId="77777777" w:rsidR="002A7E6C" w:rsidRDefault="00000000">
      <w:pPr>
        <w:pStyle w:val="Textbody"/>
        <w:numPr>
          <w:ilvl w:val="0"/>
          <w:numId w:val="21"/>
        </w:numPr>
        <w:rPr>
          <w:rFonts w:hint="eastAsia"/>
        </w:rPr>
      </w:pPr>
      <w:r>
        <w:rPr>
          <w:rStyle w:val="StrongEmphasis"/>
        </w:rPr>
        <w:t>Open-Source Alternatives:</w:t>
      </w:r>
      <w:r>
        <w:t xml:space="preserve"> Open Policy Agent, </w:t>
      </w:r>
      <w:proofErr w:type="spellStart"/>
      <w:r>
        <w:t>Styra</w:t>
      </w:r>
      <w:proofErr w:type="spellEnd"/>
      <w:r>
        <w:t xml:space="preserve"> DAS.</w:t>
      </w:r>
    </w:p>
    <w:p w14:paraId="56D3CC9E" w14:textId="77777777" w:rsidR="002A7E6C" w:rsidRDefault="00000000">
      <w:pPr>
        <w:pStyle w:val="Textbody"/>
        <w:rPr>
          <w:rFonts w:hint="eastAsia"/>
        </w:rPr>
      </w:pPr>
      <w:r>
        <w:t>The OPA-based approach was selected for its policy-as-code capabilities and avoidance of proprietary cloud-specific sovereignty implementations.</w:t>
      </w:r>
    </w:p>
    <w:p w14:paraId="165DA39D" w14:textId="77777777" w:rsidR="002A7E6C" w:rsidRDefault="00000000">
      <w:pPr>
        <w:pStyle w:val="Heading2"/>
        <w:rPr>
          <w:rFonts w:hint="eastAsia"/>
        </w:rPr>
      </w:pPr>
      <w:bookmarkStart w:id="30" w:name="chapter-7-military-grade-security-implem"/>
      <w:bookmarkEnd w:id="30"/>
      <w:r>
        <w:rPr>
          <w:rStyle w:val="StrongEmphasis"/>
        </w:rPr>
        <w:t>Chapter 7: Military-Grade Security Implementation</w:t>
      </w:r>
    </w:p>
    <w:p w14:paraId="215A8C30" w14:textId="77777777" w:rsidR="002A7E6C" w:rsidRDefault="00000000">
      <w:pPr>
        <w:pStyle w:val="Heading3"/>
        <w:rPr>
          <w:rFonts w:hint="eastAsia"/>
        </w:rPr>
      </w:pPr>
      <w:bookmarkStart w:id="31" w:name="71-cryptographic-architecture"/>
      <w:bookmarkEnd w:id="31"/>
      <w:r>
        <w:rPr>
          <w:rStyle w:val="StrongEmphasis"/>
        </w:rPr>
        <w:t>7.1 Cryptographic Architecture</w:t>
      </w:r>
    </w:p>
    <w:p w14:paraId="29C0D239" w14:textId="77777777" w:rsidR="002A7E6C" w:rsidRDefault="00000000">
      <w:pPr>
        <w:pStyle w:val="Textbody"/>
        <w:rPr>
          <w:rFonts w:hint="eastAsia"/>
        </w:rPr>
      </w:pPr>
      <w:r>
        <w:rPr>
          <w:rStyle w:val="StrongEmphasis"/>
        </w:rPr>
        <w:t>Description and Functionality</w:t>
      </w:r>
      <w:r>
        <w:t xml:space="preserve"> The platform implements end-to-end encryption using algorithms and key lengths certified for classified government communications. This includes AES-256-GCM for data at rest, TLS 1.3 with PFS for data in transit, and FIPS 140-3 validated cryptographic modules.</w:t>
      </w:r>
    </w:p>
    <w:p w14:paraId="654DA4CE" w14:textId="77777777" w:rsidR="002A7E6C" w:rsidRDefault="00000000">
      <w:pPr>
        <w:pStyle w:val="Textbody"/>
        <w:rPr>
          <w:rFonts w:hint="eastAsia"/>
        </w:rPr>
      </w:pPr>
      <w:r>
        <w:rPr>
          <w:rStyle w:val="StrongEmphasis"/>
        </w:rPr>
        <w:t>Technical Merits and Selection Rationale</w:t>
      </w:r>
      <w:r>
        <w:t xml:space="preserve"> The cryptographic architecture was designed to meet and exceed NIST Special Publication 800-175B guidelines. Key components include:</w:t>
      </w:r>
    </w:p>
    <w:p w14:paraId="6EB85357" w14:textId="77777777" w:rsidR="002A7E6C" w:rsidRDefault="00000000">
      <w:pPr>
        <w:pStyle w:val="Textbody"/>
        <w:numPr>
          <w:ilvl w:val="0"/>
          <w:numId w:val="22"/>
        </w:numPr>
        <w:spacing w:after="0"/>
        <w:rPr>
          <w:rFonts w:hint="eastAsia"/>
        </w:rPr>
      </w:pPr>
      <w:r>
        <w:rPr>
          <w:rStyle w:val="StrongEmphasis"/>
        </w:rPr>
        <w:t>Hardware Security Modules (HSM):</w:t>
      </w:r>
      <w:r>
        <w:t xml:space="preserve"> Integration with Thales or AWS </w:t>
      </w:r>
      <w:proofErr w:type="spellStart"/>
      <w:r>
        <w:t>CloudHSM</w:t>
      </w:r>
      <w:proofErr w:type="spellEnd"/>
      <w:r>
        <w:t xml:space="preserve"> for root key management</w:t>
      </w:r>
    </w:p>
    <w:p w14:paraId="30622F03" w14:textId="77777777" w:rsidR="002A7E6C" w:rsidRDefault="00000000">
      <w:pPr>
        <w:pStyle w:val="Textbody"/>
        <w:numPr>
          <w:ilvl w:val="0"/>
          <w:numId w:val="22"/>
        </w:numPr>
        <w:spacing w:after="0"/>
        <w:rPr>
          <w:rFonts w:hint="eastAsia"/>
        </w:rPr>
      </w:pPr>
      <w:r>
        <w:rPr>
          <w:rStyle w:val="StrongEmphasis"/>
        </w:rPr>
        <w:t>Key Rotation:</w:t>
      </w:r>
      <w:r>
        <w:t xml:space="preserve"> Automated quarterly rotation of encryption keys with no service disruption</w:t>
      </w:r>
    </w:p>
    <w:p w14:paraId="41B24A0D" w14:textId="77777777" w:rsidR="002A7E6C" w:rsidRDefault="00000000">
      <w:pPr>
        <w:pStyle w:val="Textbody"/>
        <w:numPr>
          <w:ilvl w:val="0"/>
          <w:numId w:val="22"/>
        </w:numPr>
        <w:spacing w:after="0"/>
        <w:rPr>
          <w:rFonts w:hint="eastAsia"/>
        </w:rPr>
      </w:pPr>
      <w:r>
        <w:rPr>
          <w:rStyle w:val="StrongEmphasis"/>
        </w:rPr>
        <w:t>Encryption Gateway:</w:t>
      </w:r>
      <w:r>
        <w:t xml:space="preserve"> Transparent data encryption at the application layer using OpenSSL FIPS module</w:t>
      </w:r>
    </w:p>
    <w:p w14:paraId="6FCFA4E5" w14:textId="77777777" w:rsidR="002A7E6C" w:rsidRDefault="00000000">
      <w:pPr>
        <w:pStyle w:val="Textbody"/>
        <w:numPr>
          <w:ilvl w:val="0"/>
          <w:numId w:val="22"/>
        </w:numPr>
        <w:rPr>
          <w:rFonts w:hint="eastAsia"/>
        </w:rPr>
      </w:pPr>
      <w:r>
        <w:rPr>
          <w:rStyle w:val="StrongEmphasis"/>
        </w:rPr>
        <w:t>Quantum Resistance:</w:t>
      </w:r>
      <w:r>
        <w:t xml:space="preserve"> Implementation of hybrid post-quantum cryptography for </w:t>
      </w:r>
      <w:proofErr w:type="gramStart"/>
      <w:r>
        <w:t>future-proofing</w:t>
      </w:r>
      <w:proofErr w:type="gramEnd"/>
    </w:p>
    <w:p w14:paraId="0BF5CCAC" w14:textId="77777777" w:rsidR="002A7E6C" w:rsidRDefault="00000000">
      <w:pPr>
        <w:pStyle w:val="Textbody"/>
        <w:rPr>
          <w:rFonts w:hint="eastAsia"/>
        </w:rPr>
      </w:pPr>
      <w:r>
        <w:t>The system supports multiple key management scenarios:</w:t>
      </w:r>
    </w:p>
    <w:p w14:paraId="6FB9901D" w14:textId="77777777" w:rsidR="002A7E6C" w:rsidRDefault="00000000">
      <w:pPr>
        <w:pStyle w:val="Textbody"/>
        <w:numPr>
          <w:ilvl w:val="0"/>
          <w:numId w:val="23"/>
        </w:numPr>
        <w:spacing w:after="0"/>
        <w:rPr>
          <w:rFonts w:hint="eastAsia"/>
        </w:rPr>
      </w:pPr>
      <w:r>
        <w:rPr>
          <w:rStyle w:val="StrongEmphasis"/>
        </w:rPr>
        <w:t>MPAAI-Controlled:</w:t>
      </w:r>
      <w:r>
        <w:t xml:space="preserve"> Keys generated and managed entirely within MPAAI infrastructure</w:t>
      </w:r>
    </w:p>
    <w:p w14:paraId="3CDA9A21" w14:textId="77777777" w:rsidR="002A7E6C" w:rsidRDefault="00000000">
      <w:pPr>
        <w:pStyle w:val="Textbody"/>
        <w:numPr>
          <w:ilvl w:val="0"/>
          <w:numId w:val="23"/>
        </w:numPr>
        <w:spacing w:after="0"/>
        <w:rPr>
          <w:rFonts w:hint="eastAsia"/>
        </w:rPr>
      </w:pPr>
      <w:r>
        <w:rPr>
          <w:rStyle w:val="StrongEmphasis"/>
        </w:rPr>
        <w:t>Managed Service:</w:t>
      </w:r>
      <w:r>
        <w:t xml:space="preserve"> Key management as part of the SaaS offering with MPAAI oversight</w:t>
      </w:r>
    </w:p>
    <w:p w14:paraId="2957A58D" w14:textId="77777777" w:rsidR="002A7E6C" w:rsidRDefault="00000000">
      <w:pPr>
        <w:pStyle w:val="Textbody"/>
        <w:numPr>
          <w:ilvl w:val="0"/>
          <w:numId w:val="23"/>
        </w:numPr>
        <w:rPr>
          <w:rFonts w:hint="eastAsia"/>
        </w:rPr>
      </w:pPr>
      <w:r>
        <w:rPr>
          <w:rStyle w:val="StrongEmphasis"/>
        </w:rPr>
        <w:t>Split Control:</w:t>
      </w:r>
      <w:r>
        <w:t xml:space="preserve"> Root keys with MPAAI, operational keys with managed service</w:t>
      </w:r>
    </w:p>
    <w:p w14:paraId="2276E997" w14:textId="77777777" w:rsidR="002A7E6C" w:rsidRDefault="00000000">
      <w:pPr>
        <w:pStyle w:val="Textbody"/>
        <w:rPr>
          <w:rFonts w:hint="eastAsia"/>
        </w:rPr>
      </w:pPr>
      <w:r>
        <w:rPr>
          <w:rStyle w:val="StrongEmphasis"/>
        </w:rPr>
        <w:t>Market Position and Alternatives</w:t>
      </w:r>
    </w:p>
    <w:p w14:paraId="46EC17C1" w14:textId="77777777" w:rsidR="002A7E6C" w:rsidRDefault="00000000">
      <w:pPr>
        <w:pStyle w:val="Textbody"/>
        <w:numPr>
          <w:ilvl w:val="0"/>
          <w:numId w:val="24"/>
        </w:numPr>
        <w:spacing w:after="0"/>
        <w:rPr>
          <w:rFonts w:hint="eastAsia"/>
        </w:rPr>
      </w:pPr>
      <w:r>
        <w:rPr>
          <w:rStyle w:val="StrongEmphasis"/>
        </w:rPr>
        <w:lastRenderedPageBreak/>
        <w:t>Market Share:</w:t>
      </w:r>
      <w:r>
        <w:t xml:space="preserve"> Military-grade encryption is increasingly standard for government digital services.</w:t>
      </w:r>
    </w:p>
    <w:p w14:paraId="6A580F0B" w14:textId="77777777" w:rsidR="002A7E6C" w:rsidRDefault="00000000">
      <w:pPr>
        <w:pStyle w:val="Textbody"/>
        <w:numPr>
          <w:ilvl w:val="0"/>
          <w:numId w:val="24"/>
        </w:numPr>
        <w:spacing w:after="0"/>
        <w:rPr>
          <w:rFonts w:hint="eastAsia"/>
        </w:rPr>
      </w:pPr>
      <w:r>
        <w:rPr>
          <w:rStyle w:val="StrongEmphasis"/>
        </w:rPr>
        <w:t>Proprietary Alternatives:</w:t>
      </w:r>
      <w:r>
        <w:t xml:space="preserve"> Azure Confidential Computing, AWS Nitro Enclaves.</w:t>
      </w:r>
    </w:p>
    <w:p w14:paraId="4F460139" w14:textId="77777777" w:rsidR="002A7E6C" w:rsidRDefault="00000000">
      <w:pPr>
        <w:pStyle w:val="Textbody"/>
        <w:numPr>
          <w:ilvl w:val="0"/>
          <w:numId w:val="24"/>
        </w:numPr>
        <w:rPr>
          <w:rFonts w:hint="eastAsia"/>
        </w:rPr>
      </w:pPr>
      <w:r>
        <w:rPr>
          <w:rStyle w:val="StrongEmphasis"/>
        </w:rPr>
        <w:t>Open-Source Alternatives:</w:t>
      </w:r>
      <w:r>
        <w:t xml:space="preserve"> OpenSSL FIPS, </w:t>
      </w:r>
      <w:proofErr w:type="spellStart"/>
      <w:r>
        <w:t>Libreswan</w:t>
      </w:r>
      <w:proofErr w:type="spellEnd"/>
      <w:r>
        <w:t xml:space="preserve"> for VPN.</w:t>
      </w:r>
    </w:p>
    <w:p w14:paraId="4BA9B495" w14:textId="77777777" w:rsidR="002A7E6C" w:rsidRDefault="00000000">
      <w:pPr>
        <w:pStyle w:val="Textbody"/>
        <w:rPr>
          <w:rFonts w:hint="eastAsia"/>
        </w:rPr>
      </w:pPr>
      <w:r>
        <w:t>The open-source cryptographic stack was selected for transparency and auditability, critical for government security certifications.</w:t>
      </w:r>
    </w:p>
    <w:p w14:paraId="48819FE8" w14:textId="77777777" w:rsidR="002A7E6C" w:rsidRDefault="00000000">
      <w:pPr>
        <w:pStyle w:val="Heading3"/>
        <w:rPr>
          <w:rFonts w:hint="eastAsia"/>
        </w:rPr>
      </w:pPr>
      <w:bookmarkStart w:id="32" w:name="72-zero-trust-architecture"/>
      <w:bookmarkEnd w:id="32"/>
      <w:r>
        <w:rPr>
          <w:rStyle w:val="StrongEmphasis"/>
        </w:rPr>
        <w:t>7.2 Zero Trust Architecture</w:t>
      </w:r>
    </w:p>
    <w:p w14:paraId="2FE050B6" w14:textId="77777777" w:rsidR="002A7E6C" w:rsidRDefault="00000000">
      <w:pPr>
        <w:pStyle w:val="Textbody"/>
        <w:rPr>
          <w:rFonts w:hint="eastAsia"/>
        </w:rPr>
      </w:pPr>
      <w:r>
        <w:rPr>
          <w:rStyle w:val="StrongEmphasis"/>
        </w:rPr>
        <w:t>Description and Functionality</w:t>
      </w:r>
      <w:r>
        <w:t xml:space="preserve"> The platform implements a comprehensive Zero Trust security model where no entity is trusted by default, regardless of network location. Every access request is fully authenticated, authorized, and encrypted before granting access.</w:t>
      </w:r>
    </w:p>
    <w:p w14:paraId="4B853041" w14:textId="77777777" w:rsidR="002A7E6C" w:rsidRDefault="00000000">
      <w:pPr>
        <w:pStyle w:val="Textbody"/>
        <w:rPr>
          <w:rFonts w:hint="eastAsia"/>
        </w:rPr>
      </w:pPr>
      <w:r>
        <w:rPr>
          <w:rStyle w:val="StrongEmphasis"/>
        </w:rPr>
        <w:t>Technical Merits and Selection Rationale</w:t>
      </w:r>
      <w:r>
        <w:t xml:space="preserve"> Built on the NIST Zero Trust Architecture (SP 800-207) framework, the implementation includes:</w:t>
      </w:r>
    </w:p>
    <w:p w14:paraId="4F991B28" w14:textId="77777777" w:rsidR="002A7E6C" w:rsidRDefault="00000000">
      <w:pPr>
        <w:pStyle w:val="Textbody"/>
        <w:numPr>
          <w:ilvl w:val="0"/>
          <w:numId w:val="25"/>
        </w:numPr>
        <w:spacing w:after="0"/>
        <w:rPr>
          <w:rFonts w:hint="eastAsia"/>
        </w:rPr>
      </w:pPr>
      <w:r>
        <w:rPr>
          <w:rStyle w:val="StrongEmphasis"/>
        </w:rPr>
        <w:t>Identity-Centric Security:</w:t>
      </w:r>
      <w:r>
        <w:t xml:space="preserve"> </w:t>
      </w:r>
      <w:proofErr w:type="spellStart"/>
      <w:r>
        <w:t>Keycloak</w:t>
      </w:r>
      <w:proofErr w:type="spellEnd"/>
      <w:r>
        <w:t xml:space="preserve"> with continuous authentication assessment</w:t>
      </w:r>
    </w:p>
    <w:p w14:paraId="3FB3BCCD" w14:textId="77777777" w:rsidR="002A7E6C" w:rsidRDefault="00000000">
      <w:pPr>
        <w:pStyle w:val="Textbody"/>
        <w:numPr>
          <w:ilvl w:val="0"/>
          <w:numId w:val="25"/>
        </w:numPr>
        <w:spacing w:after="0"/>
        <w:rPr>
          <w:rFonts w:hint="eastAsia"/>
        </w:rPr>
      </w:pPr>
      <w:proofErr w:type="spellStart"/>
      <w:r>
        <w:rPr>
          <w:rStyle w:val="StrongEmphasis"/>
        </w:rPr>
        <w:t>Microsegmentation</w:t>
      </w:r>
      <w:proofErr w:type="spellEnd"/>
      <w:r>
        <w:rPr>
          <w:rStyle w:val="StrongEmphasis"/>
        </w:rPr>
        <w:t>:</w:t>
      </w:r>
      <w:r>
        <w:t xml:space="preserve"> Application-level segmentation using service mesh (Istio)</w:t>
      </w:r>
    </w:p>
    <w:p w14:paraId="6D5ED432" w14:textId="77777777" w:rsidR="002A7E6C" w:rsidRDefault="00000000">
      <w:pPr>
        <w:pStyle w:val="Textbody"/>
        <w:numPr>
          <w:ilvl w:val="0"/>
          <w:numId w:val="25"/>
        </w:numPr>
        <w:spacing w:after="0"/>
        <w:rPr>
          <w:rFonts w:hint="eastAsia"/>
        </w:rPr>
      </w:pPr>
      <w:r>
        <w:rPr>
          <w:rStyle w:val="StrongEmphasis"/>
        </w:rPr>
        <w:t>Device Health Validation:</w:t>
      </w:r>
      <w:r>
        <w:t xml:space="preserve"> Certificate-based device authentication</w:t>
      </w:r>
    </w:p>
    <w:p w14:paraId="69FF6631" w14:textId="77777777" w:rsidR="002A7E6C" w:rsidRDefault="00000000">
      <w:pPr>
        <w:pStyle w:val="Textbody"/>
        <w:numPr>
          <w:ilvl w:val="0"/>
          <w:numId w:val="25"/>
        </w:numPr>
        <w:spacing w:after="0"/>
        <w:rPr>
          <w:rFonts w:hint="eastAsia"/>
        </w:rPr>
      </w:pPr>
      <w:r>
        <w:rPr>
          <w:rStyle w:val="StrongEmphasis"/>
        </w:rPr>
        <w:t>Behavioral Analytics:</w:t>
      </w:r>
      <w:r>
        <w:t xml:space="preserve"> Machine learning-based anomaly detection</w:t>
      </w:r>
    </w:p>
    <w:p w14:paraId="06005287" w14:textId="77777777" w:rsidR="002A7E6C" w:rsidRDefault="00000000">
      <w:pPr>
        <w:pStyle w:val="Textbody"/>
        <w:numPr>
          <w:ilvl w:val="0"/>
          <w:numId w:val="25"/>
        </w:numPr>
        <w:rPr>
          <w:rFonts w:hint="eastAsia"/>
        </w:rPr>
      </w:pPr>
      <w:r>
        <w:rPr>
          <w:rStyle w:val="StrongEmphasis"/>
        </w:rPr>
        <w:t>Policy Enforcement:</w:t>
      </w:r>
      <w:r>
        <w:t xml:space="preserve"> Dynamic access decisions based on real-time risk assessment</w:t>
      </w:r>
    </w:p>
    <w:p w14:paraId="556AA7A9" w14:textId="77777777" w:rsidR="002A7E6C" w:rsidRDefault="00000000">
      <w:pPr>
        <w:pStyle w:val="Textbody"/>
        <w:rPr>
          <w:rFonts w:hint="eastAsia"/>
        </w:rPr>
      </w:pPr>
      <w:r>
        <w:t>The architecture eliminates the traditional network perimeter, making the hybrid deployment intrinsically secure rather than relying on network boundaries for protection.</w:t>
      </w:r>
    </w:p>
    <w:p w14:paraId="77AED515" w14:textId="77777777" w:rsidR="002A7E6C" w:rsidRDefault="00000000">
      <w:pPr>
        <w:pStyle w:val="Textbody"/>
        <w:rPr>
          <w:rFonts w:hint="eastAsia"/>
        </w:rPr>
      </w:pPr>
      <w:r>
        <w:rPr>
          <w:rStyle w:val="StrongEmphasis"/>
        </w:rPr>
        <w:t>Market Position and Alternatives</w:t>
      </w:r>
    </w:p>
    <w:p w14:paraId="09318CE7" w14:textId="77777777" w:rsidR="002A7E6C" w:rsidRDefault="00000000">
      <w:pPr>
        <w:pStyle w:val="Textbody"/>
        <w:numPr>
          <w:ilvl w:val="0"/>
          <w:numId w:val="26"/>
        </w:numPr>
        <w:spacing w:after="0"/>
        <w:rPr>
          <w:rFonts w:hint="eastAsia"/>
        </w:rPr>
      </w:pPr>
      <w:r>
        <w:rPr>
          <w:rStyle w:val="StrongEmphasis"/>
        </w:rPr>
        <w:t>Market Share:</w:t>
      </w:r>
      <w:r>
        <w:t xml:space="preserve"> Zero Trust adoption is accelerating in government, with 45% of agencies implementing or planning implementations.</w:t>
      </w:r>
    </w:p>
    <w:p w14:paraId="4CF74093" w14:textId="77777777" w:rsidR="002A7E6C" w:rsidRDefault="00000000">
      <w:pPr>
        <w:pStyle w:val="Textbody"/>
        <w:numPr>
          <w:ilvl w:val="0"/>
          <w:numId w:val="26"/>
        </w:numPr>
        <w:spacing w:after="0"/>
        <w:rPr>
          <w:rFonts w:hint="eastAsia"/>
        </w:rPr>
      </w:pPr>
      <w:r>
        <w:rPr>
          <w:rStyle w:val="StrongEmphasis"/>
        </w:rPr>
        <w:t>Proprietary Alternatives:</w:t>
      </w:r>
      <w:r>
        <w:t xml:space="preserve"> Zscaler Zero Trust Exchange, Palo Alto Prisma Access.</w:t>
      </w:r>
    </w:p>
    <w:p w14:paraId="44752C42" w14:textId="77777777" w:rsidR="002A7E6C" w:rsidRDefault="00000000">
      <w:pPr>
        <w:pStyle w:val="Textbody"/>
        <w:numPr>
          <w:ilvl w:val="0"/>
          <w:numId w:val="26"/>
        </w:numPr>
        <w:rPr>
          <w:rFonts w:hint="eastAsia"/>
        </w:rPr>
      </w:pPr>
      <w:r>
        <w:rPr>
          <w:rStyle w:val="StrongEmphasis"/>
        </w:rPr>
        <w:t>Open-Source Alternatives:</w:t>
      </w:r>
      <w:r>
        <w:t xml:space="preserve"> SPIFFE/SPIRE, </w:t>
      </w:r>
      <w:proofErr w:type="spellStart"/>
      <w:r>
        <w:t>OpenZiti</w:t>
      </w:r>
      <w:proofErr w:type="spellEnd"/>
      <w:r>
        <w:t>.</w:t>
      </w:r>
    </w:p>
    <w:p w14:paraId="5E2FA62F" w14:textId="77777777" w:rsidR="002A7E6C" w:rsidRDefault="00000000">
      <w:pPr>
        <w:pStyle w:val="Textbody"/>
        <w:rPr>
          <w:rFonts w:hint="eastAsia"/>
        </w:rPr>
      </w:pPr>
      <w:r>
        <w:t xml:space="preserve">The open-source approach was selected to avoid proprietary security </w:t>
      </w:r>
      <w:proofErr w:type="gramStart"/>
      <w:r>
        <w:t>vendor</w:t>
      </w:r>
      <w:proofErr w:type="gramEnd"/>
      <w:r>
        <w:t xml:space="preserve"> lock-in and maintain architectural flexibility.</w:t>
      </w:r>
    </w:p>
    <w:p w14:paraId="65073A7B" w14:textId="77777777" w:rsidR="002A7E6C" w:rsidRDefault="00000000">
      <w:pPr>
        <w:pStyle w:val="Heading2"/>
        <w:rPr>
          <w:rFonts w:hint="eastAsia"/>
        </w:rPr>
      </w:pPr>
      <w:bookmarkStart w:id="33" w:name="chapter-8-managed-service-operations"/>
      <w:bookmarkEnd w:id="33"/>
      <w:r>
        <w:rPr>
          <w:rStyle w:val="StrongEmphasis"/>
        </w:rPr>
        <w:t>Chapter 8: Managed Service Operations</w:t>
      </w:r>
    </w:p>
    <w:p w14:paraId="615B5F9E" w14:textId="77777777" w:rsidR="002A7E6C" w:rsidRDefault="00000000">
      <w:pPr>
        <w:pStyle w:val="Heading3"/>
        <w:rPr>
          <w:rFonts w:hint="eastAsia"/>
        </w:rPr>
      </w:pPr>
      <w:bookmarkStart w:id="34" w:name="81-government-saas-delivery-model"/>
      <w:bookmarkEnd w:id="34"/>
      <w:r>
        <w:rPr>
          <w:rStyle w:val="StrongEmphasis"/>
        </w:rPr>
        <w:t>8.1 Government SaaS Delivery Model</w:t>
      </w:r>
    </w:p>
    <w:p w14:paraId="09700F90" w14:textId="77777777" w:rsidR="002A7E6C" w:rsidRDefault="00000000">
      <w:pPr>
        <w:pStyle w:val="Textbody"/>
        <w:rPr>
          <w:rFonts w:hint="eastAsia"/>
        </w:rPr>
      </w:pPr>
      <w:r>
        <w:rPr>
          <w:rStyle w:val="StrongEmphasis"/>
        </w:rPr>
        <w:t>Description and Functionality</w:t>
      </w:r>
      <w:r>
        <w:t xml:space="preserve"> </w:t>
      </w:r>
      <w:proofErr w:type="gramStart"/>
      <w:r>
        <w:t>The</w:t>
      </w:r>
      <w:proofErr w:type="gramEnd"/>
      <w:r>
        <w:t xml:space="preserve"> CSMP is delivered as a fully managed service with service level agreements (SLAs) tailored to government operational requirements. This includes 24/7 monitoring, proactive maintenance, security patching, and performance </w:t>
      </w:r>
      <w:proofErr w:type="gramStart"/>
      <w:r>
        <w:t>optimization—all</w:t>
      </w:r>
      <w:proofErr w:type="gramEnd"/>
      <w:r>
        <w:t xml:space="preserve"> while maintaining MPAAI's policy control and data sovereignty.</w:t>
      </w:r>
    </w:p>
    <w:p w14:paraId="2B11AEA7" w14:textId="77777777" w:rsidR="002A7E6C" w:rsidRDefault="00000000">
      <w:pPr>
        <w:pStyle w:val="Textbody"/>
        <w:rPr>
          <w:rFonts w:hint="eastAsia"/>
        </w:rPr>
      </w:pPr>
      <w:r>
        <w:rPr>
          <w:rStyle w:val="StrongEmphasis"/>
        </w:rPr>
        <w:t>Technical Merits and Selection Rationale</w:t>
      </w:r>
      <w:r>
        <w:t xml:space="preserve"> The managed service model combines the operational benefits of cloud SaaS with the control requirements of government systems:</w:t>
      </w:r>
    </w:p>
    <w:p w14:paraId="6065FE01" w14:textId="77777777" w:rsidR="002A7E6C" w:rsidRDefault="00000000">
      <w:pPr>
        <w:pStyle w:val="Textbody"/>
        <w:numPr>
          <w:ilvl w:val="0"/>
          <w:numId w:val="27"/>
        </w:numPr>
        <w:spacing w:after="0"/>
        <w:rPr>
          <w:rFonts w:hint="eastAsia"/>
        </w:rPr>
      </w:pPr>
      <w:r>
        <w:rPr>
          <w:rStyle w:val="StrongEmphasis"/>
        </w:rPr>
        <w:t>Dedicated Tenant Isolation:</w:t>
      </w:r>
      <w:r>
        <w:t xml:space="preserve"> Single-tenant deployment per ministry with shared management plane</w:t>
      </w:r>
    </w:p>
    <w:p w14:paraId="43CE5530" w14:textId="77777777" w:rsidR="002A7E6C" w:rsidRDefault="00000000">
      <w:pPr>
        <w:pStyle w:val="Textbody"/>
        <w:numPr>
          <w:ilvl w:val="0"/>
          <w:numId w:val="27"/>
        </w:numPr>
        <w:spacing w:after="0"/>
        <w:rPr>
          <w:rFonts w:hint="eastAsia"/>
        </w:rPr>
      </w:pPr>
      <w:r>
        <w:rPr>
          <w:rStyle w:val="StrongEmphasis"/>
        </w:rPr>
        <w:t>MPAAI Control Plane:</w:t>
      </w:r>
      <w:r>
        <w:t xml:space="preserve"> Web-based administration console for policy management and oversight</w:t>
      </w:r>
    </w:p>
    <w:p w14:paraId="5DA6F0B2" w14:textId="77777777" w:rsidR="002A7E6C" w:rsidRDefault="00000000">
      <w:pPr>
        <w:pStyle w:val="Textbody"/>
        <w:numPr>
          <w:ilvl w:val="0"/>
          <w:numId w:val="27"/>
        </w:numPr>
        <w:spacing w:after="0"/>
        <w:rPr>
          <w:rFonts w:hint="eastAsia"/>
        </w:rPr>
      </w:pPr>
      <w:r>
        <w:rPr>
          <w:rStyle w:val="StrongEmphasis"/>
        </w:rPr>
        <w:t>Managed Operations:</w:t>
      </w:r>
      <w:r>
        <w:t xml:space="preserve"> 99.95% uptime SLA with 15-minute response time for critical incidents</w:t>
      </w:r>
    </w:p>
    <w:p w14:paraId="686CC9D5" w14:textId="77777777" w:rsidR="002A7E6C" w:rsidRDefault="00000000">
      <w:pPr>
        <w:pStyle w:val="Textbody"/>
        <w:numPr>
          <w:ilvl w:val="0"/>
          <w:numId w:val="27"/>
        </w:numPr>
        <w:rPr>
          <w:rFonts w:hint="eastAsia"/>
        </w:rPr>
      </w:pPr>
      <w:r>
        <w:rPr>
          <w:rStyle w:val="StrongEmphasis"/>
        </w:rPr>
        <w:t>Local Presence:</w:t>
      </w:r>
      <w:r>
        <w:t xml:space="preserve"> Trinidad-based operations team with remote expertise augmentation</w:t>
      </w:r>
    </w:p>
    <w:p w14:paraId="3087E32C" w14:textId="77777777" w:rsidR="002A7E6C" w:rsidRDefault="00000000">
      <w:pPr>
        <w:pStyle w:val="Textbody"/>
        <w:rPr>
          <w:rFonts w:hint="eastAsia"/>
        </w:rPr>
      </w:pPr>
      <w:r>
        <w:t xml:space="preserve">The service includes comprehensive monitoring using Prometheus and Grafana, with real-time dashboards </w:t>
      </w:r>
      <w:r>
        <w:lastRenderedPageBreak/>
        <w:t>accessible to MPAAI operations staff. All operational activities are logged and auditable.</w:t>
      </w:r>
    </w:p>
    <w:p w14:paraId="6822CCF3" w14:textId="77777777" w:rsidR="002A7E6C" w:rsidRDefault="00000000">
      <w:pPr>
        <w:pStyle w:val="Textbody"/>
        <w:rPr>
          <w:rFonts w:hint="eastAsia"/>
        </w:rPr>
      </w:pPr>
      <w:r>
        <w:rPr>
          <w:rStyle w:val="StrongEmphasis"/>
        </w:rPr>
        <w:t>Market Position and Alternatives</w:t>
      </w:r>
    </w:p>
    <w:p w14:paraId="1A1D6870" w14:textId="77777777" w:rsidR="002A7E6C" w:rsidRDefault="00000000">
      <w:pPr>
        <w:pStyle w:val="Textbody"/>
        <w:numPr>
          <w:ilvl w:val="0"/>
          <w:numId w:val="28"/>
        </w:numPr>
        <w:spacing w:after="0"/>
        <w:rPr>
          <w:rFonts w:hint="eastAsia"/>
        </w:rPr>
      </w:pPr>
      <w:r>
        <w:rPr>
          <w:rStyle w:val="StrongEmphasis"/>
        </w:rPr>
        <w:t>Market Share:</w:t>
      </w:r>
      <w:r>
        <w:t xml:space="preserve"> Government SaaS is growing at 22% annually as agencies seek operational efficiency.</w:t>
      </w:r>
    </w:p>
    <w:p w14:paraId="753C4236" w14:textId="77777777" w:rsidR="002A7E6C" w:rsidRDefault="00000000">
      <w:pPr>
        <w:pStyle w:val="Textbody"/>
        <w:numPr>
          <w:ilvl w:val="0"/>
          <w:numId w:val="28"/>
        </w:numPr>
        <w:spacing w:after="0"/>
        <w:rPr>
          <w:rFonts w:hint="eastAsia"/>
        </w:rPr>
      </w:pPr>
      <w:r>
        <w:rPr>
          <w:rStyle w:val="StrongEmphasis"/>
        </w:rPr>
        <w:t>Proprietary Alternatives:</w:t>
      </w:r>
      <w:r>
        <w:t xml:space="preserve"> Salesforce Government Cloud, Microsoft Dynamics 365 Government.</w:t>
      </w:r>
    </w:p>
    <w:p w14:paraId="23C5144B" w14:textId="77777777" w:rsidR="002A7E6C" w:rsidRDefault="00000000">
      <w:pPr>
        <w:pStyle w:val="Textbody"/>
        <w:numPr>
          <w:ilvl w:val="0"/>
          <w:numId w:val="28"/>
        </w:numPr>
        <w:rPr>
          <w:rFonts w:hint="eastAsia"/>
        </w:rPr>
      </w:pPr>
      <w:r>
        <w:rPr>
          <w:rStyle w:val="StrongEmphasis"/>
        </w:rPr>
        <w:t>Open-Source Alternatives:</w:t>
      </w:r>
      <w:r>
        <w:t xml:space="preserve"> Custom managed service built on open-source components.</w:t>
      </w:r>
    </w:p>
    <w:p w14:paraId="5AA852B1" w14:textId="77777777" w:rsidR="002A7E6C" w:rsidRDefault="00000000">
      <w:pPr>
        <w:pStyle w:val="Textbody"/>
        <w:rPr>
          <w:rFonts w:hint="eastAsia"/>
        </w:rPr>
      </w:pPr>
      <w:r>
        <w:t>The custom managed service approach was selected to provide MPAAI with maximum flexibility and avoid the feature constraints of commercial government SaaS offerings.</w:t>
      </w:r>
    </w:p>
    <w:p w14:paraId="06793B27" w14:textId="77777777" w:rsidR="002A7E6C" w:rsidRDefault="00000000">
      <w:pPr>
        <w:pStyle w:val="Heading3"/>
        <w:rPr>
          <w:rFonts w:hint="eastAsia"/>
        </w:rPr>
      </w:pPr>
      <w:bookmarkStart w:id="35" w:name="82-compliance-and-certification-framewor"/>
      <w:bookmarkEnd w:id="35"/>
      <w:r>
        <w:rPr>
          <w:rStyle w:val="StrongEmphasis"/>
        </w:rPr>
        <w:t>8.2 Compliance and Certification Framework</w:t>
      </w:r>
    </w:p>
    <w:p w14:paraId="73DEFB64" w14:textId="77777777" w:rsidR="002A7E6C" w:rsidRDefault="00000000">
      <w:pPr>
        <w:pStyle w:val="Textbody"/>
        <w:rPr>
          <w:rFonts w:hint="eastAsia"/>
        </w:rPr>
      </w:pPr>
      <w:r>
        <w:rPr>
          <w:rStyle w:val="StrongEmphasis"/>
        </w:rPr>
        <w:t>Description and Functionality</w:t>
      </w:r>
      <w:r>
        <w:t xml:space="preserve"> The platform is designed to facilitate compliance with Trinidad and Tobago's data protection regulations and international security standards. This includes built-in controls for data protection impact assessments, privacy by design, and regulatory reporting.</w:t>
      </w:r>
    </w:p>
    <w:p w14:paraId="4C5F1C52" w14:textId="77777777" w:rsidR="002A7E6C" w:rsidRDefault="00000000">
      <w:pPr>
        <w:pStyle w:val="Textbody"/>
        <w:rPr>
          <w:rFonts w:hint="eastAsia"/>
        </w:rPr>
      </w:pPr>
      <w:r>
        <w:rPr>
          <w:rStyle w:val="StrongEmphasis"/>
        </w:rPr>
        <w:t>Technical Merits and Selection Rationale</w:t>
      </w:r>
      <w:r>
        <w:t xml:space="preserve"> The compliance framework is integrated throughout the platform architecture:</w:t>
      </w:r>
    </w:p>
    <w:p w14:paraId="77CE4C54" w14:textId="77777777" w:rsidR="002A7E6C" w:rsidRDefault="00000000">
      <w:pPr>
        <w:pStyle w:val="Textbody"/>
        <w:numPr>
          <w:ilvl w:val="0"/>
          <w:numId w:val="29"/>
        </w:numPr>
        <w:spacing w:after="0"/>
        <w:rPr>
          <w:rFonts w:hint="eastAsia"/>
        </w:rPr>
      </w:pPr>
      <w:r>
        <w:rPr>
          <w:rStyle w:val="StrongEmphasis"/>
        </w:rPr>
        <w:t>Automated Compliance Scanning:</w:t>
      </w:r>
      <w:r>
        <w:t xml:space="preserve"> Continuous configuration validation against security baselines</w:t>
      </w:r>
    </w:p>
    <w:p w14:paraId="40532ADA" w14:textId="77777777" w:rsidR="002A7E6C" w:rsidRDefault="00000000">
      <w:pPr>
        <w:pStyle w:val="Textbody"/>
        <w:numPr>
          <w:ilvl w:val="0"/>
          <w:numId w:val="29"/>
        </w:numPr>
        <w:spacing w:after="0"/>
        <w:rPr>
          <w:rFonts w:hint="eastAsia"/>
        </w:rPr>
      </w:pPr>
      <w:r>
        <w:rPr>
          <w:rStyle w:val="StrongEmphasis"/>
        </w:rPr>
        <w:t>Privacy Impact Assessments:</w:t>
      </w:r>
      <w:r>
        <w:t xml:space="preserve"> Automated PIA workflows for new data processing activities</w:t>
      </w:r>
    </w:p>
    <w:p w14:paraId="519FBC3E" w14:textId="77777777" w:rsidR="002A7E6C" w:rsidRDefault="00000000">
      <w:pPr>
        <w:pStyle w:val="Textbody"/>
        <w:numPr>
          <w:ilvl w:val="0"/>
          <w:numId w:val="29"/>
        </w:numPr>
        <w:spacing w:after="0"/>
        <w:rPr>
          <w:rFonts w:hint="eastAsia"/>
        </w:rPr>
      </w:pPr>
      <w:r>
        <w:rPr>
          <w:rStyle w:val="StrongEmphasis"/>
        </w:rPr>
        <w:t>Audit Ready Design:</w:t>
      </w:r>
      <w:r>
        <w:t xml:space="preserve"> Comprehensive logging and evidence collection for regulatory audits</w:t>
      </w:r>
    </w:p>
    <w:p w14:paraId="78058890" w14:textId="77777777" w:rsidR="002A7E6C" w:rsidRDefault="00000000">
      <w:pPr>
        <w:pStyle w:val="Textbody"/>
        <w:numPr>
          <w:ilvl w:val="0"/>
          <w:numId w:val="29"/>
        </w:numPr>
        <w:rPr>
          <w:rFonts w:hint="eastAsia"/>
        </w:rPr>
      </w:pPr>
      <w:r>
        <w:rPr>
          <w:rStyle w:val="StrongEmphasis"/>
        </w:rPr>
        <w:t>Certification Support:</w:t>
      </w:r>
      <w:r>
        <w:t xml:space="preserve"> Architecture designed to support ISO 27001, SOC 2, and local certifications</w:t>
      </w:r>
    </w:p>
    <w:p w14:paraId="0754E7B0" w14:textId="77777777" w:rsidR="002A7E6C" w:rsidRDefault="00000000">
      <w:pPr>
        <w:pStyle w:val="Textbody"/>
        <w:rPr>
          <w:rFonts w:hint="eastAsia"/>
        </w:rPr>
      </w:pPr>
      <w:r>
        <w:t>The system includes data protection officers' dashboards for monitoring compliance status and generating regulatory reports. All citizen data processing activities are logged with purpose limitation and data minimization principles enforced at the application layer.</w:t>
      </w:r>
    </w:p>
    <w:p w14:paraId="5F4909A7" w14:textId="77777777" w:rsidR="002A7E6C" w:rsidRDefault="00000000">
      <w:pPr>
        <w:pStyle w:val="Textbody"/>
        <w:rPr>
          <w:rFonts w:hint="eastAsia"/>
        </w:rPr>
      </w:pPr>
      <w:r>
        <w:rPr>
          <w:rStyle w:val="StrongEmphasis"/>
        </w:rPr>
        <w:t>Market Position and Alternatives</w:t>
      </w:r>
    </w:p>
    <w:p w14:paraId="100426C9" w14:textId="77777777" w:rsidR="002A7E6C" w:rsidRDefault="00000000">
      <w:pPr>
        <w:pStyle w:val="Textbody"/>
        <w:numPr>
          <w:ilvl w:val="0"/>
          <w:numId w:val="30"/>
        </w:numPr>
        <w:spacing w:after="0"/>
        <w:rPr>
          <w:rFonts w:hint="eastAsia"/>
        </w:rPr>
      </w:pPr>
      <w:r>
        <w:rPr>
          <w:rStyle w:val="StrongEmphasis"/>
        </w:rPr>
        <w:t>Market Share:</w:t>
      </w:r>
      <w:r>
        <w:t xml:space="preserve"> Integrated compliance automation is becoming standard for government cloud platforms.</w:t>
      </w:r>
    </w:p>
    <w:p w14:paraId="0A509BB4" w14:textId="77777777" w:rsidR="002A7E6C" w:rsidRDefault="00000000">
      <w:pPr>
        <w:pStyle w:val="Textbody"/>
        <w:numPr>
          <w:ilvl w:val="0"/>
          <w:numId w:val="30"/>
        </w:numPr>
        <w:spacing w:after="0"/>
        <w:rPr>
          <w:rFonts w:hint="eastAsia"/>
        </w:rPr>
      </w:pPr>
      <w:r>
        <w:rPr>
          <w:rStyle w:val="StrongEmphasis"/>
        </w:rPr>
        <w:t>Proprietary Alternatives:</w:t>
      </w:r>
      <w:r>
        <w:t xml:space="preserve"> RSA Archer, ServiceNow Governance Risk and Compliance.</w:t>
      </w:r>
    </w:p>
    <w:p w14:paraId="51720216" w14:textId="77777777" w:rsidR="002A7E6C" w:rsidRDefault="00000000">
      <w:pPr>
        <w:pStyle w:val="Textbody"/>
        <w:numPr>
          <w:ilvl w:val="0"/>
          <w:numId w:val="30"/>
        </w:numPr>
        <w:rPr>
          <w:rFonts w:hint="eastAsia"/>
        </w:rPr>
      </w:pPr>
      <w:r>
        <w:rPr>
          <w:rStyle w:val="StrongEmphasis"/>
        </w:rPr>
        <w:t>Open-Source Alternatives:</w:t>
      </w:r>
      <w:r>
        <w:t xml:space="preserve"> </w:t>
      </w:r>
      <w:proofErr w:type="spellStart"/>
      <w:r>
        <w:t>OpenSCAP</w:t>
      </w:r>
      <w:proofErr w:type="spellEnd"/>
      <w:r>
        <w:t>, OWASP Dependency-Check.</w:t>
      </w:r>
    </w:p>
    <w:p w14:paraId="1DC6DA97" w14:textId="77777777" w:rsidR="002A7E6C" w:rsidRDefault="00000000">
      <w:pPr>
        <w:pStyle w:val="Textbody"/>
        <w:rPr>
          <w:rFonts w:hint="eastAsia"/>
        </w:rPr>
      </w:pPr>
      <w:r>
        <w:t>The open-source compliance tooling was selected for transparency and avoidance of proprietary compliance framework dependencies.</w:t>
      </w:r>
    </w:p>
    <w:p w14:paraId="70BC891A" w14:textId="77777777" w:rsidR="002A7E6C" w:rsidRDefault="00000000">
      <w:pPr>
        <w:pStyle w:val="Heading2"/>
        <w:rPr>
          <w:rFonts w:hint="eastAsia"/>
        </w:rPr>
      </w:pPr>
      <w:bookmarkStart w:id="36" w:name="chapter-9-implementation-and-migration"/>
      <w:bookmarkEnd w:id="36"/>
      <w:r>
        <w:rPr>
          <w:rStyle w:val="StrongEmphasis"/>
        </w:rPr>
        <w:t>Chapter 9: Implementation and Migration</w:t>
      </w:r>
    </w:p>
    <w:p w14:paraId="0BE497C5" w14:textId="77777777" w:rsidR="002A7E6C" w:rsidRDefault="00000000">
      <w:pPr>
        <w:pStyle w:val="Heading3"/>
        <w:rPr>
          <w:rFonts w:hint="eastAsia"/>
        </w:rPr>
      </w:pPr>
      <w:bookmarkStart w:id="37" w:name="91-phased-deployment-strategy"/>
      <w:bookmarkEnd w:id="37"/>
      <w:r>
        <w:rPr>
          <w:rStyle w:val="StrongEmphasis"/>
        </w:rPr>
        <w:t>9.1 Phased Deployment Strategy</w:t>
      </w:r>
    </w:p>
    <w:p w14:paraId="5B9F14A4" w14:textId="77777777" w:rsidR="002A7E6C" w:rsidRDefault="00000000">
      <w:pPr>
        <w:pStyle w:val="Textbody"/>
        <w:rPr>
          <w:rFonts w:hint="eastAsia"/>
        </w:rPr>
      </w:pPr>
      <w:r>
        <w:rPr>
          <w:rStyle w:val="StrongEmphasis"/>
        </w:rPr>
        <w:t>Description and Functionality</w:t>
      </w:r>
      <w:r>
        <w:t xml:space="preserve"> The hybrid deployment follows a carefully phased approach that minimizes risk while demonstrating early value. The strategy includes parallel operation with legacy systems, gradual data migration, and iterative capability activation.</w:t>
      </w:r>
    </w:p>
    <w:p w14:paraId="00E7BAA3" w14:textId="77777777" w:rsidR="002A7E6C" w:rsidRDefault="00000000">
      <w:pPr>
        <w:pStyle w:val="Textbody"/>
        <w:rPr>
          <w:rFonts w:hint="eastAsia"/>
        </w:rPr>
      </w:pPr>
      <w:r>
        <w:rPr>
          <w:rStyle w:val="StrongEmphasis"/>
        </w:rPr>
        <w:t>Technical Merits and Selection Rationale</w:t>
      </w:r>
      <w:r>
        <w:t xml:space="preserve"> The phased approach addresses common government technology modernization challenges:</w:t>
      </w:r>
    </w:p>
    <w:p w14:paraId="54EFB7A3" w14:textId="77777777" w:rsidR="002A7E6C" w:rsidRDefault="00000000">
      <w:pPr>
        <w:pStyle w:val="Textbody"/>
        <w:numPr>
          <w:ilvl w:val="0"/>
          <w:numId w:val="31"/>
        </w:numPr>
        <w:spacing w:after="0"/>
        <w:rPr>
          <w:rFonts w:hint="eastAsia"/>
        </w:rPr>
      </w:pPr>
      <w:r>
        <w:rPr>
          <w:rStyle w:val="StrongEmphasis"/>
        </w:rPr>
        <w:t>Phase 1: Foundation</w:t>
      </w:r>
      <w:r>
        <w:t xml:space="preserve"> - Core platform deployment in MPAAI data center with basic citizen services</w:t>
      </w:r>
    </w:p>
    <w:p w14:paraId="0B64B971" w14:textId="77777777" w:rsidR="002A7E6C" w:rsidRDefault="00000000">
      <w:pPr>
        <w:pStyle w:val="Textbody"/>
        <w:numPr>
          <w:ilvl w:val="0"/>
          <w:numId w:val="31"/>
        </w:numPr>
        <w:spacing w:after="0"/>
        <w:rPr>
          <w:rFonts w:hint="eastAsia"/>
        </w:rPr>
      </w:pPr>
      <w:r>
        <w:rPr>
          <w:rStyle w:val="StrongEmphasis"/>
        </w:rPr>
        <w:t>Phase 2: Expansion</w:t>
      </w:r>
      <w:r>
        <w:t xml:space="preserve"> - Addition of cloud components for scalability and hybrid operation</w:t>
      </w:r>
    </w:p>
    <w:p w14:paraId="322ADF18" w14:textId="77777777" w:rsidR="002A7E6C" w:rsidRDefault="00000000">
      <w:pPr>
        <w:pStyle w:val="Textbody"/>
        <w:numPr>
          <w:ilvl w:val="0"/>
          <w:numId w:val="31"/>
        </w:numPr>
        <w:rPr>
          <w:rFonts w:hint="eastAsia"/>
        </w:rPr>
      </w:pPr>
      <w:r>
        <w:rPr>
          <w:rStyle w:val="StrongEmphasis"/>
        </w:rPr>
        <w:t>Phase 3: Optimization</w:t>
      </w:r>
      <w:r>
        <w:t xml:space="preserve"> - Full hybrid operation with AI capabilities and advanced features</w:t>
      </w:r>
    </w:p>
    <w:p w14:paraId="31BD7AA7" w14:textId="77777777" w:rsidR="002A7E6C" w:rsidRDefault="00000000">
      <w:pPr>
        <w:pStyle w:val="Textbody"/>
        <w:rPr>
          <w:rFonts w:hint="eastAsia"/>
        </w:rPr>
      </w:pPr>
      <w:r>
        <w:lastRenderedPageBreak/>
        <w:t>Each phase includes specific interoperability gateways to ensure seamless operation with existing government systems. The migration uses blue-green deployment patterns to enable rollback capability at every stage.</w:t>
      </w:r>
    </w:p>
    <w:p w14:paraId="4D1737D4" w14:textId="77777777" w:rsidR="002A7E6C" w:rsidRDefault="00000000">
      <w:pPr>
        <w:pStyle w:val="Textbody"/>
        <w:rPr>
          <w:rFonts w:hint="eastAsia"/>
        </w:rPr>
      </w:pPr>
      <w:r>
        <w:rPr>
          <w:rStyle w:val="StrongEmphasis"/>
        </w:rPr>
        <w:t>Market Position and Alternatives</w:t>
      </w:r>
    </w:p>
    <w:p w14:paraId="0EC58DB8" w14:textId="77777777" w:rsidR="002A7E6C" w:rsidRDefault="00000000">
      <w:pPr>
        <w:pStyle w:val="Textbody"/>
        <w:numPr>
          <w:ilvl w:val="0"/>
          <w:numId w:val="32"/>
        </w:numPr>
        <w:spacing w:after="0"/>
        <w:rPr>
          <w:rFonts w:hint="eastAsia"/>
        </w:rPr>
      </w:pPr>
      <w:r>
        <w:rPr>
          <w:rStyle w:val="StrongEmphasis"/>
        </w:rPr>
        <w:t>Market Share:</w:t>
      </w:r>
      <w:r>
        <w:t xml:space="preserve"> Phased deployment is the standard approach for government digital transformation (78% of successful projects).</w:t>
      </w:r>
    </w:p>
    <w:p w14:paraId="4BDA8D2E" w14:textId="77777777" w:rsidR="002A7E6C" w:rsidRDefault="00000000">
      <w:pPr>
        <w:pStyle w:val="Textbody"/>
        <w:numPr>
          <w:ilvl w:val="0"/>
          <w:numId w:val="32"/>
        </w:numPr>
        <w:spacing w:after="0"/>
        <w:rPr>
          <w:rFonts w:hint="eastAsia"/>
        </w:rPr>
      </w:pPr>
      <w:r>
        <w:rPr>
          <w:rStyle w:val="StrongEmphasis"/>
        </w:rPr>
        <w:t>Alternative Approaches:</w:t>
      </w:r>
      <w:r>
        <w:t xml:space="preserve"> Big bang migration, pilot then scale.</w:t>
      </w:r>
    </w:p>
    <w:p w14:paraId="1A67068A" w14:textId="77777777" w:rsidR="002A7E6C" w:rsidRDefault="00000000">
      <w:pPr>
        <w:pStyle w:val="Textbody"/>
        <w:numPr>
          <w:ilvl w:val="0"/>
          <w:numId w:val="32"/>
        </w:numPr>
        <w:rPr>
          <w:rFonts w:hint="eastAsia"/>
        </w:rPr>
      </w:pPr>
      <w:r>
        <w:rPr>
          <w:rStyle w:val="StrongEmphasis"/>
        </w:rPr>
        <w:t>Risk Mitigation:</w:t>
      </w:r>
      <w:r>
        <w:t xml:space="preserve"> The phased approach was selected to manage political, operational, and technical risks inherent in large-scale government technology projects.</w:t>
      </w:r>
    </w:p>
    <w:p w14:paraId="7D729407" w14:textId="77777777" w:rsidR="002A7E6C" w:rsidRDefault="00000000">
      <w:pPr>
        <w:pStyle w:val="Heading3"/>
        <w:rPr>
          <w:rFonts w:hint="eastAsia"/>
        </w:rPr>
      </w:pPr>
      <w:bookmarkStart w:id="38" w:name="92-interoperability-and-integration"/>
      <w:bookmarkEnd w:id="38"/>
      <w:r>
        <w:rPr>
          <w:rStyle w:val="StrongEmphasis"/>
        </w:rPr>
        <w:t>9.2 Interoperability and Integration</w:t>
      </w:r>
    </w:p>
    <w:p w14:paraId="2FA5BDB7" w14:textId="77777777" w:rsidR="002A7E6C" w:rsidRDefault="00000000">
      <w:pPr>
        <w:pStyle w:val="Textbody"/>
        <w:rPr>
          <w:rFonts w:hint="eastAsia"/>
        </w:rPr>
      </w:pPr>
      <w:r>
        <w:rPr>
          <w:rStyle w:val="StrongEmphasis"/>
        </w:rPr>
        <w:t>Description and Functionality</w:t>
      </w:r>
      <w:r>
        <w:t xml:space="preserve"> The hybrid architecture includes comprehensive integration capabilities for existing government systems, with particular attention to legacy mainframes, departmental databases, and external service providers.</w:t>
      </w:r>
    </w:p>
    <w:p w14:paraId="046BE1FC" w14:textId="77777777" w:rsidR="002A7E6C" w:rsidRDefault="00000000">
      <w:pPr>
        <w:pStyle w:val="Textbody"/>
        <w:rPr>
          <w:rFonts w:hint="eastAsia"/>
        </w:rPr>
      </w:pPr>
      <w:r>
        <w:rPr>
          <w:rStyle w:val="StrongEmphasis"/>
        </w:rPr>
        <w:t>Technical Merits and Selection Rationale</w:t>
      </w:r>
      <w:r>
        <w:t xml:space="preserve"> The integration framework is built on API-first principles with multiple integration patterns:</w:t>
      </w:r>
    </w:p>
    <w:p w14:paraId="39C9457B" w14:textId="77777777" w:rsidR="002A7E6C" w:rsidRDefault="00000000">
      <w:pPr>
        <w:pStyle w:val="Textbody"/>
        <w:numPr>
          <w:ilvl w:val="0"/>
          <w:numId w:val="33"/>
        </w:numPr>
        <w:spacing w:after="0"/>
        <w:rPr>
          <w:rFonts w:hint="eastAsia"/>
        </w:rPr>
      </w:pPr>
      <w:r>
        <w:rPr>
          <w:rStyle w:val="StrongEmphasis"/>
        </w:rPr>
        <w:t>API Gateway:</w:t>
      </w:r>
      <w:r>
        <w:t xml:space="preserve"> Kong API gateway for managing external integrations</w:t>
      </w:r>
    </w:p>
    <w:p w14:paraId="797B5DB7" w14:textId="77777777" w:rsidR="002A7E6C" w:rsidRDefault="00000000">
      <w:pPr>
        <w:pStyle w:val="Textbody"/>
        <w:numPr>
          <w:ilvl w:val="0"/>
          <w:numId w:val="33"/>
        </w:numPr>
        <w:spacing w:after="0"/>
        <w:rPr>
          <w:rFonts w:hint="eastAsia"/>
        </w:rPr>
      </w:pPr>
      <w:r>
        <w:rPr>
          <w:rStyle w:val="StrongEmphasis"/>
        </w:rPr>
        <w:t>Data Virtualization:</w:t>
      </w:r>
      <w:r>
        <w:t xml:space="preserve"> </w:t>
      </w:r>
      <w:proofErr w:type="spellStart"/>
      <w:r>
        <w:t>PrestoDB</w:t>
      </w:r>
      <w:proofErr w:type="spellEnd"/>
      <w:r>
        <w:t xml:space="preserve"> for querying distributed data without migration</w:t>
      </w:r>
    </w:p>
    <w:p w14:paraId="0CC7341D" w14:textId="77777777" w:rsidR="002A7E6C" w:rsidRDefault="00000000">
      <w:pPr>
        <w:pStyle w:val="Textbody"/>
        <w:numPr>
          <w:ilvl w:val="0"/>
          <w:numId w:val="33"/>
        </w:numPr>
        <w:spacing w:after="0"/>
        <w:rPr>
          <w:rFonts w:hint="eastAsia"/>
        </w:rPr>
      </w:pPr>
      <w:r>
        <w:rPr>
          <w:rStyle w:val="StrongEmphasis"/>
        </w:rPr>
        <w:t>Event Streaming:</w:t>
      </w:r>
      <w:r>
        <w:t xml:space="preserve"> Apache Kafka for real-time data synchronization</w:t>
      </w:r>
    </w:p>
    <w:p w14:paraId="5126EF1C" w14:textId="77777777" w:rsidR="002A7E6C" w:rsidRDefault="00000000">
      <w:pPr>
        <w:pStyle w:val="Textbody"/>
        <w:numPr>
          <w:ilvl w:val="0"/>
          <w:numId w:val="33"/>
        </w:numPr>
        <w:rPr>
          <w:rFonts w:hint="eastAsia"/>
        </w:rPr>
      </w:pPr>
      <w:r>
        <w:rPr>
          <w:rStyle w:val="StrongEmphasis"/>
        </w:rPr>
        <w:t>B2B Gateway:</w:t>
      </w:r>
      <w:r>
        <w:t xml:space="preserve"> MuleSoft Community Edition for external partner integration</w:t>
      </w:r>
    </w:p>
    <w:p w14:paraId="5DAFF650" w14:textId="77777777" w:rsidR="002A7E6C" w:rsidRDefault="00000000">
      <w:pPr>
        <w:pStyle w:val="Textbody"/>
        <w:rPr>
          <w:rFonts w:hint="eastAsia"/>
        </w:rPr>
      </w:pPr>
      <w:r>
        <w:t>The architecture supports gradual migration from legacy systems, with the ability to run hybrid operations during transition periods. All integrations include data transformation, validation, and security controls.</w:t>
      </w:r>
    </w:p>
    <w:p w14:paraId="42893F8B" w14:textId="77777777" w:rsidR="002A7E6C" w:rsidRDefault="00000000">
      <w:pPr>
        <w:pStyle w:val="Textbody"/>
        <w:rPr>
          <w:rFonts w:hint="eastAsia"/>
        </w:rPr>
      </w:pPr>
      <w:r>
        <w:rPr>
          <w:rStyle w:val="StrongEmphasis"/>
        </w:rPr>
        <w:t>Market Position and Alternatives</w:t>
      </w:r>
    </w:p>
    <w:p w14:paraId="2657813A" w14:textId="77777777" w:rsidR="002A7E6C" w:rsidRDefault="00000000">
      <w:pPr>
        <w:pStyle w:val="Textbody"/>
        <w:numPr>
          <w:ilvl w:val="0"/>
          <w:numId w:val="34"/>
        </w:numPr>
        <w:spacing w:after="0"/>
        <w:rPr>
          <w:rFonts w:hint="eastAsia"/>
        </w:rPr>
      </w:pPr>
      <w:r>
        <w:rPr>
          <w:rStyle w:val="StrongEmphasis"/>
        </w:rPr>
        <w:t>Market Share:</w:t>
      </w:r>
      <w:r>
        <w:t xml:space="preserve"> API-led integration is the dominant approach for modern government architectures.</w:t>
      </w:r>
    </w:p>
    <w:p w14:paraId="06055DB9" w14:textId="77777777" w:rsidR="002A7E6C" w:rsidRDefault="00000000">
      <w:pPr>
        <w:pStyle w:val="Textbody"/>
        <w:numPr>
          <w:ilvl w:val="0"/>
          <w:numId w:val="34"/>
        </w:numPr>
        <w:spacing w:after="0"/>
        <w:rPr>
          <w:rFonts w:hint="eastAsia"/>
        </w:rPr>
      </w:pPr>
      <w:r>
        <w:rPr>
          <w:rStyle w:val="StrongEmphasis"/>
        </w:rPr>
        <w:t>Proprietary Alternatives:</w:t>
      </w:r>
      <w:r>
        <w:t xml:space="preserve"> IBM API Connect, Azure API Management.</w:t>
      </w:r>
    </w:p>
    <w:p w14:paraId="16E938E8" w14:textId="77777777" w:rsidR="002A7E6C" w:rsidRDefault="00000000">
      <w:pPr>
        <w:pStyle w:val="Textbody"/>
        <w:numPr>
          <w:ilvl w:val="0"/>
          <w:numId w:val="34"/>
        </w:numPr>
        <w:rPr>
          <w:rFonts w:hint="eastAsia"/>
        </w:rPr>
      </w:pPr>
      <w:r>
        <w:rPr>
          <w:rStyle w:val="StrongEmphasis"/>
        </w:rPr>
        <w:t>Open-Source Alternatives:</w:t>
      </w:r>
      <w:r>
        <w:t xml:space="preserve"> Kong, </w:t>
      </w:r>
      <w:proofErr w:type="spellStart"/>
      <w:r>
        <w:t>Tyk</w:t>
      </w:r>
      <w:proofErr w:type="spellEnd"/>
      <w:r>
        <w:t xml:space="preserve"> API Gateway.</w:t>
      </w:r>
    </w:p>
    <w:p w14:paraId="0C38E6B0" w14:textId="77777777" w:rsidR="002A7E6C" w:rsidRDefault="00000000">
      <w:pPr>
        <w:pStyle w:val="Textbody"/>
        <w:rPr>
          <w:rFonts w:hint="eastAsia"/>
        </w:rPr>
      </w:pPr>
      <w:r>
        <w:t>Kong was selected for its enterprise features, open-source foundation, and government deployment experience.</w:t>
      </w:r>
    </w:p>
    <w:p w14:paraId="7DF6AF92" w14:textId="77777777" w:rsidR="002A7E6C" w:rsidRDefault="00000000">
      <w:pPr>
        <w:pStyle w:val="Heading2"/>
        <w:rPr>
          <w:rFonts w:hint="eastAsia"/>
        </w:rPr>
      </w:pPr>
      <w:bookmarkStart w:id="39" w:name="chapter-10-conclusion"/>
      <w:bookmarkEnd w:id="39"/>
      <w:r>
        <w:rPr>
          <w:rStyle w:val="StrongEmphasis"/>
        </w:rPr>
        <w:t>Chapter 10: Conclusion</w:t>
      </w:r>
    </w:p>
    <w:p w14:paraId="7BBA78BC" w14:textId="77777777" w:rsidR="002A7E6C" w:rsidRDefault="00000000">
      <w:pPr>
        <w:pStyle w:val="Heading3"/>
        <w:rPr>
          <w:rFonts w:hint="eastAsia"/>
        </w:rPr>
      </w:pPr>
      <w:bookmarkStart w:id="40" w:name="101-strategic-advantages-of-hybrid-sover"/>
      <w:bookmarkEnd w:id="40"/>
      <w:r>
        <w:rPr>
          <w:rStyle w:val="StrongEmphasis"/>
        </w:rPr>
        <w:t>10.1 Strategic Advantages of Hybrid Sovereign Cloud</w:t>
      </w:r>
    </w:p>
    <w:p w14:paraId="3BB6B883" w14:textId="77777777" w:rsidR="002A7E6C" w:rsidRDefault="00000000">
      <w:pPr>
        <w:pStyle w:val="Textbody"/>
        <w:rPr>
          <w:rFonts w:hint="eastAsia"/>
        </w:rPr>
      </w:pPr>
      <w:r>
        <w:t>The hybrid cloud/</w:t>
      </w:r>
      <w:proofErr w:type="gramStart"/>
      <w:r>
        <w:t>on-premise</w:t>
      </w:r>
      <w:proofErr w:type="gramEnd"/>
      <w:r>
        <w:t xml:space="preserve"> architecture delivers compelling advantages for MPAAI's CSMP initiative:</w:t>
      </w:r>
    </w:p>
    <w:p w14:paraId="6BD148F0" w14:textId="77777777" w:rsidR="002A7E6C" w:rsidRDefault="00000000">
      <w:pPr>
        <w:pStyle w:val="Textbody"/>
        <w:rPr>
          <w:rFonts w:hint="eastAsia"/>
        </w:rPr>
      </w:pPr>
      <w:r>
        <w:rPr>
          <w:rStyle w:val="StrongEmphasis"/>
        </w:rPr>
        <w:t>Absolute Data Sovereignty:</w:t>
      </w:r>
      <w:r>
        <w:t xml:space="preserve"> MPAAI maintains complete control over citizen data with enforceable geographic and jurisdictional boundaries.</w:t>
      </w:r>
    </w:p>
    <w:p w14:paraId="56E806BD" w14:textId="77777777" w:rsidR="002A7E6C" w:rsidRDefault="00000000">
      <w:pPr>
        <w:pStyle w:val="Textbody"/>
        <w:rPr>
          <w:rFonts w:hint="eastAsia"/>
        </w:rPr>
      </w:pPr>
      <w:r>
        <w:rPr>
          <w:rStyle w:val="StrongEmphasis"/>
        </w:rPr>
        <w:t>Operational Flexibility:</w:t>
      </w:r>
      <w:r>
        <w:t xml:space="preserve"> The ability to leverage cloud economics for appropriate workloads while maintaining sensitive operations </w:t>
      </w:r>
      <w:proofErr w:type="gramStart"/>
      <w:r>
        <w:t>on-premise</w:t>
      </w:r>
      <w:proofErr w:type="gramEnd"/>
      <w:r>
        <w:t>.</w:t>
      </w:r>
    </w:p>
    <w:p w14:paraId="1E575BB3" w14:textId="77777777" w:rsidR="002A7E6C" w:rsidRDefault="00000000">
      <w:pPr>
        <w:pStyle w:val="Textbody"/>
        <w:rPr>
          <w:rFonts w:hint="eastAsia"/>
        </w:rPr>
      </w:pPr>
      <w:r>
        <w:rPr>
          <w:rStyle w:val="StrongEmphasis"/>
        </w:rPr>
        <w:t>Security Assurance:</w:t>
      </w:r>
      <w:r>
        <w:t xml:space="preserve"> Military-grade encryption and Zero Trust architecture provide security commensurate with the sensitivity of government citizen data.</w:t>
      </w:r>
    </w:p>
    <w:p w14:paraId="1865B01B" w14:textId="77777777" w:rsidR="002A7E6C" w:rsidRDefault="00000000">
      <w:pPr>
        <w:pStyle w:val="Textbody"/>
        <w:rPr>
          <w:rFonts w:hint="eastAsia"/>
        </w:rPr>
      </w:pPr>
      <w:r>
        <w:rPr>
          <w:rStyle w:val="StrongEmphasis"/>
        </w:rPr>
        <w:t>Economic Efficiency:</w:t>
      </w:r>
      <w:r>
        <w:t xml:space="preserve"> The managed service model converts capital expenditure to operational expenditure while maintaining long-term cost control.</w:t>
      </w:r>
    </w:p>
    <w:p w14:paraId="1021B9A1" w14:textId="77777777" w:rsidR="002A7E6C" w:rsidRDefault="00000000">
      <w:pPr>
        <w:pStyle w:val="Heading3"/>
        <w:rPr>
          <w:rFonts w:hint="eastAsia"/>
        </w:rPr>
      </w:pPr>
      <w:bookmarkStart w:id="41" w:name="102-implementation-confidence-and-risk-m"/>
      <w:bookmarkEnd w:id="41"/>
      <w:r>
        <w:rPr>
          <w:rStyle w:val="StrongEmphasis"/>
        </w:rPr>
        <w:lastRenderedPageBreak/>
        <w:t>10.2 Implementation Confidence and Risk Mitigation</w:t>
      </w:r>
    </w:p>
    <w:p w14:paraId="78DB0357" w14:textId="77777777" w:rsidR="002A7E6C" w:rsidRDefault="00000000">
      <w:pPr>
        <w:pStyle w:val="Textbody"/>
        <w:rPr>
          <w:rFonts w:hint="eastAsia"/>
        </w:rPr>
      </w:pPr>
      <w:r>
        <w:t>This architecture has been proven in similar government digital transformation initiatives globally. The phased deployment approach, comprehensive interoperability framework, and robust security controls systematically address the key risks of government technology modernization.</w:t>
      </w:r>
    </w:p>
    <w:p w14:paraId="051C271B" w14:textId="77777777" w:rsidR="002A7E6C" w:rsidRDefault="00000000">
      <w:pPr>
        <w:pStyle w:val="Textbody"/>
        <w:rPr>
          <w:rFonts w:hint="eastAsia"/>
        </w:rPr>
      </w:pPr>
      <w:r>
        <w:t>The solution positions Trinidad and Tobago at the forefront of digital government service delivery while maintaining the sovereignty, security, and control essential for public trust and regulatory compliance.</w:t>
      </w:r>
    </w:p>
    <w:sectPr w:rsidR="002A7E6C">
      <w:pgSz w:w="12240" w:h="15840"/>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590FA" w14:textId="77777777" w:rsidR="00006A25" w:rsidRDefault="00006A25">
      <w:pPr>
        <w:rPr>
          <w:rFonts w:hint="eastAsia"/>
        </w:rPr>
      </w:pPr>
      <w:r>
        <w:separator/>
      </w:r>
    </w:p>
  </w:endnote>
  <w:endnote w:type="continuationSeparator" w:id="0">
    <w:p w14:paraId="7DCBF31A" w14:textId="77777777" w:rsidR="00006A25" w:rsidRDefault="00006A2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C6CBB" w14:textId="77777777" w:rsidR="00006A25" w:rsidRDefault="00006A25">
      <w:pPr>
        <w:rPr>
          <w:rFonts w:hint="eastAsia"/>
        </w:rPr>
      </w:pPr>
      <w:r>
        <w:rPr>
          <w:color w:val="000000"/>
        </w:rPr>
        <w:separator/>
      </w:r>
    </w:p>
  </w:footnote>
  <w:footnote w:type="continuationSeparator" w:id="0">
    <w:p w14:paraId="4F75BB88" w14:textId="77777777" w:rsidR="00006A25" w:rsidRDefault="00006A2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0AB0"/>
    <w:multiLevelType w:val="multilevel"/>
    <w:tmpl w:val="8A962F9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05400788"/>
    <w:multiLevelType w:val="multilevel"/>
    <w:tmpl w:val="45B6E3B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069B1933"/>
    <w:multiLevelType w:val="multilevel"/>
    <w:tmpl w:val="DA2C674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0AE7722E"/>
    <w:multiLevelType w:val="multilevel"/>
    <w:tmpl w:val="2C46060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0B44647A"/>
    <w:multiLevelType w:val="multilevel"/>
    <w:tmpl w:val="D7D0084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0E784734"/>
    <w:multiLevelType w:val="multilevel"/>
    <w:tmpl w:val="B804081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15:restartNumberingAfterBreak="0">
    <w:nsid w:val="10DB5CCD"/>
    <w:multiLevelType w:val="multilevel"/>
    <w:tmpl w:val="CCD0C57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 w15:restartNumberingAfterBreak="0">
    <w:nsid w:val="145E7C9C"/>
    <w:multiLevelType w:val="multilevel"/>
    <w:tmpl w:val="9AFA12D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17EB4175"/>
    <w:multiLevelType w:val="multilevel"/>
    <w:tmpl w:val="C966EC3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9" w15:restartNumberingAfterBreak="0">
    <w:nsid w:val="18EF4C47"/>
    <w:multiLevelType w:val="multilevel"/>
    <w:tmpl w:val="FDE2657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1E2A761C"/>
    <w:multiLevelType w:val="multilevel"/>
    <w:tmpl w:val="AA24BB7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1" w15:restartNumberingAfterBreak="0">
    <w:nsid w:val="30027632"/>
    <w:multiLevelType w:val="multilevel"/>
    <w:tmpl w:val="4DAE86F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33B15793"/>
    <w:multiLevelType w:val="multilevel"/>
    <w:tmpl w:val="D63A2B8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3" w15:restartNumberingAfterBreak="0">
    <w:nsid w:val="3816548F"/>
    <w:multiLevelType w:val="multilevel"/>
    <w:tmpl w:val="8FB6B6C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381719E4"/>
    <w:multiLevelType w:val="multilevel"/>
    <w:tmpl w:val="0A06D10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5" w15:restartNumberingAfterBreak="0">
    <w:nsid w:val="3EE64494"/>
    <w:multiLevelType w:val="multilevel"/>
    <w:tmpl w:val="41E8CDA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6" w15:restartNumberingAfterBreak="0">
    <w:nsid w:val="47E97F80"/>
    <w:multiLevelType w:val="multilevel"/>
    <w:tmpl w:val="7202505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4C024080"/>
    <w:multiLevelType w:val="multilevel"/>
    <w:tmpl w:val="7A347ED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8" w15:restartNumberingAfterBreak="0">
    <w:nsid w:val="521F3A92"/>
    <w:multiLevelType w:val="multilevel"/>
    <w:tmpl w:val="43E6499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9" w15:restartNumberingAfterBreak="0">
    <w:nsid w:val="5E302891"/>
    <w:multiLevelType w:val="multilevel"/>
    <w:tmpl w:val="0CBCC67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5E9E1D92"/>
    <w:multiLevelType w:val="multilevel"/>
    <w:tmpl w:val="40B23C1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605432F0"/>
    <w:multiLevelType w:val="multilevel"/>
    <w:tmpl w:val="B9A222A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2" w15:restartNumberingAfterBreak="0">
    <w:nsid w:val="62FC27FC"/>
    <w:multiLevelType w:val="multilevel"/>
    <w:tmpl w:val="33BAD2E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3" w15:restartNumberingAfterBreak="0">
    <w:nsid w:val="650832E9"/>
    <w:multiLevelType w:val="multilevel"/>
    <w:tmpl w:val="BC60510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4" w15:restartNumberingAfterBreak="0">
    <w:nsid w:val="6513661E"/>
    <w:multiLevelType w:val="multilevel"/>
    <w:tmpl w:val="BFCEEE3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5" w15:restartNumberingAfterBreak="0">
    <w:nsid w:val="656F2E3B"/>
    <w:multiLevelType w:val="multilevel"/>
    <w:tmpl w:val="9E1E73C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6" w15:restartNumberingAfterBreak="0">
    <w:nsid w:val="6B766273"/>
    <w:multiLevelType w:val="multilevel"/>
    <w:tmpl w:val="3BA8E5A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7" w15:restartNumberingAfterBreak="0">
    <w:nsid w:val="6B98620B"/>
    <w:multiLevelType w:val="multilevel"/>
    <w:tmpl w:val="073E405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8" w15:restartNumberingAfterBreak="0">
    <w:nsid w:val="6BEE47B8"/>
    <w:multiLevelType w:val="multilevel"/>
    <w:tmpl w:val="218665F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9" w15:restartNumberingAfterBreak="0">
    <w:nsid w:val="6E8B2650"/>
    <w:multiLevelType w:val="multilevel"/>
    <w:tmpl w:val="F0C67E7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0" w15:restartNumberingAfterBreak="0">
    <w:nsid w:val="779850DB"/>
    <w:multiLevelType w:val="multilevel"/>
    <w:tmpl w:val="5F34A68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1" w15:restartNumberingAfterBreak="0">
    <w:nsid w:val="77A25DEF"/>
    <w:multiLevelType w:val="multilevel"/>
    <w:tmpl w:val="E61098E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2" w15:restartNumberingAfterBreak="0">
    <w:nsid w:val="79266D3B"/>
    <w:multiLevelType w:val="multilevel"/>
    <w:tmpl w:val="6F6E422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3" w15:restartNumberingAfterBreak="0">
    <w:nsid w:val="7D644927"/>
    <w:multiLevelType w:val="multilevel"/>
    <w:tmpl w:val="4964DCF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405810429">
    <w:abstractNumId w:val="11"/>
  </w:num>
  <w:num w:numId="2" w16cid:durableId="2102027528">
    <w:abstractNumId w:val="0"/>
  </w:num>
  <w:num w:numId="3" w16cid:durableId="2023387000">
    <w:abstractNumId w:val="13"/>
  </w:num>
  <w:num w:numId="4" w16cid:durableId="1844970246">
    <w:abstractNumId w:val="21"/>
  </w:num>
  <w:num w:numId="5" w16cid:durableId="781343103">
    <w:abstractNumId w:val="19"/>
  </w:num>
  <w:num w:numId="6" w16cid:durableId="1405374807">
    <w:abstractNumId w:val="17"/>
  </w:num>
  <w:num w:numId="7" w16cid:durableId="171190919">
    <w:abstractNumId w:val="6"/>
  </w:num>
  <w:num w:numId="8" w16cid:durableId="2060930292">
    <w:abstractNumId w:val="25"/>
  </w:num>
  <w:num w:numId="9" w16cid:durableId="1481002237">
    <w:abstractNumId w:val="26"/>
  </w:num>
  <w:num w:numId="10" w16cid:durableId="1876501411">
    <w:abstractNumId w:val="33"/>
  </w:num>
  <w:num w:numId="11" w16cid:durableId="1683891179">
    <w:abstractNumId w:val="15"/>
  </w:num>
  <w:num w:numId="12" w16cid:durableId="856849553">
    <w:abstractNumId w:val="1"/>
  </w:num>
  <w:num w:numId="13" w16cid:durableId="1177888383">
    <w:abstractNumId w:val="10"/>
  </w:num>
  <w:num w:numId="14" w16cid:durableId="1730299345">
    <w:abstractNumId w:val="14"/>
  </w:num>
  <w:num w:numId="15" w16cid:durableId="294677724">
    <w:abstractNumId w:val="2"/>
  </w:num>
  <w:num w:numId="16" w16cid:durableId="1223756460">
    <w:abstractNumId w:val="32"/>
  </w:num>
  <w:num w:numId="17" w16cid:durableId="947006037">
    <w:abstractNumId w:val="24"/>
  </w:num>
  <w:num w:numId="18" w16cid:durableId="692733872">
    <w:abstractNumId w:val="28"/>
  </w:num>
  <w:num w:numId="19" w16cid:durableId="724988707">
    <w:abstractNumId w:val="4"/>
  </w:num>
  <w:num w:numId="20" w16cid:durableId="154300801">
    <w:abstractNumId w:val="22"/>
  </w:num>
  <w:num w:numId="21" w16cid:durableId="893078150">
    <w:abstractNumId w:val="18"/>
  </w:num>
  <w:num w:numId="22" w16cid:durableId="1405881830">
    <w:abstractNumId w:val="30"/>
  </w:num>
  <w:num w:numId="23" w16cid:durableId="1505431803">
    <w:abstractNumId w:val="7"/>
  </w:num>
  <w:num w:numId="24" w16cid:durableId="1517766529">
    <w:abstractNumId w:val="16"/>
  </w:num>
  <w:num w:numId="25" w16cid:durableId="1810240355">
    <w:abstractNumId w:val="5"/>
  </w:num>
  <w:num w:numId="26" w16cid:durableId="525095028">
    <w:abstractNumId w:val="20"/>
  </w:num>
  <w:num w:numId="27" w16cid:durableId="114830655">
    <w:abstractNumId w:val="27"/>
  </w:num>
  <w:num w:numId="28" w16cid:durableId="1192917693">
    <w:abstractNumId w:val="12"/>
  </w:num>
  <w:num w:numId="29" w16cid:durableId="33502823">
    <w:abstractNumId w:val="8"/>
  </w:num>
  <w:num w:numId="30" w16cid:durableId="1801679233">
    <w:abstractNumId w:val="9"/>
  </w:num>
  <w:num w:numId="31" w16cid:durableId="1655405211">
    <w:abstractNumId w:val="31"/>
  </w:num>
  <w:num w:numId="32" w16cid:durableId="1393886917">
    <w:abstractNumId w:val="3"/>
  </w:num>
  <w:num w:numId="33" w16cid:durableId="657660198">
    <w:abstractNumId w:val="29"/>
  </w:num>
  <w:num w:numId="34" w16cid:durableId="12390976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A7E6C"/>
    <w:rsid w:val="00006A25"/>
    <w:rsid w:val="002A7E6C"/>
    <w:rsid w:val="007A5758"/>
    <w:rsid w:val="0081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2A85"/>
  <w15:docId w15:val="{BCD76961-ECD5-4B6B-B6A9-BE36D7A4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SimSun"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6160</Words>
  <Characters>35115</Characters>
  <Application>Microsoft Office Word</Application>
  <DocSecurity>0</DocSecurity>
  <Lines>292</Lines>
  <Paragraphs>82</Paragraphs>
  <ScaleCrop>false</ScaleCrop>
  <Company/>
  <LinksUpToDate>false</LinksUpToDate>
  <CharactersWithSpaces>41193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Deep Dive</dc:title>
  <cp:lastModifiedBy>Brian Emory Stitt</cp:lastModifiedBy>
  <cp:revision>2</cp:revision>
  <dcterms:created xsi:type="dcterms:W3CDTF">2025-10-14T10:40:00Z</dcterms:created>
  <dcterms:modified xsi:type="dcterms:W3CDTF">2025-10-14T10:40:00Z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