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9420"/>
        <w:tblGridChange w:id="0">
          <w:tblGrid>
            <w:gridCol w:w="4935"/>
            <w:gridCol w:w="94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2349" cy="5829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349" cy="582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9" w:lineRule="auto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Overview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05">
                <w:pPr>
                  <w:spacing w:before="8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0"/>
                    <w:szCs w:val="20"/>
                    <w:u w:val="single"/>
                    <w:shd w:fill="auto" w:val="clear"/>
                    <w:vertAlign w:val="baseline"/>
                  </w:rPr>
                </w:pPr>
                <w:r w:rsidDel="00000000" w:rsidR="00000000" w:rsidRPr="00000000">
                  <w:fldChar w:fldCharType="begin"/>
                  <w:instrText xml:space="preserve"> TOC \h \u \z \n </w:instrText>
                  <w:fldChar w:fldCharType="separate"/>
                </w:r>
                <w:hyperlink w:anchor="_nmvbjn85po5g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0"/>
                      <w:szCs w:val="20"/>
                      <w:u w:val="single"/>
                      <w:shd w:fill="auto" w:val="clear"/>
                      <w:vertAlign w:val="baseline"/>
                      <w:rtl w:val="0"/>
                    </w:rPr>
                    <w:t xml:space="preserve">Why Cloud Native?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6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0"/>
                    <w:szCs w:val="20"/>
                    <w:u w:val="single"/>
                    <w:shd w:fill="auto" w:val="clear"/>
                    <w:vertAlign w:val="baseline"/>
                  </w:rPr>
                </w:pPr>
                <w:hyperlink w:anchor="_ufoy7clbetek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0"/>
                      <w:szCs w:val="20"/>
                      <w:u w:val="single"/>
                      <w:shd w:fill="auto" w:val="clear"/>
                      <w:vertAlign w:val="baseline"/>
                      <w:rtl w:val="0"/>
                    </w:rPr>
                    <w:t xml:space="preserve">Cloud Native Key Characteristics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7">
                <w:pPr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5tutvfmepjjz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DevOps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8">
                <w:pPr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34xcgreb0rf4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Continuous Delivery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9">
                <w:pPr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9lon1zx7wny5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Microservices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A">
                <w:pPr>
                  <w:spacing w:after="80"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7djrevllriep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Containers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0B">
            <w:pPr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Helvetica Neue Light" w:cs="Helvetica Neue Light" w:eastAsia="Helvetica Neue Light" w:hAnsi="Helvetica Neue Light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3"/>
        <w:spacing w:after="0" w:before="40" w:line="259" w:lineRule="auto"/>
        <w:rPr/>
      </w:pPr>
      <w:bookmarkStart w:colFirst="0" w:colLast="0" w:name="_nmf14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160" w:line="259" w:lineRule="auto"/>
        <w:rPr/>
      </w:pPr>
      <w:bookmarkStart w:colFirst="0" w:colLast="0" w:name="_nmvbjn85po5g" w:id="1"/>
      <w:bookmarkEnd w:id="1"/>
      <w:r w:rsidDel="00000000" w:rsidR="00000000" w:rsidRPr="00000000">
        <w:rPr>
          <w:rtl w:val="0"/>
        </w:rPr>
        <w:t xml:space="preserve">Why Cloud Native?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highlight w:val="white"/>
          <w:rtl w:val="0"/>
        </w:rPr>
        <w:t xml:space="preserve">Speed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 – the ability to innovate, experiment and deliver value more quickly than our competitors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highlight w:val="white"/>
          <w:rtl w:val="0"/>
        </w:rPr>
        <w:t xml:space="preserve">Safety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 – the ability to move rapidly but also maintain stability, availability and durability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highlight w:val="white"/>
          <w:rtl w:val="0"/>
        </w:rPr>
        <w:t xml:space="preserve">Scale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 – the ability to elastically respond to changes in demand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highlight w:val="white"/>
          <w:rtl w:val="0"/>
        </w:rPr>
        <w:t xml:space="preserve">Mobility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 – the ability for our customers to interact with us seamlessly from any location, on any device and at any time.</w:t>
      </w:r>
    </w:p>
    <w:p w:rsidR="00000000" w:rsidDel="00000000" w:rsidP="00000000" w:rsidRDefault="00000000" w:rsidRPr="00000000" w14:paraId="00000013">
      <w:pPr>
        <w:pStyle w:val="Heading1"/>
        <w:spacing w:after="160" w:line="259" w:lineRule="auto"/>
        <w:rPr/>
      </w:pPr>
      <w:bookmarkStart w:colFirst="0" w:colLast="0" w:name="_ufoy7clbetek" w:id="2"/>
      <w:bookmarkEnd w:id="2"/>
      <w:r w:rsidDel="00000000" w:rsidR="00000000" w:rsidRPr="00000000">
        <w:rPr>
          <w:rtl w:val="0"/>
        </w:rPr>
        <w:t xml:space="preserve">Cloud Native Key Characteristics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59" w:lineRule="auto"/>
        <w:ind w:left="72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highlight w:val="white"/>
          <w:rtl w:val="0"/>
        </w:rPr>
        <w:t xml:space="preserve">Self-Service Agile Infrastructure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Enable development teams to operate at an application and service abstraction level, providing infrastructure-level speed, safety and scale.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59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highlight w:val="white"/>
          <w:rtl w:val="0"/>
        </w:rPr>
        <w:t xml:space="preserve">Microservices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59" w:lineRule="auto"/>
        <w:ind w:left="144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An architecture pattern that helps us align our units of deployment with business capabilities allowing each capability to move independently and autonomously and in turn faster and safer.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59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highlight w:val="white"/>
          <w:rtl w:val="0"/>
        </w:rPr>
        <w:t xml:space="preserve">API-Base Collaboration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59" w:lineRule="auto"/>
        <w:ind w:left="144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An architecture pattern that defines service-to-service interaction as automatically verifiable contracts, enabling speed and safety through simplified integration work.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9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highlight w:val="white"/>
          <w:rtl w:val="0"/>
        </w:rPr>
        <w:t xml:space="preserve">Twelve-factor applications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59" w:lineRule="auto"/>
        <w:ind w:left="144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A collection of patterns for cloud-native application architectures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59" w:lineRule="auto"/>
        <w:ind w:left="144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Focused on speed, safety and scale by emphasizing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line="259" w:lineRule="auto"/>
        <w:ind w:left="216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Declarative configuration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259" w:lineRule="auto"/>
        <w:ind w:left="216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Stateless/shared nothing processes that horizontally scale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160" w:line="259" w:lineRule="auto"/>
        <w:ind w:left="2160" w:hanging="36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Loose coupling to the deployment environment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The components of Cloud Native include Dev Ops, Continuous Delivery, Microservice and Containers.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  <w:drawing>
          <wp:inline distB="0" distT="0" distL="0" distR="0">
            <wp:extent cx="5943600" cy="300037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102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ind w:left="2160" w:hanging="72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Cloud Native allows for the full adoption of DevOps and realization of its value and still allows for best-of -breed languages and frameworks providing the developer many options, the ability to have highly automated processes, and to be policy driven.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160" w:line="259" w:lineRule="auto"/>
        <w:rPr/>
      </w:pPr>
      <w:bookmarkStart w:colFirst="0" w:colLast="0" w:name="_5tutvfmepjjz" w:id="3"/>
      <w:bookmarkEnd w:id="3"/>
      <w:commentRangeStart w:id="0"/>
      <w:r w:rsidDel="00000000" w:rsidR="00000000" w:rsidRPr="00000000">
        <w:rPr>
          <w:rtl w:val="0"/>
        </w:rPr>
        <w:t xml:space="preserve">DevOps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The DevOps processes, best practise and tool recommendations can be found in the </w:t>
      </w:r>
      <w:commentRangeStart w:id="1"/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API Development Best Practices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  <w:rtl w:val="0"/>
        </w:rPr>
        <w:t xml:space="preserve"> documents.</w:t>
      </w:r>
    </w:p>
    <w:p w:rsidR="00000000" w:rsidDel="00000000" w:rsidP="00000000" w:rsidRDefault="00000000" w:rsidRPr="00000000" w14:paraId="00000025">
      <w:pPr>
        <w:spacing w:line="259" w:lineRule="auto"/>
        <w:ind w:left="2160" w:hanging="72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hanging="720"/>
        <w:jc w:val="center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  <w:drawing>
          <wp:inline distB="0" distT="0" distL="0" distR="0">
            <wp:extent cx="7656928" cy="4310063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6928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line="259" w:lineRule="auto"/>
        <w:rPr/>
      </w:pPr>
      <w:bookmarkStart w:colFirst="0" w:colLast="0" w:name="_34xcgreb0rf4" w:id="4"/>
      <w:bookmarkEnd w:id="4"/>
      <w:r w:rsidDel="00000000" w:rsidR="00000000" w:rsidRPr="00000000">
        <w:rPr>
          <w:rtl w:val="0"/>
        </w:rPr>
        <w:t xml:space="preserve">Continuous Delivery</w:t>
      </w:r>
    </w:p>
    <w:p w:rsidR="00000000" w:rsidDel="00000000" w:rsidP="00000000" w:rsidRDefault="00000000" w:rsidRPr="00000000" w14:paraId="00000028">
      <w:pPr>
        <w:spacing w:line="259" w:lineRule="auto"/>
        <w:ind w:left="0" w:firstLine="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line="259" w:lineRule="auto"/>
        <w:rPr/>
      </w:pPr>
      <w:bookmarkStart w:colFirst="0" w:colLast="0" w:name="_9lon1zx7wny5" w:id="5"/>
      <w:bookmarkEnd w:id="5"/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2A">
      <w:pPr>
        <w:spacing w:line="259" w:lineRule="auto"/>
        <w:ind w:left="0" w:firstLine="0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259" w:lineRule="auto"/>
        <w:rPr/>
      </w:pPr>
      <w:bookmarkStart w:colFirst="0" w:colLast="0" w:name="_7djrevllriep" w:id="6"/>
      <w:bookmarkEnd w:id="6"/>
      <w:r w:rsidDel="00000000" w:rsidR="00000000" w:rsidRPr="00000000">
        <w:rPr>
          <w:rtl w:val="0"/>
        </w:rPr>
        <w:t xml:space="preserve">Containers</w:t>
      </w:r>
    </w:p>
    <w:p w:rsidR="00000000" w:rsidDel="00000000" w:rsidP="00000000" w:rsidRDefault="00000000" w:rsidRPr="00000000" w14:paraId="0000002C">
      <w:pPr>
        <w:spacing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160" w:line="259" w:lineRule="auto"/>
        <w:rPr/>
      </w:pPr>
      <w:bookmarkStart w:colFirst="0" w:colLast="0" w:name="_h0k61j6q2vpi" w:id="7"/>
      <w:bookmarkEnd w:id="7"/>
      <w:r w:rsidDel="00000000" w:rsidR="00000000" w:rsidRPr="00000000">
        <w:rPr>
          <w:rtl w:val="0"/>
        </w:rPr>
        <w:t xml:space="preserve">Portability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Helvetica Neue Light" w:cs="Helvetica Neue Light" w:eastAsia="Helvetica Neue Light" w:hAnsi="Helvetica Neue Ligh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footerReference r:id="rId14" w:type="even"/>
      <w:pgSz w:h="12240" w:w="15840" w:orient="landscape"/>
      <w:pgMar w:bottom="720" w:top="1080" w:left="720" w:right="720" w:header="360" w:footer="288"/>
      <w:pgNumType w:start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ie Peters" w:id="1" w:date="2021-04-23T20:30:16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would be helpful as a link.</w:t>
      </w:r>
    </w:p>
  </w:comment>
  <w:comment w:author="Karen Aiken" w:id="0" w:date="2020-11-23T17:49:4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should maybe move to foundational dev concepts?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right="5.669291338583093"/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ab/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7696200</wp:posOffset>
          </wp:positionH>
          <wp:positionV relativeFrom="paragraph">
            <wp:posOffset>114300</wp:posOffset>
          </wp:positionV>
          <wp:extent cx="1790700" cy="323850"/>
          <wp:effectExtent b="0" l="0" r="0" t="0"/>
          <wp:wrapSquare wrapText="bothSides" distB="114300" distT="114300" distL="114300" distR="114300"/>
          <wp:docPr id="3" name="image2.gif"/>
          <a:graphic>
            <a:graphicData uri="http://schemas.openxmlformats.org/drawingml/2006/picture">
              <pic:pic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0700" cy="323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ind w:right="5.669291338583093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465.0" w:type="dxa"/>
      <w:jc w:val="left"/>
      <w:tblInd w:w="0.0" w:type="pct"/>
      <w:tblLayout w:type="fixed"/>
      <w:tblLook w:val="0600"/>
    </w:tblPr>
    <w:tblGrid>
      <w:gridCol w:w="4470"/>
      <w:gridCol w:w="4995"/>
      <w:tblGridChange w:id="0">
        <w:tblGrid>
          <w:gridCol w:w="4470"/>
          <w:gridCol w:w="499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6">
          <w:pPr>
            <w:ind w:right="5.669291338583093"/>
            <w:rPr>
              <w:vertAlign w:val="baseline"/>
            </w:rPr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i w:val="1"/>
            </w:rPr>
          </w:pPr>
          <w:r w:rsidDel="00000000" w:rsidR="00000000" w:rsidRPr="00000000">
            <w:rPr>
              <w:b w:val="1"/>
              <w:i w:val="1"/>
              <w:rtl w:val="0"/>
            </w:rPr>
            <w:t xml:space="preserve">TELUS Confidential</w:t>
          </w:r>
        </w:p>
      </w:tc>
    </w:tr>
  </w:tbl>
  <w:p w:rsidR="00000000" w:rsidDel="00000000" w:rsidP="00000000" w:rsidRDefault="00000000" w:rsidRPr="00000000" w14:paraId="00000038">
    <w:pPr>
      <w:ind w:right="5.669291338583093"/>
      <w:rPr>
        <w:sz w:val="2"/>
        <w:szCs w:val="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ind w:right="360"/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after="160" w:line="259" w:lineRule="auto"/>
      <w:rPr/>
    </w:pPr>
    <w:bookmarkStart w:colFirst="0" w:colLast="0" w:name="_18uzsbl5m4x6" w:id="8"/>
    <w:bookmarkEnd w:id="8"/>
    <w:r w:rsidDel="00000000" w:rsidR="00000000" w:rsidRPr="00000000">
      <w:rPr>
        <w:rtl w:val="0"/>
      </w:rPr>
    </w:r>
  </w:p>
  <w:tbl>
    <w:tblPr>
      <w:tblStyle w:val="Table2"/>
      <w:tblW w:w="14790.0" w:type="dxa"/>
      <w:jc w:val="left"/>
      <w:tblInd w:w="-29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590"/>
      <w:gridCol w:w="7200"/>
      <w:tblGridChange w:id="0">
        <w:tblGrid>
          <w:gridCol w:w="7590"/>
          <w:gridCol w:w="7200"/>
        </w:tblGrid>
      </w:tblGridChange>
    </w:tblGrid>
    <w:tr>
      <w:trPr>
        <w:trHeight w:val="675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keepNext w:val="1"/>
            <w:ind w:left="0" w:firstLine="0"/>
            <w:rPr>
              <w:b w:val="1"/>
            </w:rPr>
          </w:pPr>
          <w:bookmarkStart w:colFirst="0" w:colLast="0" w:name="_gxhnwm8xxu7c" w:id="9"/>
          <w:bookmarkEnd w:id="9"/>
          <w:r w:rsidDel="00000000" w:rsidR="00000000" w:rsidRPr="00000000">
            <w:rPr>
              <w:b w:val="1"/>
              <w:rtl w:val="0"/>
            </w:rPr>
            <w:t xml:space="preserve">Architecture Patterns - Cloud-Native Design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color w:val="49166d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1"/>
      <w:ind w:hanging="180"/>
      <w:jc w:val="center"/>
      <w:rPr/>
    </w:pPr>
    <w:bookmarkStart w:colFirst="0" w:colLast="0" w:name="_5hxk44tjj0ey" w:id="10"/>
    <w:bookmarkEnd w:id="10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  <w:t xml:space="preserve">API Reference Architecture and Roadmap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ind w:hanging="180"/>
    </w:pPr>
    <w:rPr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ind w:hanging="180"/>
    </w:pPr>
    <w:rPr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jpg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