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9420"/>
        <w:tblGridChange w:id="0">
          <w:tblGrid>
            <w:gridCol w:w="4935"/>
            <w:gridCol w:w="94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57513" cy="5918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3" cy="591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spacing w:after="0" w:before="40" w:line="259" w:lineRule="auto"/>
              <w:rPr/>
            </w:pPr>
            <w:bookmarkStart w:colFirst="0" w:colLast="0" w:name="_4tglrwi3zwjg" w:id="0"/>
            <w:bookmarkEnd w:id="0"/>
            <w:commentRangeStart w:id="0"/>
            <w:r w:rsidDel="00000000" w:rsidR="00000000" w:rsidRPr="00000000">
              <w:rPr>
                <w:rtl w:val="0"/>
              </w:rPr>
              <w:t xml:space="preserve">Organization and Cultural Impacts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The organization of the enterprise must change in order to align better with the conceptual domains and organize into a platform-based architecture.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Teams must be organized to support a platform that serves the enterprise in contrast to the current structure, which has teams organized to support a specific business channel, for example wireless, wireline, or a specific organization.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The current structure has resulted in siloed development of services and APIs and poor reusability and return on investment.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2"/>
              <w:spacing w:after="0" w:before="40" w:line="259" w:lineRule="auto"/>
              <w:rPr/>
            </w:pPr>
            <w:bookmarkStart w:colFirst="0" w:colLast="0" w:name="_vbic1qffqv74" w:id="1"/>
            <w:bookmarkEnd w:id="1"/>
            <w:r w:rsidDel="00000000" w:rsidR="00000000" w:rsidRPr="00000000">
              <w:rPr>
                <w:rtl w:val="0"/>
              </w:rPr>
              <w:t xml:space="preserve">Organization of teams</w:t>
            </w:r>
          </w:p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Teams must be organized around platforms and the APIs the platforms required to expose their capabilities.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Refer to the Domain Owner Definition document for information on domain owners and their responsibilities.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commentRangeStart w:id="1"/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https://sites.google.com/a/telus.com/api-program/user-guide/enterprise-owners</w:t>
              </w:r>
            </w:hyperlink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spacing w:after="0" w:before="40" w:line="259" w:lineRule="auto"/>
              <w:rPr/>
            </w:pPr>
            <w:bookmarkStart w:colFirst="0" w:colLast="0" w:name="_yujvit1r1eb6" w:id="2"/>
            <w:bookmarkEnd w:id="2"/>
            <w:r w:rsidDel="00000000" w:rsidR="00000000" w:rsidRPr="00000000">
              <w:rPr>
                <w:rtl w:val="0"/>
              </w:rPr>
              <w:t xml:space="preserve">DevOps</w:t>
            </w:r>
          </w:p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DevOps is a must in order to enable agility and continuous delivery.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The autonomy of APIs within a microservice architecture requires the tooling and processes of DevOps.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Each API product team must have full control of their environment in order to support the API through its entire lifecycle.</w:t>
            </w:r>
          </w:p>
          <w:p w:rsidR="00000000" w:rsidDel="00000000" w:rsidP="00000000" w:rsidRDefault="00000000" w:rsidRPr="00000000" w14:paraId="00000009">
            <w:pPr>
              <w:pStyle w:val="Heading2"/>
              <w:spacing w:after="160" w:line="259" w:lineRule="auto"/>
              <w:rPr/>
            </w:pPr>
            <w:bookmarkStart w:colFirst="0" w:colLast="0" w:name="_v4yohyy80me7" w:id="3"/>
            <w:bookmarkEnd w:id="3"/>
            <w:r w:rsidDel="00000000" w:rsidR="00000000" w:rsidRPr="00000000">
              <w:rPr>
                <w:rtl w:val="0"/>
              </w:rPr>
              <w:t xml:space="preserve">Product-centric vs. System-centric</w:t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2240" w:w="15840" w:orient="landscape"/>
      <w:pgMar w:bottom="720" w:top="1080" w:left="720" w:right="720" w:header="360" w:footer="288"/>
      <w:pgNumType w:start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ie Peters" w:id="1" w:date="2021-04-23T21:40:1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no longer exists</w:t>
      </w:r>
    </w:p>
  </w:comment>
  <w:comment w:author="Karen Aiken" w:id="0" w:date="2020-10-22T17:46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@michael.vinovich@telus.com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needed in this doc?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right="5.669291338583093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7696200</wp:posOffset>
          </wp:positionH>
          <wp:positionV relativeFrom="paragraph">
            <wp:posOffset>114300</wp:posOffset>
          </wp:positionV>
          <wp:extent cx="1790700" cy="323850"/>
          <wp:effectExtent b="0" l="0" r="0" t="0"/>
          <wp:wrapSquare wrapText="bothSides" distB="114300" distT="114300" distL="114300" distR="114300"/>
          <wp:docPr id="2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700" cy="323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10215.0" w:type="dxa"/>
      <w:jc w:val="left"/>
      <w:tblInd w:w="0.0" w:type="pct"/>
      <w:tblLayout w:type="fixed"/>
      <w:tblLook w:val="0600"/>
    </w:tblPr>
    <w:tblGrid>
      <w:gridCol w:w="4005"/>
      <w:gridCol w:w="6210"/>
      <w:tblGridChange w:id="0">
        <w:tblGrid>
          <w:gridCol w:w="4005"/>
          <w:gridCol w:w="621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3">
          <w:pPr>
            <w:ind w:right="5.669291338583093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TELUS Confidential</w:t>
          </w:r>
        </w:p>
      </w:tc>
    </w:tr>
  </w:tbl>
  <w:p w:rsidR="00000000" w:rsidDel="00000000" w:rsidP="00000000" w:rsidRDefault="00000000" w:rsidRPr="00000000" w14:paraId="00000015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ind w:right="36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1"/>
      <w:ind w:hanging="180"/>
      <w:jc w:val="left"/>
      <w:rPr/>
    </w:pPr>
    <w:bookmarkStart w:colFirst="0" w:colLast="0" w:name="_18uzsbl5m4x6" w:id="4"/>
    <w:bookmarkEnd w:id="4"/>
    <w:r w:rsidDel="00000000" w:rsidR="00000000" w:rsidRPr="00000000">
      <w:rPr>
        <w:rtl w:val="0"/>
      </w:rPr>
    </w:r>
  </w:p>
  <w:tbl>
    <w:tblPr>
      <w:tblStyle w:val="Table2"/>
      <w:tblW w:w="14790.0" w:type="dxa"/>
      <w:jc w:val="left"/>
      <w:tblInd w:w="-29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90"/>
      <w:gridCol w:w="7200"/>
      <w:tblGridChange w:id="0">
        <w:tblGrid>
          <w:gridCol w:w="7590"/>
          <w:gridCol w:w="7200"/>
        </w:tblGrid>
      </w:tblGridChange>
    </w:tblGrid>
    <w:tr>
      <w:trPr>
        <w:trHeight w:val="675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1"/>
            <w:ind w:left="0" w:firstLine="0"/>
            <w:rPr>
              <w:b w:val="1"/>
            </w:rPr>
          </w:pPr>
          <w:bookmarkStart w:colFirst="0" w:colLast="0" w:name="_gxhnwm8xxu7c" w:id="5"/>
          <w:bookmarkEnd w:id="5"/>
          <w:r w:rsidDel="00000000" w:rsidR="00000000" w:rsidRPr="00000000">
            <w:rPr>
              <w:b w:val="1"/>
              <w:rtl w:val="0"/>
            </w:rPr>
            <w:t xml:space="preserve">Organizational and Cultural Impacts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keepNext w:val="1"/>
      <w:ind w:hanging="180"/>
      <w:jc w:val="center"/>
      <w:rPr/>
    </w:pPr>
    <w:bookmarkStart w:colFirst="0" w:colLast="0" w:name="_5hxk44tjj0ey" w:id="6"/>
    <w:bookmarkEnd w:id="6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API Reference Architecture and Roadmap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hanging="18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hanging="180"/>
    </w:pPr>
    <w:rPr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sites.google.com/a/telus.com/api-program/user-guide/enterprise-own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