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9420"/>
        <w:tblGridChange w:id="0">
          <w:tblGrid>
            <w:gridCol w:w="4935"/>
            <w:gridCol w:w="94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4603" cy="5930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03" cy="593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4">
                <w:pPr>
                  <w:spacing w:before="8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cdt0jfajmn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Resources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hyperlink w:anchor="_hzqy12v999j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Microservice Patterns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hyperlink w:anchor="_lytqpsnjwnn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API Patterns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hyperlink w:anchor="_9ygptudeqwn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Platforms and Domains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hyperlink w:anchor="_hsechm1ygd02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Role of the API management platform in Security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9">
                <w:pPr>
                  <w:spacing w:after="80"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hyperlink w:anchor="_2dlolyb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Glossary of Terms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0A">
            <w:pPr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Glossary of Terms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kix.s6iezyjebuv1" w:id="0"/>
    <w:bookmarkEnd w:id="0"/>
    <w:p w:rsidR="00000000" w:rsidDel="00000000" w:rsidP="00000000" w:rsidRDefault="00000000" w:rsidRPr="00000000" w14:paraId="0000000E">
      <w:pPr>
        <w:pStyle w:val="Heading1"/>
        <w:spacing w:after="160" w:line="259" w:lineRule="auto"/>
        <w:rPr/>
      </w:pPr>
      <w:bookmarkStart w:colFirst="0" w:colLast="0" w:name="_cdt0jfajmn3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F">
      <w:pPr>
        <w:pStyle w:val="Heading2"/>
        <w:spacing w:after="160" w:line="259" w:lineRule="auto"/>
        <w:rPr/>
      </w:pPr>
      <w:bookmarkStart w:colFirst="0" w:colLast="0" w:name="_hzqy12v999j2" w:id="2"/>
      <w:bookmarkEnd w:id="2"/>
      <w:r w:rsidDel="00000000" w:rsidR="00000000" w:rsidRPr="00000000">
        <w:rPr>
          <w:rtl w:val="0"/>
        </w:rPr>
        <w:t xml:space="preserve">Microservice Patterns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highlight w:val="white"/>
            <w:u w:val="single"/>
            <w:rtl w:val="0"/>
          </w:rPr>
          <w:t xml:space="preserve">https://patterns.arcitura.com/microservice-patterns/design_patterns/microservice_layers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2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highlight w:val="white"/>
            <w:u w:val="single"/>
            <w:rtl w:val="0"/>
          </w:rPr>
          <w:t xml:space="preserve">https://patterns.arcitura.com/microservice-patterns/design_patterns/dedicated_microservice_database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160" w:line="259" w:lineRule="auto"/>
        <w:rPr/>
      </w:pPr>
      <w:bookmarkStart w:colFirst="0" w:colLast="0" w:name="_lytqpsnjwnna" w:id="3"/>
      <w:bookmarkEnd w:id="3"/>
      <w:r w:rsidDel="00000000" w:rsidR="00000000" w:rsidRPr="00000000">
        <w:rPr>
          <w:rtl w:val="0"/>
        </w:rPr>
        <w:t xml:space="preserve">API Patterns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highlight w:val="white"/>
            <w:u w:val="single"/>
            <w:rtl w:val="0"/>
          </w:rPr>
          <w:t xml:space="preserve">https://patterns.arcitura.com/service-api-patterns/fundamental-service-api-patterns/decoupled-service-api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160" w:line="259" w:lineRule="auto"/>
        <w:rPr/>
      </w:pPr>
      <w:bookmarkStart w:colFirst="0" w:colLast="0" w:name="_9ygptudeqwnx" w:id="4"/>
      <w:bookmarkEnd w:id="4"/>
      <w:r w:rsidDel="00000000" w:rsidR="00000000" w:rsidRPr="00000000">
        <w:rPr>
          <w:rtl w:val="0"/>
        </w:rPr>
        <w:t xml:space="preserve">Platforms and Domains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highlight w:val="white"/>
            <w:u w:val="single"/>
            <w:rtl w:val="0"/>
          </w:rPr>
          <w:t xml:space="preserve">https://projects.tmforum.org/wiki/pages/viewpage.action?spaceKey=PUB&amp;title=TR263F+Relationships+Between+the+Concepts+of+Domain+and+Platform+R18.0.1#TR263FRelationshipsBetweentheConceptsofDomainandPlatformR18.0.1-Introduction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snc7bnuvip1v" w:id="5"/>
    <w:bookmarkEnd w:id="5"/>
    <w:p w:rsidR="00000000" w:rsidDel="00000000" w:rsidP="00000000" w:rsidRDefault="00000000" w:rsidRPr="00000000" w14:paraId="00000017">
      <w:pPr>
        <w:pStyle w:val="Heading1"/>
        <w:spacing w:after="0" w:before="40" w:line="259" w:lineRule="auto"/>
        <w:rPr/>
      </w:pPr>
      <w:bookmarkStart w:colFirst="0" w:colLast="0" w:name="_hsechm1ygd02" w:id="6"/>
      <w:bookmarkEnd w:id="6"/>
      <w:r w:rsidDel="00000000" w:rsidR="00000000" w:rsidRPr="00000000">
        <w:rPr>
          <w:rtl w:val="0"/>
        </w:rPr>
        <w:t xml:space="preserve">Role of the API management platform in Security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The API management platform is one component of the secure API architecture.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All APIs should be registered and their requests managed by the API management platform.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Appropriate policies to ensure authorization and authentication must be applied.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Policies can also be used to apply rate-limiting.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The API management platform capabilities: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The ability to attach policies to an API and secure all API requests.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Consumers must explicitly apply for and be granted 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security key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Monitoring of API requests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Monitoring of API SLAs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Discovery of APIs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Dynamic end-point routing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API Auditing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15cm4szc9u6b" w:id="7"/>
    <w:bookmarkEnd w:id="7"/>
    <w:p w:rsidR="00000000" w:rsidDel="00000000" w:rsidP="00000000" w:rsidRDefault="00000000" w:rsidRPr="00000000" w14:paraId="00000027">
      <w:pPr>
        <w:pStyle w:val="Heading1"/>
        <w:spacing w:after="0" w:before="40" w:line="259" w:lineRule="auto"/>
        <w:rPr/>
      </w:pPr>
      <w:bookmarkStart w:colFirst="0" w:colLast="0" w:name="_2dlolyb" w:id="8"/>
      <w:bookmarkEnd w:id="8"/>
      <w:commentRangeStart w:id="0"/>
      <w:r w:rsidDel="00000000" w:rsidR="00000000" w:rsidRPr="00000000">
        <w:rPr>
          <w:rtl w:val="0"/>
        </w:rPr>
        <w:t xml:space="preserve">Glossary of Terms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moved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new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footerReference r:id="rId18" w:type="even"/>
      <w:pgSz w:h="12240" w:w="15840" w:orient="landscape"/>
      <w:pgMar w:bottom="720" w:top="1080" w:left="720" w:right="720" w:header="360" w:footer="288"/>
      <w:pgNumType w:start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ren Aiken" w:id="0" w:date="2020-10-22T17:52:5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@sarah.ness@telus.com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sheet from Andrew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Sarah Ness_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right="5.669291338583093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7696200</wp:posOffset>
          </wp:positionH>
          <wp:positionV relativeFrom="paragraph">
            <wp:posOffset>114300</wp:posOffset>
          </wp:positionV>
          <wp:extent cx="1790700" cy="323850"/>
          <wp:effectExtent b="0" l="0" r="0" t="0"/>
          <wp:wrapSquare wrapText="bothSides" distB="114300" distT="114300" distL="114300" distR="114300"/>
          <wp:docPr id="2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700" cy="323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465.0" w:type="dxa"/>
      <w:jc w:val="left"/>
      <w:tblInd w:w="0.0" w:type="pct"/>
      <w:tblLayout w:type="fixed"/>
      <w:tblLook w:val="0600"/>
    </w:tblPr>
    <w:tblGrid>
      <w:gridCol w:w="4470"/>
      <w:gridCol w:w="4995"/>
      <w:tblGridChange w:id="0">
        <w:tblGrid>
          <w:gridCol w:w="4470"/>
          <w:gridCol w:w="499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0">
          <w:pPr>
            <w:ind w:right="5.669291338583093"/>
            <w:rPr>
              <w:vertAlign w:val="baseline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TELUS Confidential</w:t>
          </w:r>
        </w:p>
      </w:tc>
    </w:tr>
  </w:tbl>
  <w:p w:rsidR="00000000" w:rsidDel="00000000" w:rsidP="00000000" w:rsidRDefault="00000000" w:rsidRPr="00000000" w14:paraId="00000032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ind w:right="36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1"/>
      <w:ind w:hanging="180"/>
      <w:jc w:val="left"/>
      <w:rPr/>
    </w:pPr>
    <w:bookmarkStart w:colFirst="0" w:colLast="0" w:name="_18uzsbl5m4x6" w:id="9"/>
    <w:bookmarkEnd w:id="9"/>
    <w:r w:rsidDel="00000000" w:rsidR="00000000" w:rsidRPr="00000000">
      <w:rPr>
        <w:rtl w:val="0"/>
      </w:rPr>
    </w:r>
  </w:p>
  <w:tbl>
    <w:tblPr>
      <w:tblStyle w:val="Table2"/>
      <w:tblW w:w="14790.0" w:type="dxa"/>
      <w:jc w:val="left"/>
      <w:tblInd w:w="-2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90"/>
      <w:gridCol w:w="7200"/>
      <w:tblGridChange w:id="0">
        <w:tblGrid>
          <w:gridCol w:w="7590"/>
          <w:gridCol w:w="7200"/>
        </w:tblGrid>
      </w:tblGridChange>
    </w:tblGrid>
    <w:tr>
      <w:trPr>
        <w:trHeight w:val="675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keepNext w:val="1"/>
            <w:ind w:left="0" w:firstLine="0"/>
            <w:rPr>
              <w:b w:val="1"/>
            </w:rPr>
          </w:pPr>
          <w:bookmarkStart w:colFirst="0" w:colLast="0" w:name="_gxhnwm8xxu7c" w:id="10"/>
          <w:bookmarkEnd w:id="10"/>
          <w:r w:rsidDel="00000000" w:rsidR="00000000" w:rsidRPr="00000000">
            <w:rPr>
              <w:b w:val="1"/>
              <w:rtl w:val="0"/>
            </w:rPr>
            <w:t xml:space="preserve">Supporting Materials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49166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1"/>
      <w:ind w:hanging="180"/>
      <w:jc w:val="center"/>
      <w:rPr/>
    </w:pPr>
    <w:bookmarkStart w:colFirst="0" w:colLast="0" w:name="_5hxk44tjj0ey" w:id="11"/>
    <w:bookmarkEnd w:id="11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API Reference Architecture and Roadmap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hanging="18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hanging="180"/>
    </w:pPr>
    <w:rPr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tterns.arcitura.com/service-api-patterns/fundamental-service-api-patterns/decoupled-service-api" TargetMode="External"/><Relationship Id="rId10" Type="http://schemas.openxmlformats.org/officeDocument/2006/relationships/hyperlink" Target="https://patterns.arcitura.com/microservice-patterns/design_patterns/dedicated_microservice_database" TargetMode="External"/><Relationship Id="rId13" Type="http://schemas.openxmlformats.org/officeDocument/2006/relationships/hyperlink" Target="https://drive.google.com/a/telus.com/open?id=17FECHrmUyIKAwnXn4X3pvXr3aZcKpfhu7PSXfErGHEo" TargetMode="External"/><Relationship Id="rId12" Type="http://schemas.openxmlformats.org/officeDocument/2006/relationships/hyperlink" Target="https://projects.tmforum.org/wiki/pages/viewpage.action?spaceKey=PUB&amp;title=TR263F+Relationships+Between+the+Concepts+of+Domain+and+Platform+R18.0.1#TR263FRelationshipsBetweentheConceptsofDomainandPlatformR18.0.1-Introductio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atterns.arcitura.com/microservice-patterns/design_patterns/microservice_layers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a/telus.com/open?id=17FECHrmUyIKAwnXn4X3pvXr3aZcKpfhu7PSXfErGHE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