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A40F0">
      <w:pPr>
        <w:pStyle w:val="7"/>
        <w:keepNext w:val="0"/>
        <w:keepLines w:val="0"/>
        <w:pageBreakBefore w:val="0"/>
        <w:widowControl/>
        <w:kinsoku/>
        <w:wordWrap/>
        <w:overflowPunct/>
        <w:topLinePunct w:val="0"/>
        <w:autoSpaceDE/>
        <w:autoSpaceDN/>
        <w:bidi w:val="0"/>
        <w:adjustRightInd w:val="0"/>
        <w:snapToGrid w:val="0"/>
        <w:spacing w:before="157" w:beforeLines="50" w:after="157" w:afterLines="50" w:line="100" w:lineRule="atLeast"/>
        <w:ind w:right="0" w:rightChars="0"/>
        <w:jc w:val="center"/>
        <w:textAlignment w:val="auto"/>
        <w:outlineLvl w:val="9"/>
        <w:rPr>
          <w:rFonts w:hint="eastAsia"/>
          <w:b/>
          <w:color w:val="000000"/>
          <w:sz w:val="40"/>
          <w:szCs w:val="40"/>
          <w:lang w:eastAsia="zh-CN"/>
        </w:rPr>
      </w:pPr>
      <w:r>
        <w:rPr>
          <w:rFonts w:hint="eastAsia" w:ascii="仿宋_GB2312" w:eastAsia="仿宋_GB2312" w:cs="Arial"/>
          <w:b/>
          <w:bCs/>
          <w:sz w:val="40"/>
          <w:szCs w:val="40"/>
          <w:lang w:val="en-US" w:eastAsia="zh-CN"/>
        </w:rPr>
        <w:t>诉讼</w:t>
      </w:r>
      <w:r>
        <w:rPr>
          <w:rFonts w:hint="eastAsia" w:ascii="仿宋_GB2312" w:eastAsia="仿宋_GB2312" w:cs="Arial"/>
          <w:b/>
          <w:bCs/>
          <w:sz w:val="40"/>
          <w:szCs w:val="40"/>
          <w:lang w:eastAsia="zh-CN"/>
        </w:rPr>
        <w:t>风险提示书</w:t>
      </w:r>
    </w:p>
    <w:p w14:paraId="37298FF8">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textAlignment w:val="auto"/>
        <w:outlineLvl w:val="9"/>
        <w:rPr>
          <w:rFonts w:ascii="仿宋_GB2312" w:eastAsia="仿宋_GB2312" w:cs="Arial"/>
          <w:sz w:val="24"/>
          <w:szCs w:val="24"/>
        </w:rPr>
      </w:pPr>
      <w:r>
        <w:rPr>
          <w:rFonts w:hint="eastAsia" w:ascii="仿宋_GB2312" w:eastAsia="仿宋_GB2312" w:cs="Arial"/>
          <w:sz w:val="24"/>
          <w:szCs w:val="24"/>
        </w:rPr>
        <w:t>尊敬的委托人：</w:t>
      </w:r>
    </w:p>
    <w:p w14:paraId="72D80D4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感谢您委托盈科律师事务所律师承办您的法律事务，我们将竭诚为您提供服务。为了更好地维护您的合法权益，也为了使您更加了解律师工作，请您注意如下事项：</w:t>
      </w:r>
    </w:p>
    <w:p w14:paraId="7BF72F7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一、任何诉讼（包括仲裁、非诉案件等，下同）均具有法律风险，包括败诉、无法执行、审期过长等。在聘请律师前，您应确认具有承受此等法律风险之合理预见及负担能力。</w:t>
      </w:r>
      <w:r>
        <w:rPr>
          <w:rFonts w:hint="eastAsia" w:ascii="仿宋_GB2312" w:eastAsia="仿宋_GB2312" w:cs="Arial"/>
          <w:sz w:val="24"/>
          <w:szCs w:val="24"/>
          <w:lang w:val="en-US" w:eastAsia="zh-CN"/>
        </w:rPr>
        <w:t>常见的民事诉讼风险提示如下：</w:t>
      </w:r>
    </w:p>
    <w:p w14:paraId="545176EC">
      <w:pPr>
        <w:pStyle w:val="7"/>
        <w:keepNext w:val="0"/>
        <w:keepLines w:val="0"/>
        <w:pageBreakBefore w:val="0"/>
        <w:widowControl/>
        <w:tabs>
          <w:tab w:val="left" w:pos="4023"/>
        </w:tabs>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1、当事人起诉不符合法律规定条件的，人民法院不会受理，即使受理也会被驳回起诉。当事人起诉不符合管辖规定的，案件将被移送到有权管辖的人民法院审理。</w:t>
      </w:r>
    </w:p>
    <w:p w14:paraId="3A8C0C4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2、当事人提出的诉讼请求应明确、具体、完整，对未提出的诉讼请求人民法院不会审理。当事人提出的诉讼请求要适当，不要随意扩大诉讼请求范围；无根据的诉讼请求，除得不到人民法院支持外，当事人还要负担相应的诉讼费用。</w:t>
      </w:r>
    </w:p>
    <w:p w14:paraId="06B6616E">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3、当事人增加、变更诉讼请求或者提出反诉，超过人民法院许可或者指定期限的，可能不被审理。</w:t>
      </w:r>
    </w:p>
    <w:p w14:paraId="47F9998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4、当事人请求人民法院保护民事权利的期间一般为三年（特殊的为一年或更短）。原告向人民法院起诉后，被告提出原告的起诉已超过法律保护期间的，如果原告没有对超过法律保护期间的事实提供相反证据证明，其诉讼请求不会得到人民法院的支持。</w:t>
      </w:r>
    </w:p>
    <w:p w14:paraId="7E1C4F4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5、当事人委托诉讼代理人代为承认、放弃、变更诉讼请求，进行和解，提起反诉或者上诉等事项的，应在授权委托书中特别注明。没有在授权委托书中明确、具体记明特别授权事项的，诉讼代理人就上述特别授权事项发表的意见不具有法律效力，这样还可能会影响对您的诉讼权利和权益的及时保护。</w:t>
      </w:r>
    </w:p>
    <w:p w14:paraId="3D453A94">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6、当事人起诉或者上诉，不按时预交诉讼费用，或者提出缓交、减交、免交诉讼费用申请未获批准仍不交纳诉讼费用的，人民法院将裁定按自动撤回起诉、上诉处理。当事人提出反诉，不按规定预交相应的案件受理费的，人民法院将不会审理。</w:t>
      </w:r>
    </w:p>
    <w:p w14:paraId="7C4BEA1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7、当事人申请财产保全，应当按规定交纳保全费用而没有交纳的，人民法院不会对申请保全的财产采取保全措施。当事人提出财产保全申请，未按人民法院要求提供相应财产担保的，人民法院将依法驳回其申请。申请人申请财产保全有错误的，将要赔偿被申请人因财产保全所受到的损失。</w:t>
      </w:r>
    </w:p>
    <w:p w14:paraId="07FEDA4E">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8、除法律和司法解释规定不需要提供证据证明外，当事人提出诉讼请求或者反驳对方的诉讼请求，应提供证据证明。不能提供相应的证据或者提供的证据证明不了有关事实的，可能面临不利的裁判后果。</w:t>
      </w:r>
    </w:p>
    <w:p w14:paraId="49FE31FC">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9、当事人向人民法院提交的证据，应当在当事人协商一致并经人民法院认可或者人民法院指定的期限内完成。超过上述期限提交的，人民法院可能视其放弃了举证的权利，但属于法律和司法解释规定的新的证据除外。</w:t>
      </w:r>
    </w:p>
    <w:p w14:paraId="1271CF8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10、当事人向人民法院提供证据，应当提供原件或者原物，特殊情况下也可以提供经人民法院核对无异的复制件或者复制品。提供的证据不符合上述条件的，可能影响证据的证明力，甚至可能不被采信。</w:t>
      </w:r>
    </w:p>
    <w:p w14:paraId="7B4545C8">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11、除属于法律和司法解释规定的证人确有困难不能出庭的特殊情况外，当事人提供证人证言的，证人应当出庭作证并接受质询。如果证人不出庭作证，可能影响该证人证言的证据效力，甚至不被采信。</w:t>
      </w:r>
    </w:p>
    <w:p w14:paraId="726DE92A">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12、当事人申请审计、评估、鉴定，未在人民法院指定期限内提出申请或者不预交审计、评估、鉴定费用，或者不提供相关材料，致使争议的事实无法通过审计、评估、鉴定结论予以认定的，可能对申请人产生不利的裁判后果。</w:t>
      </w:r>
    </w:p>
    <w:p w14:paraId="4D73534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13、原告经传票传唤，无正当理由拒不到庭，或者未经法庭许可中途退出法庭的，人民法院将按自动撤回起诉处理；被告反诉的，人民法院将对反诉的内容缺席审判。被告经传票传唤，无正当理由拒不到庭，或者未经法庭许可中途退出法庭的，人民法院将缺席判决。</w:t>
      </w:r>
    </w:p>
    <w:p w14:paraId="12FA387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14、适用简易程序审理的案件，人民法院按照当事人自己提供的送达地址送达诉讼文书时，因当事人提供的己方送达地址不准确，或者送达地址变更未及时告知人民法院，致使人民法院无法送达，造成诉讼文书被退回的，诉讼文书也视为送达。</w:t>
      </w:r>
    </w:p>
    <w:p w14:paraId="4E4808F8">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15、向人民法院申请执行的期间为二年，期间从法律文书规定履行期间的最后一日起计算。超过上述期限申请的，人民法院不予受理。</w:t>
      </w:r>
    </w:p>
    <w:p w14:paraId="1E8E074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16、被执行人没有财产或者没有足够财产履行生效法律文书确定义务的，人民法院可能对未履行的部分裁定中止执行，申请执行人的财产权益将可能暂时无法实现或者不能完全实现。</w:t>
      </w:r>
    </w:p>
    <w:p w14:paraId="160696A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17、被执行人未按生效法律文书指定期间履行给付金钱义务的，将要支付迟延履行期间的双倍债务利息。被执行人未按生效法律文书指定期间履行其他义务的，将要支付迟延履行金。</w:t>
      </w:r>
    </w:p>
    <w:p w14:paraId="3C0E90B8">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二、委托人有责任对委托事项做出独立的判断和决策。根据律师提供的法律意见、建议、方案所做出的决定而导致的损失，非因律师错误运用法律等失职行为造成的，由委托人自行承担。</w:t>
      </w:r>
    </w:p>
    <w:p w14:paraId="5AEA1458">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三、您在委托本所律师办理案件时，请注意应与本律所而非律师个人签订委托合同，律所应当盖章；交纳律师代理费时，律所应当向您出具正式发票。承办律师无权私自收案、收费和向委托人做出单方承诺。</w:t>
      </w:r>
    </w:p>
    <w:p w14:paraId="6ED7B18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四、委托人所提供的案件情况应当真实，要求律师办理的事项应当合法；承办律师在法律允许的范围内必须尽职尽责完成委托事项。委托人不能要求承办律师做出关于案件处理结果的承诺，即使承诺也属无效；律师对案件的分析只能作为参考。</w:t>
      </w:r>
    </w:p>
    <w:p w14:paraId="72E0B0CA">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rPr>
        <w:t>五、委托人不得以如下非正当理由要求律师所退费：①委托人同时委托其他律师事务所的律师代理的；②律师完成委托代理事项后，委托人以结果不理想或律师所收费过高为由要求退费的；③律师已经作好准备工作，委托人撤诉或对方撤诉的；④其他非因本所或者本所律师的原因，委托人无故终止合同的。</w:t>
      </w:r>
    </w:p>
    <w:p w14:paraId="546D5D3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六、代理费以外的其他办案费用（如交通费、通讯费、复印费、打字费等）有两种交纳方式，一是采用包干方式以代理费名义交至律师所，由律师所出具正式发票；二是以实报实销方式与承办律师自行协商处理。</w:t>
      </w:r>
    </w:p>
    <w:p w14:paraId="270AFE8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七、</w:t>
      </w:r>
      <w:r>
        <w:rPr>
          <w:rFonts w:hint="eastAsia" w:ascii="仿宋_GB2312" w:eastAsia="仿宋_GB2312" w:cs="Arial"/>
          <w:sz w:val="24"/>
          <w:szCs w:val="24"/>
        </w:rPr>
        <w:t>如果在委托合同履行过程中承办律师有任何违规行为，或者您有任何疑问或意见，请与本律师所联系，电话：（0532）80689888。</w:t>
      </w:r>
    </w:p>
    <w:p w14:paraId="3E65A68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p>
    <w:p w14:paraId="1F671C0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rPr>
      </w:pPr>
      <w:r>
        <w:rPr>
          <w:rFonts w:hint="eastAsia" w:ascii="仿宋_GB2312" w:eastAsia="仿宋_GB2312" w:cs="Arial"/>
          <w:b/>
          <w:bCs/>
          <w:sz w:val="28"/>
          <w:szCs w:val="28"/>
        </w:rPr>
        <w:t>委托人确认：</w:t>
      </w:r>
    </w:p>
    <w:p w14:paraId="098EBF8E">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r>
        <w:rPr>
          <w:rFonts w:hint="eastAsia" w:ascii="仿宋_GB2312" w:eastAsia="仿宋_GB2312" w:cs="Arial"/>
          <w:b/>
          <w:bCs/>
          <w:sz w:val="28"/>
          <w:szCs w:val="28"/>
          <w:lang w:val="en-US" w:eastAsia="zh-CN"/>
        </w:rPr>
        <w:t>上述风险提示已阅，</w:t>
      </w:r>
      <w:r>
        <w:rPr>
          <w:rFonts w:hint="eastAsia" w:ascii="仿宋_GB2312" w:eastAsia="仿宋_GB2312" w:cs="Arial"/>
          <w:b/>
          <w:bCs/>
          <w:sz w:val="28"/>
          <w:szCs w:val="28"/>
        </w:rPr>
        <w:t>我已了解须知中所提示和说明的内容</w:t>
      </w:r>
      <w:r>
        <w:rPr>
          <w:rFonts w:hint="eastAsia" w:ascii="仿宋_GB2312" w:eastAsia="仿宋_GB2312" w:cs="Arial"/>
          <w:b/>
          <w:bCs/>
          <w:sz w:val="28"/>
          <w:szCs w:val="28"/>
          <w:lang w:eastAsia="zh-CN"/>
        </w:rPr>
        <w:t>。</w:t>
      </w:r>
    </w:p>
    <w:p w14:paraId="7AB18BE8">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p>
    <w:p w14:paraId="180585A5">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3920" w:firstLineChars="1400"/>
        <w:jc w:val="left"/>
        <w:textAlignment w:val="auto"/>
        <w:outlineLvl w:val="9"/>
        <w:rPr>
          <w:rFonts w:hint="eastAsia" w:ascii="FangSong" w:hAnsi="FangSong" w:eastAsia="FangSong" w:cs="FangSong"/>
          <w:sz w:val="28"/>
          <w:szCs w:val="28"/>
        </w:rPr>
      </w:pPr>
      <w:r>
        <w:rPr>
          <w:rFonts w:hint="eastAsia" w:ascii="FangSong" w:hAnsi="FangSong" w:eastAsia="FangSong" w:cs="FangSong"/>
          <w:sz w:val="28"/>
          <w:szCs w:val="28"/>
        </w:rPr>
        <w:t>委托人签署</w:t>
      </w:r>
      <w:r>
        <w:rPr>
          <w:rFonts w:hint="eastAsia" w:ascii="FangSong" w:hAnsi="FangSong" w:eastAsia="FangSong" w:cs="FangSong"/>
          <w:sz w:val="28"/>
          <w:szCs w:val="28"/>
          <w:lang w:eastAsia="zh-CN"/>
        </w:rPr>
        <w:t>（</w:t>
      </w:r>
      <w:r>
        <w:rPr>
          <w:rFonts w:hint="eastAsia" w:ascii="FangSong" w:hAnsi="FangSong" w:eastAsia="FangSong" w:cs="FangSong"/>
          <w:sz w:val="28"/>
          <w:szCs w:val="28"/>
          <w:lang w:val="en-US" w:eastAsia="zh-CN"/>
        </w:rPr>
        <w:t>盖章</w:t>
      </w:r>
      <w:r>
        <w:rPr>
          <w:rFonts w:hint="eastAsia" w:ascii="FangSong" w:hAnsi="FangSong" w:eastAsia="FangSong" w:cs="FangSong"/>
          <w:sz w:val="28"/>
          <w:szCs w:val="28"/>
          <w:lang w:eastAsia="zh-CN"/>
        </w:rPr>
        <w:t>）</w:t>
      </w:r>
      <w:r>
        <w:rPr>
          <w:rFonts w:hint="eastAsia" w:ascii="FangSong" w:hAnsi="FangSong" w:eastAsia="FangSong" w:cs="FangSong"/>
          <w:sz w:val="28"/>
          <w:szCs w:val="28"/>
        </w:rPr>
        <w:t>：</w:t>
      </w:r>
      <w:r>
        <w:rPr>
          <w:rFonts w:hint="eastAsia" w:ascii="FangSong" w:hAnsi="FangSong" w:eastAsia="FangSong" w:cs="FangSong"/>
          <w:sz w:val="28"/>
          <w:szCs w:val="28"/>
          <w:u w:val="single"/>
        </w:rPr>
        <w:t xml:space="preserve">                  </w:t>
      </w:r>
      <w:r>
        <w:rPr>
          <w:rFonts w:hint="eastAsia" w:ascii="FangSong" w:hAnsi="FangSong" w:eastAsia="FangSong" w:cs="FangSong"/>
          <w:sz w:val="28"/>
          <w:szCs w:val="28"/>
        </w:rPr>
        <w:t xml:space="preserve">      </w:t>
      </w:r>
    </w:p>
    <w:p w14:paraId="3856B3BC">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280" w:firstLineChars="100"/>
        <w:jc w:val="right"/>
        <w:textAlignment w:val="auto"/>
        <w:outlineLvl w:val="9"/>
        <w:rPr>
          <w:rFonts w:hint="default" w:ascii="FangSong" w:hAnsi="FangSong" w:eastAsia="FangSong" w:cs="FangSong"/>
          <w:sz w:val="28"/>
          <w:szCs w:val="28"/>
          <w:lang w:val="en-US" w:eastAsia="zh-CN"/>
        </w:rPr>
      </w:pPr>
      <w:r>
        <w:rPr>
          <w:rFonts w:hint="eastAsia" w:ascii="FangSong" w:hAnsi="FangSong" w:eastAsia="FangSong" w:cs="FangSong"/>
          <w:sz w:val="28"/>
          <w:szCs w:val="28"/>
        </w:rPr>
        <w:t>日期：{{一委托日期}}</w:t>
      </w:r>
      <w:bookmarkStart w:id="0" w:name="_GoBack"/>
      <w:bookmarkEnd w:id="0"/>
    </w:p>
    <w:p w14:paraId="152F2581">
      <w:pPr>
        <w:rPr>
          <w:rFonts w:hint="default"/>
          <w:sz w:val="20"/>
          <w:szCs w:val="20"/>
          <w:lang w:val="en-US" w:eastAsia="zh-CN"/>
        </w:rPr>
      </w:pPr>
    </w:p>
    <w:p w14:paraId="171FB191">
      <w:pPr>
        <w:rPr>
          <w:rFonts w:hint="eastAsia"/>
          <w:lang w:val="en-US" w:eastAsia="zh-CN"/>
        </w:rPr>
      </w:pPr>
    </w:p>
    <w:sectPr>
      <w:headerReference r:id="rId3" w:type="default"/>
      <w:footerReference r:id="rId4" w:type="default"/>
      <w:footerReference r:id="rId5" w:type="even"/>
      <w:pgSz w:w="11906" w:h="16838"/>
      <w:pgMar w:top="1134" w:right="1417" w:bottom="1134" w:left="1417"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FangSong"/>
    <w:panose1 w:val="02010609030101010101"/>
    <w:charset w:val="86"/>
    <w:family w:val="modern"/>
    <w:pitch w:val="default"/>
    <w:sig w:usb0="00000000" w:usb1="00000000" w:usb2="00000010" w:usb3="00000000" w:csb0="00040000" w:csb1="00000000"/>
  </w:font>
  <w:font w:name="FangSong">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F52FC">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5591175</wp:posOffset>
              </wp:positionH>
              <wp:positionV relativeFrom="paragraph">
                <wp:posOffset>-39370</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1C96ED39"/>
                      </w:txbxContent>
                    </wps:txbx>
                    <wps:bodyPr vert="eaVert" wrap="square" upright="1"/>
                  </wps:wsp>
                </a:graphicData>
              </a:graphic>
            </wp:anchor>
          </w:drawing>
        </mc:Choice>
        <mc:Fallback>
          <w:pict>
            <v:shape id="文本框 1041" o:spid="_x0000_s1026" o:spt="202" type="#_x0000_t202" style="position:absolute;left:0pt;flip:x;margin-left:440.25pt;margin-top:-3.1pt;height:39.05pt;width:13.5pt;z-index:251659264;mso-width-relative:page;mso-height-relative:page;" fillcolor="#BE9D6D" filled="t" stroked="t" coordsize="21600,21600" o:gfxdata="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D/9QS2wAAAAkBAAAPAAAAAAAAAAEAIAAAACIAAABkcnMvZG93bnJldi54bWxQSwEC&#10;FAAUAAAACACHTuJAbDvkwCoCAABeBAAADgAAAAAAAAABACAAAAAqAQAAZHJzL2Uyb0RvYy54bWxQ&#10;SwUGAAAAAAYABgBZAQAAxgUAAAAA&#10;">
              <v:fill on="t" focussize="0,0"/>
              <v:stroke color="#FFFFFF" joinstyle="miter"/>
              <v:imagedata o:title=""/>
              <o:lock v:ext="edit" aspectratio="f"/>
              <v:textbox style="layout-flow:vertical-ideographic;">
                <w:txbxContent>
                  <w:p w14:paraId="1C96ED39"/>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-40005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3CD012A1"/>
                      </w:txbxContent>
                    </wps:txbx>
                    <wps:bodyPr vert="eaVert" wrap="square" upright="1"/>
                  </wps:wsp>
                </a:graphicData>
              </a:graphic>
            </wp:anchor>
          </w:drawing>
        </mc:Choice>
        <mc:Fallback>
          <w:pict>
            <v:shape id="文本框 1043" o:spid="_x0000_s1026" o:spt="202" type="#_x0000_t202" style="position:absolute;left:0pt;flip:x;margin-left:0pt;margin-top:-3.15pt;height:39.05pt;width:13.5pt;z-index:251660288;mso-width-relative:page;mso-height-relative:page;" fillcolor="#BE9D6D" filled="t" stroked="t" coordsize="21600,21600" o:gfxdata="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l5lCg1wAAAAUBAAAPAAAAAAAAAAEAIAAAACIAAABkcnMvZG93bnJldi54bWxQSwECFAAU&#10;AAAACACHTuJA1XSTgysCAABeBAAADgAAAAAAAAABACAAAAAmAQAAZHJzL2Uyb0RvYy54bWxQSwUG&#10;AAAAAAYABgBZAQAAwwUAAAAA&#10;">
              <v:fill on="t" focussize="0,0"/>
              <v:stroke color="#FFFFFF" joinstyle="miter"/>
              <v:imagedata o:title=""/>
              <o:lock v:ext="edit" aspectratio="f"/>
              <v:textbox style="layout-flow:vertical-ideographic;">
                <w:txbxContent>
                  <w:p w14:paraId="3CD012A1"/>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41C618B5">
    <w:pPr>
      <w:pStyle w:val="5"/>
      <w:tabs>
        <w:tab w:val="clear" w:pos="4153"/>
      </w:tabs>
      <w:ind w:right="360" w:firstLine="360"/>
      <w:jc w:val="center"/>
      <w:rPr>
        <w:rFonts w:hint="eastAsia"/>
        <w:b/>
        <w:szCs w:val="21"/>
      </w:rPr>
    </w:pPr>
    <w:r>
      <w:rPr>
        <w:rFonts w:hint="eastAsia"/>
        <w:b/>
        <w:szCs w:val="21"/>
      </w:rPr>
      <w:t>地址：山东省青岛市市南区山东路6号甲 华润大厦B座29~30层</w:t>
    </w:r>
  </w:p>
  <w:p w14:paraId="58B5E40C">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1464310" cy="21780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1464310" cy="217805"/>
                      </a:xfrm>
                      <a:prstGeom prst="rect">
                        <a:avLst/>
                      </a:prstGeom>
                      <a:noFill/>
                      <a:ln>
                        <a:noFill/>
                      </a:ln>
                    </wps:spPr>
                    <wps:txbx>
                      <w:txbxContent>
                        <w:p w14:paraId="48FD2C8B">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17.15pt;width:115.3pt;mso-position-horizontal:center;mso-position-horizontal-relative:margin;z-index:251662336;mso-width-relative:page;mso-height-relative:page;" filled="f" stroked="f" coordsize="21600,21600" o:gfxdata="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SAiTtYAAAAGAQAADwAAAAAA&#10;AAABACAAAAAiAAAAZHJzL2Rvd25yZXYueG1sUEsBAhQAFAAAAAgAh07iQG5oHtjcAQAAqAMAAA4A&#10;AAAAAAAAAQAgAAAAJQEAAGRycy9lMm9Eb2MueG1sUEsFBgAAAAAGAAYAWQEAAHMFAAAAAA==&#10;">
              <v:fill on="f" focussize="0,0"/>
              <v:stroke on="f"/>
              <v:imagedata o:title=""/>
              <o:lock v:ext="edit" aspectratio="f"/>
              <v:textbox inset="0mm,0mm,0mm,0mm">
                <w:txbxContent>
                  <w:p w14:paraId="48FD2C8B">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B7C0B">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2B665AF8">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55316">
    <w:pPr>
      <w:pStyle w:val="6"/>
      <w:jc w:val="right"/>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34017EC"/>
    <w:rsid w:val="0344074F"/>
    <w:rsid w:val="05764E40"/>
    <w:rsid w:val="068731EF"/>
    <w:rsid w:val="06E44223"/>
    <w:rsid w:val="0B07664A"/>
    <w:rsid w:val="0B0C786C"/>
    <w:rsid w:val="0B5A5243"/>
    <w:rsid w:val="101F6C14"/>
    <w:rsid w:val="12E05ADC"/>
    <w:rsid w:val="12FB4021"/>
    <w:rsid w:val="130D3E6B"/>
    <w:rsid w:val="137F601C"/>
    <w:rsid w:val="15AF5142"/>
    <w:rsid w:val="16A122B4"/>
    <w:rsid w:val="17A67D78"/>
    <w:rsid w:val="1A353619"/>
    <w:rsid w:val="1C462F5A"/>
    <w:rsid w:val="20864A5E"/>
    <w:rsid w:val="21DA31D4"/>
    <w:rsid w:val="27FC5478"/>
    <w:rsid w:val="28B81B5C"/>
    <w:rsid w:val="29972635"/>
    <w:rsid w:val="2AD2391F"/>
    <w:rsid w:val="2D9F7708"/>
    <w:rsid w:val="2F816515"/>
    <w:rsid w:val="30185E0D"/>
    <w:rsid w:val="32E715FF"/>
    <w:rsid w:val="33541C66"/>
    <w:rsid w:val="337141A5"/>
    <w:rsid w:val="35753BC1"/>
    <w:rsid w:val="39C32337"/>
    <w:rsid w:val="3A4A19EF"/>
    <w:rsid w:val="3C0E1BB4"/>
    <w:rsid w:val="3CE45E27"/>
    <w:rsid w:val="3DFFBBB0"/>
    <w:rsid w:val="3E362B23"/>
    <w:rsid w:val="3F293605"/>
    <w:rsid w:val="3F525276"/>
    <w:rsid w:val="40D33F51"/>
    <w:rsid w:val="41AE11D8"/>
    <w:rsid w:val="41B151BB"/>
    <w:rsid w:val="41D245DE"/>
    <w:rsid w:val="43884ABF"/>
    <w:rsid w:val="44AE35BC"/>
    <w:rsid w:val="468C1F35"/>
    <w:rsid w:val="48933F69"/>
    <w:rsid w:val="4B003E5E"/>
    <w:rsid w:val="4C7947EF"/>
    <w:rsid w:val="4DD95FFF"/>
    <w:rsid w:val="4FC03721"/>
    <w:rsid w:val="50013ABE"/>
    <w:rsid w:val="52F27FA7"/>
    <w:rsid w:val="52F74D97"/>
    <w:rsid w:val="539F032F"/>
    <w:rsid w:val="543E2143"/>
    <w:rsid w:val="54A14BE7"/>
    <w:rsid w:val="555F310A"/>
    <w:rsid w:val="565555DE"/>
    <w:rsid w:val="5778002F"/>
    <w:rsid w:val="593736E8"/>
    <w:rsid w:val="5ABD71D4"/>
    <w:rsid w:val="5C4F1C43"/>
    <w:rsid w:val="60752907"/>
    <w:rsid w:val="63DE4E87"/>
    <w:rsid w:val="644F5E22"/>
    <w:rsid w:val="64C87586"/>
    <w:rsid w:val="666C2236"/>
    <w:rsid w:val="680C199E"/>
    <w:rsid w:val="69292E8C"/>
    <w:rsid w:val="6A0C5B4B"/>
    <w:rsid w:val="6A45036D"/>
    <w:rsid w:val="6B522DE1"/>
    <w:rsid w:val="6C1222C2"/>
    <w:rsid w:val="6C92422D"/>
    <w:rsid w:val="6E02061C"/>
    <w:rsid w:val="6F466508"/>
    <w:rsid w:val="6FA7353A"/>
    <w:rsid w:val="72C418C3"/>
    <w:rsid w:val="739A6F39"/>
    <w:rsid w:val="748E5B16"/>
    <w:rsid w:val="7A6A2F19"/>
    <w:rsid w:val="7AFC7AB2"/>
    <w:rsid w:val="7C8F4662"/>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jc w:val="left"/>
    </w:pPr>
    <w:rPr>
      <w:rFonts w:ascii="SimSun" w:hAnsi="SimSun" w:cs="SimSun"/>
      <w:kern w:val="0"/>
      <w:sz w:val="24"/>
    </w:rPr>
  </w:style>
  <w:style w:type="paragraph" w:styleId="8">
    <w:name w:val="annotation subject"/>
    <w:basedOn w:val="3"/>
    <w:next w:val="3"/>
    <w:link w:val="16"/>
    <w:qFormat/>
    <w:uiPriority w:val="0"/>
    <w:rPr>
      <w:b/>
      <w:bCs/>
    </w:rPr>
  </w:style>
  <w:style w:type="character" w:styleId="11">
    <w:name w:val="page number"/>
    <w:basedOn w:val="10"/>
    <w:qFormat/>
    <w:uiPriority w:val="0"/>
  </w:style>
  <w:style w:type="character" w:styleId="12">
    <w:name w:val="Hyperlink"/>
    <w:basedOn w:val="10"/>
    <w:unhideWhenUsed/>
    <w:qFormat/>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8"/>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qFormat/>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2</Pages>
  <Words>2395</Words>
  <Characters>2413</Characters>
  <Lines>44</Lines>
  <Paragraphs>12</Paragraphs>
  <TotalTime>0</TotalTime>
  <ScaleCrop>false</ScaleCrop>
  <LinksUpToDate>false</LinksUpToDate>
  <CharactersWithSpaces>2446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2026-01-02T12:45:44Z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9F6003EA75044BA59C230123438CF8A7_13</vt:lpwstr>
  </property>
  <property fmtid="{D5CDD505-2E9C-101B-9397-08002B2CF9AE}" pid="4" name="KSOTemplateDocerSaveRecord">
    <vt:lpwstr>eyJoZGlkIjoiMWQ1ZGUxYzIwZjc4ZDQyMjI1MDU4YWI5MjY2Y2IxZDAiLCJ1c2VySWQiOiIyMzkzMjU0MTUifQ==</vt:lpwstr>
  </property>
</Properties>
</file>