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3E26B">
      <w:pPr>
        <w:pStyle w:val="7"/>
        <w:keepNext w:val="0"/>
        <w:keepLines w:val="0"/>
        <w:pageBreakBefore w:val="0"/>
        <w:widowControl/>
        <w:kinsoku/>
        <w:wordWrap/>
        <w:overflowPunct/>
        <w:topLinePunct w:val="0"/>
        <w:autoSpaceDE/>
        <w:autoSpaceDN/>
        <w:bidi w:val="0"/>
        <w:adjustRightInd w:val="0"/>
        <w:snapToGrid w:val="0"/>
        <w:spacing w:before="157" w:beforeLines="50" w:after="157" w:afterLines="50" w:line="100" w:lineRule="atLeast"/>
        <w:ind w:right="0" w:rightChars="0"/>
        <w:jc w:val="center"/>
        <w:textAlignment w:val="auto"/>
        <w:outlineLvl w:val="9"/>
        <w:rPr>
          <w:rFonts w:hint="eastAsia"/>
          <w:b/>
          <w:color w:val="000000"/>
          <w:sz w:val="40"/>
          <w:szCs w:val="40"/>
          <w:lang w:eastAsia="zh-CN"/>
        </w:rPr>
      </w:pPr>
      <w:r>
        <w:rPr>
          <w:rFonts w:hint="eastAsia" w:ascii="仿宋_GB2312" w:eastAsia="仿宋_GB2312" w:cs="Arial"/>
          <w:b/>
          <w:bCs/>
          <w:sz w:val="40"/>
          <w:szCs w:val="40"/>
          <w:lang w:eastAsia="zh-CN"/>
        </w:rPr>
        <w:t>风险提示书</w:t>
      </w:r>
    </w:p>
    <w:p w14:paraId="504D71E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textAlignment w:val="auto"/>
        <w:outlineLvl w:val="9"/>
        <w:rPr>
          <w:rFonts w:ascii="仿宋_GB2312" w:eastAsia="仿宋_GB2312" w:cs="Arial"/>
          <w:sz w:val="24"/>
          <w:szCs w:val="24"/>
        </w:rPr>
      </w:pPr>
      <w:r>
        <w:rPr>
          <w:rFonts w:hint="eastAsia" w:ascii="仿宋_GB2312" w:eastAsia="仿宋_GB2312" w:cs="Arial"/>
          <w:sz w:val="24"/>
          <w:szCs w:val="24"/>
        </w:rPr>
        <w:t>尊敬的委托人：</w:t>
      </w:r>
    </w:p>
    <w:p w14:paraId="35307F4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感谢您委托盈科律师事务所律师承办您的法律事务，我们将竭诚为您提供服务。为了更好地维护您的合法权益，也为了使您更加了解律师工作，请您注意如下事项：</w:t>
      </w:r>
    </w:p>
    <w:p w14:paraId="11C6EF7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一、任何诉讼（包括仲裁、非诉案件等，下同）均具有法律风险，包括败诉、无法执行、审期过长等。在聘请律师前，您应确认具有承受此等法律风险之合理预见及负担能力。</w:t>
      </w:r>
      <w:r>
        <w:rPr>
          <w:rFonts w:hint="eastAsia" w:ascii="仿宋_GB2312" w:eastAsia="仿宋_GB2312" w:cs="Arial"/>
          <w:sz w:val="24"/>
          <w:szCs w:val="24"/>
          <w:lang w:val="en-US" w:eastAsia="zh-CN"/>
        </w:rPr>
        <w:t>常见的民事诉讼风险提示如下：</w:t>
      </w:r>
    </w:p>
    <w:p w14:paraId="071BAADB">
      <w:pPr>
        <w:pStyle w:val="7"/>
        <w:keepNext w:val="0"/>
        <w:keepLines w:val="0"/>
        <w:pageBreakBefore w:val="0"/>
        <w:widowControl/>
        <w:tabs>
          <w:tab w:val="left" w:pos="4023"/>
        </w:tabs>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1、当事人起诉不符合法律规定条件的，人民法院不会受理，即使受理也会被驳回起诉。当事人起诉不符合管辖规定的，案件将被移送到有权管辖的人民法院审理。</w:t>
      </w:r>
    </w:p>
    <w:p w14:paraId="14585BA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2、当事人提出的诉讼请求应明确、具体、完整，对未提出的诉讼请求人民法院不会审理。当事人提出的诉讼请求要适当，不要随意扩大诉讼请求范围；无根据的诉讼请求，除得不到人民法院支持外，当事人还要负担相应的诉讼费用。</w:t>
      </w:r>
    </w:p>
    <w:p w14:paraId="6442271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3、当事人增加、变更诉讼请求或者提出反诉，超过人民法院许可或者指定期限的，可能不被审理。</w:t>
      </w:r>
    </w:p>
    <w:p w14:paraId="3003394F">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4、当事人请求人民法院保护民事权利的期间一般为三年（特殊的为一年或更短）。原告向人民法院起诉后，被告提出原告的起诉已超过法律保护期间的，如果原告没有对超过法律保护期间的事实提供相反证据证明，其诉讼请求不会得到人民法院的支持。</w:t>
      </w:r>
    </w:p>
    <w:p w14:paraId="0743A78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5、当事人委托诉讼代理人代为承认、放弃、变更诉讼请求，进行和解，提起反诉或者上诉等事项的，应在授权委托书中特别注明。没有在授权委托书中明确、具体记明特别授权事项的，诉讼代理人就上述特别授权事项发表的意见不具有法律效力，这样还可能会影响对您的诉讼权利和权益的及时保护。</w:t>
      </w:r>
    </w:p>
    <w:p w14:paraId="14A520C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6、当事人起诉或者上诉，不按时预交诉讼费用，或者提出缓交、减交、免交诉讼费用申请未获批准仍不交纳诉讼费用的，人民法院将裁定按自动撤回起诉、上诉处理。当事人提出反诉，不按规定预交相应的案件受理费的，人民法院将不会审理。</w:t>
      </w:r>
    </w:p>
    <w:p w14:paraId="43F1E1B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7、当事人申请财产保全，应当按规定交纳保全费用而没有交纳的，人民法院不会对申请保全的财产采取保全措施。当事人提出财产保全申请，未按人民法院要求提供相应财产担保的，人民法院将依法驳回其申请。申请人申请财产保全有错误的，将要赔偿被申请人因财产保全所受到的损失。</w:t>
      </w:r>
    </w:p>
    <w:p w14:paraId="1647875B">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8、除法律和司法解释规定不需要提供证据证明外，当事人提出诉讼请求或者反驳对方的诉讼请求，应提供证据证明。不能提供相应的证据或者提供的证据证明不了有关事实的，可能面临不利的裁判后果。</w:t>
      </w:r>
    </w:p>
    <w:p w14:paraId="22B6656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9、当事人向人民法院提交的证据，应当在当事人协商一致并经人民法院认可或者人民法院指定的期限内完成。超过上述期限提交的，人民法院可能视其放弃了举证的权利，但属于法律和司法解释规定的新的证据除外。</w:t>
      </w:r>
    </w:p>
    <w:p w14:paraId="3241AD04">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10、当事人向人民法院提供证据，应当提供原件或者原物，特殊情况下也可以提供经人民法院核对无异的复制件或者复制品。提供的证据不符合上述条件的，可能影响证据的证明力，甚至可能不被采信。</w:t>
      </w:r>
    </w:p>
    <w:p w14:paraId="3DBB58F9">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11、除属于法律和司法解释规定的证人确有困难不能出庭的特殊情况外，当事人提供证人证言的，证人应当出庭作证并接受质询。如果证人不出庭作证，可能影响该证人证言的证据效力，甚至不被采信。</w:t>
      </w:r>
    </w:p>
    <w:p w14:paraId="272DDDA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12、当事人申请审计、评估、鉴定，未在人民法院指定期限内提出申请或者不预交审计、评估、鉴定费用，或者不提供相关材料，致使争议的事实无法通过审计、评估、鉴定结论予以认定的，可能对申请人产生不利的裁判后果。</w:t>
      </w:r>
    </w:p>
    <w:p w14:paraId="3466181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13、原告经传票传唤，无正当理由拒不到庭，或者未经法庭许可中途退出法庭的，人民法院将按自动撤回起诉处理；被告反诉的，人民法院将对反诉的内容缺席审判。被告经传票传唤，无正当理由拒不到庭，或者未经法庭许可中途退出法庭的，人民法院将缺席判决。</w:t>
      </w:r>
    </w:p>
    <w:p w14:paraId="540C4A8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14、适用简易程序审理的案件，人民法院按照当事人自己提供的送达地址送达诉讼文书时，因当事人提供的己方送达地址不准确，或者送达地址变更未及时告知人民法院，致使人民法院无法送达，造成诉讼文书被退回的，诉讼文书也视为送达。</w:t>
      </w:r>
    </w:p>
    <w:p w14:paraId="36C2AC3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15、向人民法院申请执行的期间为二年，期间从法律文书规定履行期间的最后一日起计算。超过上述期限申请的，人民法院不予受理。</w:t>
      </w:r>
    </w:p>
    <w:p w14:paraId="591E6147">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lang w:val="en-US" w:eastAsia="zh-CN"/>
        </w:rPr>
        <w:t>16、被执行人没有财产或者没有足够财产履行生效法律文书确定义务的，人民法院可能对未履行的部分裁定中止执行，申请执行人的财产权益将可能暂时无法实现或者不能完全实现。</w:t>
      </w:r>
    </w:p>
    <w:p w14:paraId="6D31EF0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17、被执行人未按生效法律文书指定期间履行给付金钱义务的，将要支付迟延履行期间的双倍债务利息。被执行人未按生效法律文书指定期间履行其他义务的，将要支付迟延履行金。</w:t>
      </w:r>
    </w:p>
    <w:p w14:paraId="38B99742">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二、委托人有责任对委托事项做出独立的判断和决策。根据律师提供的法律意见、建议、方案所做出的决定而导致的损失，非因律师错误运用法律等失职行为造成的，由委托人自行承担。</w:t>
      </w:r>
    </w:p>
    <w:p w14:paraId="675EE84D">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三、您在委托本所律师办理案件时，请注意应与本律所而非律师个人签订委托合同，律所应当盖章；交纳律师代理费时，律所应当向您出具正式发票。承办律师无权私自收案、收费和向委托人做出单方承诺。</w:t>
      </w:r>
    </w:p>
    <w:p w14:paraId="1F8D1CD3">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ascii="仿宋_GB2312" w:eastAsia="仿宋_GB2312" w:cs="Arial"/>
          <w:sz w:val="24"/>
          <w:szCs w:val="24"/>
        </w:rPr>
      </w:pPr>
      <w:r>
        <w:rPr>
          <w:rFonts w:hint="eastAsia" w:ascii="仿宋_GB2312" w:eastAsia="仿宋_GB2312" w:cs="Arial"/>
          <w:sz w:val="24"/>
          <w:szCs w:val="24"/>
        </w:rPr>
        <w:t>四、委托人所提供的案件情况应当真实，要求律师办理的事项应当合法；承办律师在法律允许的范围内必须尽职尽责完成委托事项。委托人不能要求承办律师做出关于案件处理结果的承诺，即使承诺也属无效；律师对案件的分析只能作为参考。</w:t>
      </w:r>
    </w:p>
    <w:p w14:paraId="7512C9C5">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rPr>
        <w:t>五、委托人不得以如下非正当理由要求律师所退费：①委托人同时委托其他律师事务所的律师代理的；②律师完成委托代理事项后，委托人以结果不理想或律师所收费过高为由要求退费的；③律师已经作好准备工作，委托人撤诉或对方撤诉的；④其他非因本所或者本所律师的原因，委托人无故终止合同的。</w:t>
      </w:r>
    </w:p>
    <w:p w14:paraId="52457D5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lang w:val="en-US" w:eastAsia="zh-CN"/>
        </w:rPr>
      </w:pPr>
      <w:r>
        <w:rPr>
          <w:rFonts w:hint="eastAsia" w:ascii="仿宋_GB2312" w:eastAsia="仿宋_GB2312" w:cs="Arial"/>
          <w:sz w:val="24"/>
          <w:szCs w:val="24"/>
        </w:rPr>
        <w:t>六、代理费以外的其他办案费用（如交通费、通讯费、复印费、打字费等）有两种交纳方式，一是采用包干方式以代理费名义交至律师所，由律师所出具正式发票；二是以实报实销方式与承办律师自行协商处理。</w:t>
      </w:r>
    </w:p>
    <w:p w14:paraId="3511EF7E">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r>
        <w:rPr>
          <w:rFonts w:hint="eastAsia" w:ascii="仿宋_GB2312" w:eastAsia="仿宋_GB2312" w:cs="Arial"/>
          <w:sz w:val="24"/>
          <w:szCs w:val="24"/>
          <w:lang w:val="en-US" w:eastAsia="zh-CN"/>
        </w:rPr>
        <w:t>七、</w:t>
      </w:r>
      <w:r>
        <w:rPr>
          <w:rFonts w:hint="eastAsia" w:ascii="仿宋_GB2312" w:eastAsia="仿宋_GB2312" w:cs="Arial"/>
          <w:sz w:val="24"/>
          <w:szCs w:val="24"/>
        </w:rPr>
        <w:t>如果在委托合同履行过程中承办律师有任何违规行为，或者您有任何疑问或意见，请与本律师所联系，电话：（0532）80689888。</w:t>
      </w:r>
    </w:p>
    <w:p w14:paraId="0583E0F0">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480" w:firstLineChars="200"/>
        <w:textAlignment w:val="auto"/>
        <w:outlineLvl w:val="9"/>
        <w:rPr>
          <w:rFonts w:hint="eastAsia" w:ascii="仿宋_GB2312" w:eastAsia="仿宋_GB2312" w:cs="Arial"/>
          <w:sz w:val="24"/>
          <w:szCs w:val="24"/>
        </w:rPr>
      </w:pPr>
    </w:p>
    <w:p w14:paraId="5E5FA148">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rPr>
      </w:pPr>
      <w:r>
        <w:rPr>
          <w:rFonts w:hint="eastAsia" w:ascii="仿宋_GB2312" w:eastAsia="仿宋_GB2312" w:cs="Arial"/>
          <w:b/>
          <w:bCs/>
          <w:sz w:val="28"/>
          <w:szCs w:val="28"/>
        </w:rPr>
        <w:t>委托人确认：</w:t>
      </w:r>
    </w:p>
    <w:p w14:paraId="77130BEC">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r>
        <w:rPr>
          <w:rFonts w:hint="eastAsia" w:ascii="仿宋_GB2312" w:eastAsia="仿宋_GB2312" w:cs="Arial"/>
          <w:b/>
          <w:bCs/>
          <w:sz w:val="28"/>
          <w:szCs w:val="28"/>
          <w:lang w:val="en-US" w:eastAsia="zh-CN"/>
        </w:rPr>
        <w:t>上述风险提示已阅，</w:t>
      </w:r>
      <w:r>
        <w:rPr>
          <w:rFonts w:hint="eastAsia" w:ascii="仿宋_GB2312" w:eastAsia="仿宋_GB2312" w:cs="Arial"/>
          <w:b/>
          <w:bCs/>
          <w:sz w:val="28"/>
          <w:szCs w:val="28"/>
        </w:rPr>
        <w:t>我已了解须知中所提示和说明的内容</w:t>
      </w:r>
      <w:r>
        <w:rPr>
          <w:rFonts w:hint="eastAsia" w:ascii="仿宋_GB2312" w:eastAsia="仿宋_GB2312" w:cs="Arial"/>
          <w:b/>
          <w:bCs/>
          <w:sz w:val="28"/>
          <w:szCs w:val="28"/>
          <w:lang w:eastAsia="zh-CN"/>
        </w:rPr>
        <w:t>。</w:t>
      </w:r>
    </w:p>
    <w:p w14:paraId="31C4E8B6">
      <w:pPr>
        <w:pStyle w:val="7"/>
        <w:keepNext w:val="0"/>
        <w:keepLines w:val="0"/>
        <w:pageBreakBefore w:val="0"/>
        <w:widowControl/>
        <w:kinsoku/>
        <w:wordWrap/>
        <w:overflowPunct/>
        <w:topLinePunct w:val="0"/>
        <w:autoSpaceDE/>
        <w:autoSpaceDN/>
        <w:bidi w:val="0"/>
        <w:adjustRightInd w:val="0"/>
        <w:snapToGrid w:val="0"/>
        <w:spacing w:line="100" w:lineRule="atLeast"/>
        <w:ind w:right="0" w:rightChars="0" w:firstLine="562" w:firstLineChars="200"/>
        <w:textAlignment w:val="auto"/>
        <w:outlineLvl w:val="9"/>
        <w:rPr>
          <w:rFonts w:hint="eastAsia" w:ascii="仿宋_GB2312" w:eastAsia="仿宋_GB2312" w:cs="Arial"/>
          <w:b/>
          <w:bCs/>
          <w:sz w:val="28"/>
          <w:szCs w:val="28"/>
          <w:lang w:eastAsia="zh-CN"/>
        </w:rPr>
      </w:pPr>
    </w:p>
    <w:p w14:paraId="3B209447">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3920" w:firstLineChars="1400"/>
        <w:jc w:val="left"/>
        <w:textAlignment w:val="auto"/>
        <w:outlineLvl w:val="9"/>
        <w:rPr>
          <w:rFonts w:hint="eastAsia" w:ascii="FangSong" w:hAnsi="FangSong" w:eastAsia="FangSong" w:cs="FangSong"/>
          <w:sz w:val="28"/>
          <w:szCs w:val="28"/>
        </w:rPr>
      </w:pPr>
      <w:r>
        <w:rPr>
          <w:rFonts w:hint="eastAsia" w:ascii="FangSong" w:hAnsi="FangSong" w:eastAsia="FangSong" w:cs="FangSong"/>
          <w:sz w:val="28"/>
          <w:szCs w:val="28"/>
        </w:rPr>
        <w:t>委托人签署</w:t>
      </w:r>
      <w:r>
        <w:rPr>
          <w:rFonts w:hint="eastAsia" w:ascii="FangSong" w:hAnsi="FangSong" w:eastAsia="FangSong" w:cs="FangSong"/>
          <w:sz w:val="28"/>
          <w:szCs w:val="28"/>
          <w:lang w:eastAsia="zh-CN"/>
        </w:rPr>
        <w:t>（</w:t>
      </w:r>
      <w:r>
        <w:rPr>
          <w:rFonts w:hint="eastAsia" w:ascii="FangSong" w:hAnsi="FangSong" w:eastAsia="FangSong" w:cs="FangSong"/>
          <w:sz w:val="28"/>
          <w:szCs w:val="28"/>
          <w:lang w:val="en-US" w:eastAsia="zh-CN"/>
        </w:rPr>
        <w:t>盖章</w:t>
      </w:r>
      <w:r>
        <w:rPr>
          <w:rFonts w:hint="eastAsia" w:ascii="FangSong" w:hAnsi="FangSong" w:eastAsia="FangSong" w:cs="FangSong"/>
          <w:sz w:val="28"/>
          <w:szCs w:val="28"/>
          <w:lang w:eastAsia="zh-CN"/>
        </w:rPr>
        <w:t>）</w:t>
      </w:r>
      <w:r>
        <w:rPr>
          <w:rFonts w:hint="eastAsia" w:ascii="FangSong" w:hAnsi="FangSong" w:eastAsia="FangSong" w:cs="FangSong"/>
          <w:sz w:val="28"/>
          <w:szCs w:val="28"/>
        </w:rPr>
        <w:t>：</w:t>
      </w:r>
      <w:r>
        <w:rPr>
          <w:rFonts w:hint="eastAsia" w:ascii="FangSong" w:hAnsi="FangSong" w:eastAsia="FangSong" w:cs="FangSong"/>
          <w:sz w:val="28"/>
          <w:szCs w:val="28"/>
          <w:u w:val="single"/>
        </w:rPr>
        <w:t xml:space="preserve">                  </w:t>
      </w:r>
      <w:r>
        <w:rPr>
          <w:rFonts w:hint="eastAsia" w:ascii="FangSong" w:hAnsi="FangSong" w:eastAsia="FangSong" w:cs="FangSong"/>
          <w:sz w:val="28"/>
          <w:szCs w:val="28"/>
        </w:rPr>
        <w:t xml:space="preserve">      </w:t>
      </w:r>
    </w:p>
    <w:p w14:paraId="4E78B843">
      <w:pPr>
        <w:keepNext w:val="0"/>
        <w:keepLines w:val="0"/>
        <w:pageBreakBefore w:val="0"/>
        <w:widowControl/>
        <w:kinsoku/>
        <w:wordWrap/>
        <w:overflowPunct/>
        <w:topLinePunct w:val="0"/>
        <w:autoSpaceDE/>
        <w:autoSpaceDN/>
        <w:bidi w:val="0"/>
        <w:adjustRightInd w:val="0"/>
        <w:snapToGrid w:val="0"/>
        <w:spacing w:afterAutospacing="0" w:line="360" w:lineRule="exact"/>
        <w:ind w:right="238" w:rightChars="119" w:firstLine="280" w:firstLineChars="100"/>
        <w:jc w:val="right"/>
        <w:textAlignment w:val="auto"/>
        <w:outlineLvl w:val="9"/>
        <w:rPr>
          <w:rFonts w:hint="default" w:ascii="FangSong" w:hAnsi="FangSong" w:eastAsia="FangSong" w:cs="FangSong"/>
          <w:sz w:val="28"/>
          <w:szCs w:val="28"/>
          <w:lang w:val="en-US" w:eastAsia="zh-CN"/>
        </w:rPr>
      </w:pPr>
      <w:r>
        <w:rPr>
          <w:rFonts w:hint="eastAsia" w:ascii="FangSong" w:hAnsi="FangSong" w:eastAsia="FangSong" w:cs="FangSong"/>
          <w:sz w:val="28"/>
          <w:szCs w:val="28"/>
        </w:rPr>
        <w:t>日期：{{委托日期}}</w:t>
      </w:r>
      <w:bookmarkStart w:id="0" w:name="_GoBack"/>
      <w:bookmarkEnd w:id="0"/>
    </w:p>
    <w:p w14:paraId="2E865737">
      <w:pPr>
        <w:rPr>
          <w:rFonts w:hint="default"/>
          <w:sz w:val="20"/>
          <w:szCs w:val="20"/>
          <w:lang w:val="en-US" w:eastAsia="zh-CN"/>
        </w:rPr>
      </w:pPr>
    </w:p>
    <w:p w14:paraId="1B1B1802">
      <w:pPr>
        <w:rPr>
          <w:rFonts w:hint="eastAsia"/>
          <w:lang w:val="en-US" w:eastAsia="zh-CN"/>
        </w:rPr>
      </w:pPr>
    </w:p>
    <w:sectPr>
      <w:headerReference r:id="rId3" w:type="default"/>
      <w:footerReference r:id="rId4" w:type="default"/>
      <w:footerReference r:id="rId5" w:type="even"/>
      <w:pgSz w:w="11906" w:h="16838"/>
      <w:pgMar w:top="1134" w:right="1417" w:bottom="1134" w:left="1417"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2903B">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5591175</wp:posOffset>
              </wp:positionH>
              <wp:positionV relativeFrom="paragraph">
                <wp:posOffset>-39370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1009B9B8"/>
                      </w:txbxContent>
                    </wps:txbx>
                    <wps:bodyPr vert="eaVert" wrap="square" upright="1"/>
                  </wps:wsp>
                </a:graphicData>
              </a:graphic>
            </wp:anchor>
          </w:drawing>
        </mc:Choice>
        <mc:Fallback>
          <w:pict>
            <v:shape id="文本框 1041" o:spid="_x0000_s1026" o:spt="202" type="#_x0000_t202" style="position:absolute;left:0pt;flip:x;margin-left:440.25pt;margin-top:-3.1pt;height:39.05pt;width:13.5pt;z-index:251659264;mso-width-relative:page;mso-height-relative:page;" fillcolor="#BE9D6D" filled="t" stroked="t" coordsize="21600,21600" o:gfxdata="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D/9QS2wAAAAkBAAAPAAAAAAAAAAEAIAAAACIAAABkcnMvZG93bnJldi54bWxQSwEC&#10;FAAUAAAACACHTuJAbDvkwCoCAABeBAAADgAAAAAAAAABACAAAAAqAQAAZHJzL2Uyb0RvYy54bWxQ&#10;SwUGAAAAAAYABgBZAQAAxgUAAAAA&#10;">
              <v:fill on="t" focussize="0,0"/>
              <v:stroke color="#FFFFFF" joinstyle="miter"/>
              <v:imagedata o:title=""/>
              <o:lock v:ext="edit" aspectratio="f"/>
              <v:textbox style="layout-flow:vertical-ideographic;">
                <w:txbxContent>
                  <w:p w14:paraId="1009B9B8"/>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-40005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2BAF4B66"/>
                      </w:txbxContent>
                    </wps:txbx>
                    <wps:bodyPr vert="eaVert" wrap="square" upright="1"/>
                  </wps:wsp>
                </a:graphicData>
              </a:graphic>
            </wp:anchor>
          </w:drawing>
        </mc:Choice>
        <mc:Fallback>
          <w:pict>
            <v:shape id="文本框 1043" o:spid="_x0000_s1026" o:spt="202" type="#_x0000_t202" style="position:absolute;left:0pt;flip:x;margin-left:0pt;margin-top:-3.15pt;height:39.05pt;width:13.5pt;z-index:251660288;mso-width-relative:page;mso-height-relative:page;" fillcolor="#BE9D6D" filled="t" stroked="t" coordsize="21600,21600" o:gfxdata="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Al5lCg1wAAAAUBAAAPAAAAAAAAAAEAIAAAACIAAABkcnMvZG93bnJldi54bWxQSwECFAAU&#10;AAAACACHTuJA1XSTgysCAABeBAAADgAAAAAAAAABACAAAAAmAQAAZHJzL2Uyb0RvYy54bWxQSwUG&#10;AAAAAAYABgBZAQAAwwUAAAAA&#10;">
              <v:fill on="t" focussize="0,0"/>
              <v:stroke color="#FFFFFF" joinstyle="miter"/>
              <v:imagedata o:title=""/>
              <o:lock v:ext="edit" aspectratio="f"/>
              <v:textbox style="layout-flow:vertical-ideographic;">
                <w:txbxContent>
                  <w:p w14:paraId="2BAF4B66"/>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76B5F2FE">
    <w:pPr>
      <w:pStyle w:val="5"/>
      <w:tabs>
        <w:tab w:val="clear" w:pos="4153"/>
      </w:tabs>
      <w:ind w:right="360" w:firstLine="360"/>
      <w:jc w:val="center"/>
      <w:rPr>
        <w:rFonts w:hint="eastAsia"/>
        <w:b/>
        <w:szCs w:val="21"/>
      </w:rPr>
    </w:pPr>
    <w:r>
      <w:rPr>
        <w:rFonts w:hint="eastAsia"/>
        <w:b/>
        <w:szCs w:val="21"/>
      </w:rPr>
      <w:t>地址：山东省青岛市市南区山东路6号甲 华润大厦B座29~30层</w:t>
    </w:r>
  </w:p>
  <w:p w14:paraId="1B9EF4A7">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64310" cy="21780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64310" cy="217805"/>
                      </a:xfrm>
                      <a:prstGeom prst="rect">
                        <a:avLst/>
                      </a:prstGeom>
                      <a:noFill/>
                      <a:ln>
                        <a:noFill/>
                      </a:ln>
                    </wps:spPr>
                    <wps:txbx>
                      <w:txbxContent>
                        <w:p w14:paraId="4BF41688">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15pt;width:115.3pt;mso-position-horizontal:center;mso-position-horizontal-relative:margin;z-index:251662336;mso-width-relative:page;mso-height-relative:page;" filled="f" stroked="f" coordsize="21600,21600" o:gfxdata="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xSAiTtYAAAAGAQAADwAAAAAA&#10;AAABACAAAAAiAAAAZHJzL2Rvd25yZXYueG1sUEsBAhQAFAAAAAgAh07iQG5oHtjcAQAAqAMAAA4A&#10;AAAAAAAAAQAgAAAAJQEAAGRycy9lMm9Eb2MueG1sUEsFBgAAAAAGAAYAWQEAAHMFAAAAAA==&#10;">
              <v:fill on="f" focussize="0,0"/>
              <v:stroke on="f"/>
              <v:imagedata o:title=""/>
              <o:lock v:ext="edit" aspectratio="f"/>
              <v:textbox inset="0mm,0mm,0mm,0mm">
                <w:txbxContent>
                  <w:p w14:paraId="4BF41688">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2</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联系电话：0</w:t>
    </w:r>
    <w:r>
      <w:rPr>
        <w:rFonts w:hint="eastAsia"/>
        <w:b/>
        <w:szCs w:val="21"/>
      </w:rPr>
      <w:t>532</w:t>
    </w:r>
    <w:r>
      <w:rPr>
        <w:b/>
        <w:szCs w:val="21"/>
      </w:rPr>
      <w:t>-</w:t>
    </w:r>
    <w:r>
      <w:rPr>
        <w:rFonts w:hint="eastAsia"/>
        <w:b/>
        <w:szCs w:val="21"/>
      </w:rPr>
      <w:t>80689888</w:t>
    </w:r>
    <w:r>
      <w:rPr>
        <w:b/>
        <w:szCs w:val="21"/>
      </w:rPr>
      <w:t xml:space="preserve"> / </w:t>
    </w:r>
    <w:r>
      <w:rPr>
        <w:rFonts w:hint="eastAsia"/>
        <w:b/>
        <w:szCs w:val="21"/>
      </w:rPr>
      <w:t xml:space="preserve">80681818  </w:t>
    </w:r>
    <w:r>
      <w:rPr>
        <w:b/>
        <w:szCs w:val="21"/>
      </w:rPr>
      <w:t>传真：</w:t>
    </w:r>
    <w:r>
      <w:rPr>
        <w:rFonts w:hint="eastAsia"/>
        <w:b/>
        <w:szCs w:val="21"/>
      </w:rPr>
      <w:t>0532-80681868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E48FD">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2B94F20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875EF">
    <w:pPr>
      <w:pStyle w:val="6"/>
      <w:jc w:val="right"/>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68731EF"/>
    <w:rsid w:val="06E44223"/>
    <w:rsid w:val="0B07664A"/>
    <w:rsid w:val="0B0C786C"/>
    <w:rsid w:val="0B5A5243"/>
    <w:rsid w:val="101F6C14"/>
    <w:rsid w:val="12E05ADC"/>
    <w:rsid w:val="12FB4021"/>
    <w:rsid w:val="130D3E6B"/>
    <w:rsid w:val="137F601C"/>
    <w:rsid w:val="15AF5142"/>
    <w:rsid w:val="16A122B4"/>
    <w:rsid w:val="17A67D78"/>
    <w:rsid w:val="1A353619"/>
    <w:rsid w:val="1C462F5A"/>
    <w:rsid w:val="20864A5E"/>
    <w:rsid w:val="21DA31D4"/>
    <w:rsid w:val="27FC5478"/>
    <w:rsid w:val="28B81B5C"/>
    <w:rsid w:val="29972635"/>
    <w:rsid w:val="2AD2391F"/>
    <w:rsid w:val="2D9F7708"/>
    <w:rsid w:val="2F816515"/>
    <w:rsid w:val="30185E0D"/>
    <w:rsid w:val="32E715FF"/>
    <w:rsid w:val="33541C66"/>
    <w:rsid w:val="337141A5"/>
    <w:rsid w:val="35753BC1"/>
    <w:rsid w:val="39C32337"/>
    <w:rsid w:val="3A4A19EF"/>
    <w:rsid w:val="3C0E1BB4"/>
    <w:rsid w:val="3CE45E27"/>
    <w:rsid w:val="3DFFBBB0"/>
    <w:rsid w:val="3E362B23"/>
    <w:rsid w:val="3F293605"/>
    <w:rsid w:val="3F525276"/>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65555DE"/>
    <w:rsid w:val="5778002F"/>
    <w:rsid w:val="593736E8"/>
    <w:rsid w:val="5ABD71D4"/>
    <w:rsid w:val="5C4F1C43"/>
    <w:rsid w:val="60752907"/>
    <w:rsid w:val="63DE4E87"/>
    <w:rsid w:val="644F5E22"/>
    <w:rsid w:val="64C87586"/>
    <w:rsid w:val="66526717"/>
    <w:rsid w:val="666C2236"/>
    <w:rsid w:val="680C199E"/>
    <w:rsid w:val="69292E8C"/>
    <w:rsid w:val="6A0C5B4B"/>
    <w:rsid w:val="6A45036D"/>
    <w:rsid w:val="6B522DE1"/>
    <w:rsid w:val="6C1222C2"/>
    <w:rsid w:val="6C92422D"/>
    <w:rsid w:val="6D3404E7"/>
    <w:rsid w:val="6E02061C"/>
    <w:rsid w:val="6FA7353A"/>
    <w:rsid w:val="72C418C3"/>
    <w:rsid w:val="739A6F39"/>
    <w:rsid w:val="748E5B16"/>
    <w:rsid w:val="7A6A2F19"/>
    <w:rsid w:val="7AFC7AB2"/>
    <w:rsid w:val="7C8F466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99"/>
    <w:pPr>
      <w:widowControl/>
      <w:jc w:val="left"/>
    </w:pPr>
    <w:rPr>
      <w:rFonts w:ascii="SimSun" w:hAnsi="SimSun" w:cs="SimSun"/>
      <w:kern w:val="0"/>
      <w:sz w:val="24"/>
    </w:rPr>
  </w:style>
  <w:style w:type="paragraph" w:styleId="8">
    <w:name w:val="annotation subject"/>
    <w:basedOn w:val="3"/>
    <w:next w:val="3"/>
    <w:link w:val="16"/>
    <w:qFormat/>
    <w:uiPriority w:val="0"/>
    <w:rPr>
      <w:b/>
      <w:bCs/>
    </w:r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8"/>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2</Pages>
  <Words>2393</Words>
  <Characters>2411</Characters>
  <Lines>44</Lines>
  <Paragraphs>12</Paragraphs>
  <TotalTime>0</TotalTime>
  <ScaleCrop>false</ScaleCrop>
  <LinksUpToDate>false</LinksUpToDate>
  <CharactersWithSpaces>2444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2025-12-24T00:11:17Z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923D04E136D44CB28CE895D57112AA75_13</vt:lpwstr>
  </property>
  <property fmtid="{D5CDD505-2E9C-101B-9397-08002B2CF9AE}" pid="4" name="KSOTemplateDocerSaveRecord">
    <vt:lpwstr>eyJoZGlkIjoiMWQ1ZGUxYzIwZjc4ZDQyMjI1MDU4YWI5MjY2Y2IxZDAiLCJ1c2VySWQiOiIyMzkzMjU0MTUifQ==</vt:lpwstr>
  </property>
</Properties>
</file>