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91DFA">
      <w:pPr>
        <w:pStyle w:val="7"/>
        <w:spacing w:line="400" w:lineRule="exact"/>
        <w:jc w:val="center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委托人须知</w:t>
      </w:r>
    </w:p>
    <w:p w14:paraId="66487105">
      <w:pPr>
        <w:pStyle w:val="7"/>
        <w:spacing w:line="400" w:lineRule="exact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>尊敬的委托人：</w:t>
      </w:r>
    </w:p>
    <w:p w14:paraId="2467A7D1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>感谢您委托盈科律师事务所律师承办您的法律事务，我们将竭诚为您提供服务。为了更好地维护您的合法权益，也为了使您更加了解律师工作，特提请您注意如下事项：</w:t>
      </w:r>
    </w:p>
    <w:p w14:paraId="5B989E85">
      <w:pPr>
        <w:pStyle w:val="7"/>
        <w:spacing w:line="400" w:lineRule="exact"/>
        <w:ind w:firstLine="540"/>
        <w:rPr>
          <w:rFonts w:hint="eastAsia"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一、任何诉讼（包括仲裁、非诉案件等，下同）均具有法律风险，包括败诉、无法执行、审期过长等。在聘请律师前，您应确认具有承受此等法律风险之合理预见及负担能力。</w:t>
      </w:r>
    </w:p>
    <w:p w14:paraId="79EAA2FC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二、委托人有责任对委托事项做出独立的判断和决策。根据律师提供的法律意见、建议、方案所做出的决定而导致的损失，非因律师错误运用法律等失职行为造成的，由委托人自行承担。</w:t>
      </w:r>
    </w:p>
    <w:p w14:paraId="5FE94B6E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三、您在委托本所律师办理案件时，请注意应与本律所而非律师个人签订委托合同，律所应当盖章；交纳律师</w:t>
      </w:r>
      <w:r>
        <w:rPr>
          <w:rFonts w:hint="eastAsia" w:ascii="仿宋_GB2312" w:eastAsia="仿宋_GB2312" w:cs="Arial"/>
          <w:sz w:val="28"/>
          <w:szCs w:val="28"/>
          <w:lang w:eastAsia="zh-CN"/>
        </w:rPr>
        <w:t>法律服务费/法律顾问费</w:t>
      </w:r>
      <w:r>
        <w:rPr>
          <w:rFonts w:hint="eastAsia" w:ascii="仿宋_GB2312" w:eastAsia="仿宋_GB2312" w:cs="Arial"/>
          <w:sz w:val="28"/>
          <w:szCs w:val="28"/>
        </w:rPr>
        <w:t>时，律所应当向您出具正式发票。承办律师无权私自收案、收费和向委托人做出单方承诺。</w:t>
      </w:r>
    </w:p>
    <w:p w14:paraId="0A99C70D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四、委托人所提供的案件情况应当真实，要求律师办理的事项应当合法；承办律师在法律允许的范围内必须尽职尽责地完成委托事项。委托人不能要求承办律师做出关于案件处理结果的承诺，即使承诺也属无效；律师对案件的分析只能作为参考。</w:t>
      </w:r>
    </w:p>
    <w:p w14:paraId="38C5DBA9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五、委托人不得以如下非正当理由要求律师所退费：①委托人同时委托其他律师事务所的律师代理的；②律师完成委托代理事项后，委托人以结果不理想或律师所收费过高为由要求退费的；③律师已经作好准备工作，委托人撤诉或对方撤诉的；④其他非因本所或者本所律师的原因，委托人无故终止合同的。</w:t>
      </w:r>
    </w:p>
    <w:p w14:paraId="3C4B5DB5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六、</w:t>
      </w:r>
      <w:r>
        <w:rPr>
          <w:rFonts w:hint="eastAsia" w:ascii="仿宋_GB2312" w:eastAsia="仿宋_GB2312" w:cs="Arial"/>
          <w:sz w:val="28"/>
          <w:szCs w:val="28"/>
          <w:lang w:eastAsia="zh-CN"/>
        </w:rPr>
        <w:t>法律服务费/法律顾问费</w:t>
      </w:r>
      <w:r>
        <w:rPr>
          <w:rFonts w:hint="eastAsia" w:ascii="仿宋_GB2312" w:eastAsia="仿宋_GB2312" w:cs="Arial"/>
          <w:sz w:val="28"/>
          <w:szCs w:val="28"/>
        </w:rPr>
        <w:t>以外的其他办案费用（如交通费、通讯费、复印费、打字费等）有两种交纳方式，一是采用包干方式以</w:t>
      </w:r>
      <w:r>
        <w:rPr>
          <w:rFonts w:hint="eastAsia" w:ascii="仿宋_GB2312" w:eastAsia="仿宋_GB2312" w:cs="Arial"/>
          <w:sz w:val="28"/>
          <w:szCs w:val="28"/>
          <w:lang w:eastAsia="zh-CN"/>
        </w:rPr>
        <w:t>法律服务费/法律顾问费</w:t>
      </w:r>
      <w:r>
        <w:rPr>
          <w:rFonts w:hint="eastAsia" w:ascii="仿宋_GB2312" w:eastAsia="仿宋_GB2312" w:cs="Arial"/>
          <w:sz w:val="28"/>
          <w:szCs w:val="28"/>
        </w:rPr>
        <w:t>名义交至律师所，由律师所出具正式发票；二是以实报实销方式与承办律师自行协商处理。</w:t>
      </w:r>
    </w:p>
    <w:p w14:paraId="6C8484EB">
      <w:pPr>
        <w:pStyle w:val="7"/>
        <w:spacing w:line="400" w:lineRule="exact"/>
        <w:ind w:firstLine="540"/>
        <w:rPr>
          <w:rFonts w:hint="eastAsia"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</w:t>
      </w:r>
      <w:r>
        <w:rPr>
          <w:rFonts w:hint="eastAsia" w:ascii="仿宋_GB2312" w:eastAsia="仿宋_GB2312" w:cs="Arial"/>
          <w:sz w:val="28"/>
          <w:szCs w:val="28"/>
          <w:lang w:val="en-US" w:eastAsia="zh-CN"/>
        </w:rPr>
        <w:t>七</w:t>
      </w:r>
      <w:r>
        <w:rPr>
          <w:rFonts w:hint="eastAsia" w:ascii="仿宋_GB2312" w:eastAsia="仿宋_GB2312" w:cs="Arial"/>
          <w:sz w:val="28"/>
          <w:szCs w:val="28"/>
        </w:rPr>
        <w:t>、如果在委托合同履行过程中承办律师有任何违规行为，或者您有任何疑问或意见，请与本律师所联系，电话：（0532）80689888。</w:t>
      </w:r>
    </w:p>
    <w:p w14:paraId="1CAF7E6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  <w:highlight w:val="none"/>
        </w:rPr>
        <w:t xml:space="preserve"> </w:t>
      </w:r>
      <w:r>
        <w:rPr>
          <w:rFonts w:hint="eastAsia" w:ascii="仿宋_GB2312" w:eastAsia="仿宋_GB2312" w:cs="Arial"/>
          <w:sz w:val="28"/>
          <w:szCs w:val="28"/>
          <w:highlight w:val="none"/>
          <w:lang w:eastAsia="zh-CN"/>
        </w:rPr>
        <w:t>八、</w:t>
      </w:r>
      <w:r>
        <w:rPr>
          <w:rFonts w:hint="eastAsia" w:ascii="仿宋_GB2312" w:hAnsi="SimSun" w:eastAsia="仿宋_GB2312"/>
          <w:sz w:val="28"/>
          <w:szCs w:val="28"/>
          <w:highlight w:val="none"/>
          <w:lang w:eastAsia="zh-CN"/>
        </w:rPr>
        <w:t>委托人</w:t>
      </w:r>
      <w:r>
        <w:rPr>
          <w:rFonts w:ascii="仿宋_GB2312" w:hAnsi="SimSun" w:eastAsia="仿宋_GB2312"/>
          <w:sz w:val="28"/>
          <w:szCs w:val="28"/>
          <w:highlight w:val="none"/>
        </w:rPr>
        <w:t>充分知晓北京市盈科律师事务所是一所大型律师事务所</w:t>
      </w:r>
      <w:r>
        <w:rPr>
          <w:rFonts w:hint="eastAsia" w:ascii="仿宋_GB2312" w:hAnsi="SimSun" w:eastAsia="仿宋_GB2312"/>
          <w:sz w:val="28"/>
          <w:szCs w:val="28"/>
          <w:highlight w:val="none"/>
        </w:rPr>
        <w:t>，</w:t>
      </w:r>
      <w:r>
        <w:rPr>
          <w:rFonts w:hint="eastAsia" w:ascii="仿宋_GB2312" w:hAnsi="SimSun" w:eastAsia="仿宋_GB2312"/>
          <w:sz w:val="28"/>
          <w:szCs w:val="28"/>
          <w:highlight w:val="none"/>
          <w:lang w:eastAsia="zh-CN"/>
        </w:rPr>
        <w:t>本律所</w:t>
      </w:r>
      <w:r>
        <w:rPr>
          <w:rFonts w:ascii="仿宋_GB2312" w:hAnsi="SimSun" w:eastAsia="仿宋_GB2312"/>
          <w:sz w:val="28"/>
          <w:szCs w:val="28"/>
          <w:highlight w:val="none"/>
        </w:rPr>
        <w:t>作为其分所之一</w:t>
      </w:r>
      <w:r>
        <w:rPr>
          <w:rFonts w:hint="eastAsia" w:ascii="仿宋_GB2312" w:hAnsi="SimSun" w:eastAsia="仿宋_GB2312"/>
          <w:sz w:val="28"/>
          <w:szCs w:val="28"/>
          <w:highlight w:val="none"/>
        </w:rPr>
        <w:t>，</w:t>
      </w:r>
      <w:r>
        <w:rPr>
          <w:rFonts w:ascii="仿宋_GB2312" w:hAnsi="SimSun" w:eastAsia="仿宋_GB2312"/>
          <w:sz w:val="28"/>
          <w:szCs w:val="28"/>
          <w:highlight w:val="none"/>
        </w:rPr>
        <w:t>为避免代理合同项下的委托事项给盈科体系内的其他律师</w:t>
      </w:r>
      <w:r>
        <w:rPr>
          <w:rFonts w:hint="eastAsia" w:ascii="仿宋_GB2312" w:hAnsi="SimSun" w:eastAsia="仿宋_GB2312"/>
          <w:sz w:val="28"/>
          <w:szCs w:val="28"/>
          <w:highlight w:val="none"/>
        </w:rPr>
        <w:t>（含盈科总部及各分所律师，下同）造成执业不便，</w:t>
      </w:r>
      <w:r>
        <w:rPr>
          <w:rFonts w:hint="eastAsia" w:ascii="仿宋_GB2312" w:hAnsi="SimSun" w:eastAsia="仿宋_GB2312"/>
          <w:sz w:val="28"/>
          <w:szCs w:val="28"/>
          <w:highlight w:val="none"/>
          <w:lang w:eastAsia="zh-CN"/>
        </w:rPr>
        <w:t>委托人</w:t>
      </w:r>
      <w:r>
        <w:rPr>
          <w:rFonts w:hint="eastAsia" w:ascii="仿宋_GB2312" w:hAnsi="SimSun" w:eastAsia="仿宋_GB2312"/>
          <w:sz w:val="28"/>
          <w:szCs w:val="28"/>
          <w:highlight w:val="none"/>
        </w:rPr>
        <w:t>在此明确确认：</w:t>
      </w:r>
      <w:r>
        <w:rPr>
          <w:rFonts w:hint="eastAsia" w:ascii="仿宋_GB2312" w:hAnsi="SimSun" w:eastAsia="仿宋_GB2312"/>
          <w:b/>
          <w:sz w:val="28"/>
          <w:szCs w:val="28"/>
          <w:highlight w:val="none"/>
        </w:rPr>
        <w:t>理解并认可盈科其他律师可以接受</w:t>
      </w:r>
      <w:r>
        <w:rPr>
          <w:rFonts w:hint="eastAsia" w:ascii="仿宋_GB2312" w:hAnsi="SimSun" w:eastAsia="仿宋_GB2312"/>
          <w:b/>
          <w:sz w:val="28"/>
          <w:szCs w:val="28"/>
          <w:highlight w:val="none"/>
          <w:lang w:eastAsia="zh-CN"/>
        </w:rPr>
        <w:t>委托人</w:t>
      </w:r>
      <w:r>
        <w:rPr>
          <w:rFonts w:hint="eastAsia" w:ascii="仿宋_GB2312" w:hAnsi="SimSun" w:eastAsia="仿宋_GB2312"/>
          <w:b/>
          <w:sz w:val="28"/>
          <w:szCs w:val="28"/>
          <w:highlight w:val="none"/>
        </w:rPr>
        <w:t>对方当事人其他事项的委托（若以后有此类委托出现）。</w:t>
      </w:r>
    </w:p>
    <w:p w14:paraId="1055C4AE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>委托人确认：</w:t>
      </w:r>
      <w:r>
        <w:rPr>
          <w:rFonts w:hint="eastAsia" w:ascii="仿宋_GB2312" w:eastAsia="仿宋_GB2312" w:cs="Arial"/>
          <w:sz w:val="28"/>
          <w:szCs w:val="28"/>
          <w:lang w:val="en-US" w:eastAsia="zh-CN"/>
        </w:rPr>
        <w:t>上述风险提示已阅，</w:t>
      </w:r>
      <w:r>
        <w:rPr>
          <w:rFonts w:hint="eastAsia" w:ascii="仿宋_GB2312" w:eastAsia="仿宋_GB2312" w:cs="Arial"/>
          <w:sz w:val="28"/>
          <w:szCs w:val="28"/>
        </w:rPr>
        <w:t>我已了解须知中所提示和说明的内容。</w:t>
      </w:r>
    </w:p>
    <w:p w14:paraId="6C148DC0">
      <w:pPr>
        <w:pStyle w:val="7"/>
        <w:spacing w:line="400" w:lineRule="exact"/>
        <w:ind w:left="-2620" w:leftChars="-1450" w:hanging="280" w:hangingChars="10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                                       </w:t>
      </w:r>
    </w:p>
    <w:p w14:paraId="20166478">
      <w:pPr>
        <w:pStyle w:val="7"/>
        <w:spacing w:line="400" w:lineRule="exact"/>
        <w:jc w:val="center"/>
        <w:rPr>
          <w:rFonts w:hint="eastAsia"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  <w:lang w:val="en-US" w:eastAsia="zh-CN"/>
        </w:rPr>
        <w:t xml:space="preserve">                 </w:t>
      </w:r>
      <w:r>
        <w:rPr>
          <w:rFonts w:hint="eastAsia" w:ascii="仿宋_GB2312" w:eastAsia="仿宋_GB2312" w:cs="Arial"/>
          <w:sz w:val="28"/>
          <w:szCs w:val="28"/>
        </w:rPr>
        <w:t>委托人签名</w:t>
      </w:r>
      <w:r>
        <w:rPr>
          <w:rFonts w:hint="eastAsia" w:ascii="仿宋_GB2312" w:eastAsia="仿宋_GB2312" w:cs="Arial"/>
          <w:sz w:val="28"/>
          <w:szCs w:val="28"/>
          <w:lang w:val="en-US" w:eastAsia="zh-CN"/>
        </w:rPr>
        <w:t>或</w:t>
      </w:r>
      <w:r>
        <w:rPr>
          <w:rFonts w:hint="eastAsia" w:ascii="仿宋_GB2312" w:eastAsia="仿宋_GB2312" w:cs="Arial"/>
          <w:sz w:val="28"/>
          <w:szCs w:val="28"/>
        </w:rPr>
        <w:t>签章：</w:t>
      </w:r>
    </w:p>
    <w:p w14:paraId="44C4E308">
      <w:pPr>
        <w:pStyle w:val="7"/>
        <w:spacing w:line="400" w:lineRule="exact"/>
        <w:jc w:val="center"/>
        <w:rPr>
          <w:rFonts w:hint="default"/>
          <w:lang w:val="en-US" w:eastAsia="zh-CN"/>
        </w:rPr>
      </w:pPr>
      <w:r>
        <w:rPr>
          <w:rFonts w:hint="eastAsia" w:ascii="仿宋_GB2312" w:eastAsia="仿宋_GB2312" w:cs="Arial"/>
          <w:sz w:val="28"/>
          <w:szCs w:val="28"/>
          <w:lang w:val="en-US" w:eastAsia="zh-CN"/>
        </w:rPr>
        <w:t xml:space="preserve">                            {{委托日期}}</w:t>
      </w: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FangSong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C3BFC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AB982E7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3AB982E7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11024B1A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11024B1A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2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61423118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2A0B3A67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A2DAEF">
                          <w:pPr>
                            <w:pStyle w:val="5"/>
                            <w:jc w:val="center"/>
                            <w:rPr>
                              <w:rStyle w:val="11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A2DAEF">
                    <w:pPr>
                      <w:pStyle w:val="5"/>
                      <w:jc w:val="center"/>
                      <w:rPr>
                        <w:rStyle w:val="11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E1F55">
    <w:pPr>
      <w:pStyle w:val="5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9</w:t>
    </w:r>
    <w:r>
      <w:fldChar w:fldCharType="end"/>
    </w:r>
  </w:p>
  <w:p w14:paraId="766EA308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C9293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101F6C14"/>
    <w:rsid w:val="12E05ADC"/>
    <w:rsid w:val="12FB4021"/>
    <w:rsid w:val="137F601C"/>
    <w:rsid w:val="16A122B4"/>
    <w:rsid w:val="17566E6C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0A13EC9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BE10229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jc w:val="left"/>
    </w:pPr>
    <w:rPr>
      <w:rFonts w:ascii="SimSun" w:hAnsi="SimSun" w:cs="SimSun"/>
      <w:kern w:val="0"/>
      <w:sz w:val="24"/>
    </w:rPr>
  </w:style>
  <w:style w:type="paragraph" w:styleId="8">
    <w:name w:val="annotation subject"/>
    <w:basedOn w:val="3"/>
    <w:next w:val="3"/>
    <w:link w:val="16"/>
    <w:qFormat/>
    <w:uiPriority w:val="0"/>
    <w:rPr>
      <w:b/>
      <w:bCs/>
    </w:rPr>
  </w:style>
  <w:style w:type="character" w:styleId="11">
    <w:name w:val="page number"/>
    <w:basedOn w:val="10"/>
    <w:qFormat/>
    <w:uiPriority w:val="0"/>
  </w:style>
  <w:style w:type="character" w:styleId="12">
    <w:name w:val="Hyperlink"/>
    <w:basedOn w:val="10"/>
    <w:unhideWhenUsed/>
    <w:qFormat/>
    <w:uiPriority w:val="99"/>
    <w:rPr>
      <w:color w:val="000000"/>
      <w:u w:val="non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character" w:customStyle="1" w:styleId="14">
    <w:name w:val="批注文字 Char"/>
    <w:basedOn w:val="10"/>
    <w:link w:val="3"/>
    <w:qFormat/>
    <w:uiPriority w:val="0"/>
  </w:style>
  <w:style w:type="character" w:customStyle="1" w:styleId="15">
    <w:name w:val="页脚 Char"/>
    <w:link w:val="5"/>
    <w:qFormat/>
    <w:uiPriority w:val="99"/>
    <w:rPr>
      <w:sz w:val="18"/>
      <w:szCs w:val="18"/>
    </w:rPr>
  </w:style>
  <w:style w:type="character" w:customStyle="1" w:styleId="16">
    <w:name w:val="批注主题 Char"/>
    <w:basedOn w:val="14"/>
    <w:link w:val="8"/>
    <w:qFormat/>
    <w:uiPriority w:val="0"/>
  </w:style>
  <w:style w:type="paragraph" w:customStyle="1" w:styleId="17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8">
    <w:name w:val="List Paragraph"/>
    <w:basedOn w:val="1"/>
    <w:qFormat/>
    <w:uiPriority w:val="99"/>
    <w:pPr>
      <w:ind w:firstLine="420" w:firstLineChars="200"/>
    </w:pPr>
  </w:style>
  <w:style w:type="paragraph" w:customStyle="1" w:styleId="19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937</Words>
  <Characters>947</Characters>
  <Lines>44</Lines>
  <Paragraphs>12</Paragraphs>
  <TotalTime>0</TotalTime>
  <ScaleCrop>false</ScaleCrop>
  <LinksUpToDate>false</LinksUpToDate>
  <CharactersWithSpaces>1050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2025-12-22T02:01:05Z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05E5FCD84A2144499FFD3C33DCAC9723_13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