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B84F3">
      <w:pPr>
        <w:pStyle w:val="17"/>
        <w:keepNext/>
        <w:keepLines w:val="0"/>
        <w:pageBreakBefore w:val="0"/>
        <w:widowControl/>
        <w:tabs>
          <w:tab w:val="left" w:pos="720"/>
          <w:tab w:val="center" w:pos="4564"/>
        </w:tabs>
        <w:kinsoku/>
        <w:wordWrap/>
        <w:overflowPunct/>
        <w:topLinePunct w:val="0"/>
        <w:autoSpaceDE/>
        <w:autoSpaceDN/>
        <w:bidi w:val="0"/>
        <w:adjustRightInd w:val="0"/>
        <w:snapToGrid w:val="0"/>
        <w:spacing w:before="0" w:after="157" w:afterLines="50"/>
        <w:textAlignment w:val="auto"/>
        <w:outlineLvl w:val="9"/>
        <w:rPr>
          <w:rFonts w:hint="eastAsia" w:ascii="Times New Roman" w:hAnsi="Times New Roman" w:eastAsia="SimSun" w:cs="Times New Roman"/>
          <w:b/>
          <w:bCs w:val="0"/>
          <w:sz w:val="36"/>
          <w:szCs w:val="36"/>
          <w:lang w:val="en-US" w:eastAsia="zh-CN" w:bidi="ar-SA"/>
        </w:rPr>
      </w:pPr>
      <w:r>
        <w:rPr>
          <w:rFonts w:hint="eastAsia" w:ascii="Times New Roman" w:hAnsi="Times New Roman" w:eastAsia="SimSun" w:cs="Times New Roman"/>
          <w:b/>
          <w:bCs w:val="0"/>
          <w:sz w:val="36"/>
          <w:szCs w:val="36"/>
          <w:lang w:val="en-US" w:eastAsia="zh-CN" w:bidi="ar-SA"/>
        </w:rPr>
        <w:t>民事委托代理合同（风险代理）</w:t>
      </w:r>
    </w:p>
    <w:p w14:paraId="11A49CFF">
      <w:pPr>
        <w:pStyle w:val="17"/>
        <w:keepNext/>
        <w:keepLines w:val="0"/>
        <w:pageBreakBefore w:val="0"/>
        <w:widowControl/>
        <w:tabs>
          <w:tab w:val="left" w:pos="720"/>
          <w:tab w:val="center" w:pos="4564"/>
        </w:tabs>
        <w:kinsoku/>
        <w:wordWrap/>
        <w:overflowPunct/>
        <w:topLinePunct w:val="0"/>
        <w:autoSpaceDE/>
        <w:autoSpaceDN/>
        <w:bidi w:val="0"/>
        <w:adjustRightInd w:val="0"/>
        <w:snapToGrid w:val="0"/>
        <w:spacing w:before="0" w:after="157" w:afterLines="50"/>
        <w:textAlignment w:val="auto"/>
        <w:outlineLvl w:val="9"/>
        <w:rPr>
          <w:rFonts w:hint="eastAsia" w:ascii="Times New Roman" w:hAnsi="Times New Roman" w:eastAsia="SimSun" w:cs="Times New Roman"/>
          <w:b/>
          <w:bCs w:val="0"/>
          <w:sz w:val="36"/>
          <w:szCs w:val="36"/>
          <w:lang w:val="en-US" w:eastAsia="zh-CN" w:bidi="ar-SA"/>
        </w:rPr>
      </w:pPr>
    </w:p>
    <w:p w14:paraId="36682AB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b/>
          <w:sz w:val="24"/>
          <w:szCs w:val="24"/>
        </w:rPr>
        <w:t>委托方（甲方）：</w:t>
      </w:r>
      <w:r>
        <w:rPr>
          <w:rFonts w:hint="eastAsia" w:ascii="FangSong" w:hAnsi="FangSong" w:eastAsia="FangSong" w:cs="FangSong"/>
          <w:sz w:val="24"/>
          <w:szCs w:val="24"/>
        </w:rPr>
        <w:t>{{_2委托人}}</w:t>
      </w:r>
    </w:p>
    <w:p w14:paraId="451C6CAA">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身份证号码：{{_3证件号码}}</w:t>
      </w:r>
    </w:p>
    <w:p w14:paraId="24A9C60D">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地址：{{_4地址}}</w:t>
      </w:r>
    </w:p>
    <w:p w14:paraId="6E15436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sz w:val="24"/>
          <w:szCs w:val="24"/>
          <w:lang w:val="en-US" w:eastAsia="zh-CN"/>
        </w:rPr>
        <w:t xml:space="preserve">{{_5电话}}  </w:t>
      </w:r>
      <w:r>
        <w:rPr>
          <w:rFonts w:hint="eastAsia" w:ascii="FangSong" w:hAnsi="FangSong" w:eastAsia="FangSong" w:cs="FangSong"/>
          <w:sz w:val="24"/>
          <w:szCs w:val="24"/>
        </w:rPr>
        <w:t>微信号：{{_6微信号}}</w:t>
      </w:r>
      <w:r>
        <w:rPr>
          <w:rFonts w:hint="eastAsia" w:ascii="FangSong" w:hAnsi="FangSong" w:eastAsia="FangSong" w:cs="FangSong"/>
          <w:sz w:val="24"/>
          <w:szCs w:val="24"/>
          <w:lang w:val="en-US" w:eastAsia="zh-CN"/>
        </w:rPr>
        <w:t xml:space="preserve">  电子邮箱：</w:t>
      </w:r>
      <w:r>
        <w:rPr>
          <w:rFonts w:hint="eastAsia" w:ascii="FangSong" w:hAnsi="FangSong" w:eastAsia="FangSong" w:cs="FangSong"/>
          <w:sz w:val="24"/>
          <w:szCs w:val="24"/>
        </w:rPr>
        <w:t>{{_7电子邮箱}}</w:t>
      </w:r>
    </w:p>
    <w:p w14:paraId="74C89D40">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 xml:space="preserve">            </w:t>
      </w:r>
    </w:p>
    <w:p w14:paraId="0476330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受托方（乙方）：</w:t>
      </w:r>
      <w:r>
        <w:rPr>
          <w:rFonts w:hint="eastAsia" w:ascii="FangSong" w:hAnsi="FangSong" w:eastAsia="FangSong" w:cs="FangSong"/>
          <w:sz w:val="24"/>
          <w:szCs w:val="24"/>
        </w:rPr>
        <w:t>北京市盈科（青岛）律师事务所</w:t>
      </w:r>
    </w:p>
    <w:p w14:paraId="3FAFAF5D">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u w:val="single"/>
        </w:rPr>
      </w:pPr>
      <w:r>
        <w:rPr>
          <w:rFonts w:hint="eastAsia" w:ascii="FangSong" w:hAnsi="FangSong" w:eastAsia="FangSong" w:cs="FangSong"/>
          <w:sz w:val="24"/>
          <w:szCs w:val="24"/>
        </w:rPr>
        <w:t>地址：</w:t>
      </w:r>
      <w:r>
        <w:rPr>
          <w:rFonts w:hint="eastAsia" w:ascii="FangSong" w:hAnsi="FangSong" w:eastAsia="FangSong" w:cs="FangSong"/>
          <w:bCs/>
          <w:sz w:val="24"/>
          <w:szCs w:val="24"/>
        </w:rPr>
        <w:t>青岛市市南区</w:t>
      </w:r>
      <w:r>
        <w:rPr>
          <w:rFonts w:hint="eastAsia" w:ascii="FangSong" w:hAnsi="FangSong" w:eastAsia="FangSong" w:cs="FangSong"/>
          <w:bCs/>
          <w:sz w:val="24"/>
          <w:szCs w:val="24"/>
          <w:lang w:val="en-US" w:eastAsia="zh-CN"/>
        </w:rPr>
        <w:t>山东路6号甲华润大厦B座29/30层</w:t>
      </w:r>
    </w:p>
    <w:p w14:paraId="0F19BB2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bCs/>
          <w:sz w:val="24"/>
          <w:szCs w:val="24"/>
        </w:rPr>
        <w:t>0532-80689888/</w:t>
      </w:r>
      <w:r>
        <w:rPr>
          <w:rFonts w:hint="eastAsia" w:ascii="FangSong" w:hAnsi="FangSong" w:eastAsia="FangSong" w:cs="FangSong"/>
          <w:bCs/>
          <w:sz w:val="24"/>
          <w:szCs w:val="24"/>
          <w:highlight w:val="none"/>
        </w:rPr>
        <w:t>8068181</w:t>
      </w:r>
      <w:r>
        <w:rPr>
          <w:rFonts w:hint="eastAsia" w:ascii="FangSong" w:hAnsi="FangSong" w:eastAsia="FangSong" w:cs="FangSong"/>
          <w:bCs/>
          <w:sz w:val="24"/>
          <w:szCs w:val="24"/>
          <w:highlight w:val="none"/>
          <w:lang w:val="en-US" w:eastAsia="zh-CN"/>
        </w:rPr>
        <w:t xml:space="preserve">0    </w:t>
      </w:r>
      <w:r>
        <w:rPr>
          <w:rFonts w:hint="eastAsia" w:ascii="FangSong" w:hAnsi="FangSong" w:eastAsia="FangSong" w:cs="FangSong"/>
          <w:bCs/>
          <w:sz w:val="24"/>
          <w:szCs w:val="24"/>
        </w:rPr>
        <w:t>传真：0532-80681868</w:t>
      </w:r>
      <w:r>
        <w:rPr>
          <w:rFonts w:hint="eastAsia" w:ascii="FangSong" w:hAnsi="FangSong" w:eastAsia="FangSong" w:cs="FangSong"/>
          <w:bCs/>
          <w:sz w:val="24"/>
          <w:szCs w:val="24"/>
          <w:highlight w:val="none"/>
          <w:lang w:val="en-US" w:eastAsia="zh-CN"/>
        </w:rPr>
        <w:t xml:space="preserve">    </w:t>
      </w:r>
      <w:r>
        <w:rPr>
          <w:rFonts w:hint="eastAsia" w:ascii="FangSong" w:hAnsi="FangSong" w:eastAsia="FangSong" w:cs="FangSong"/>
          <w:sz w:val="24"/>
          <w:szCs w:val="24"/>
        </w:rPr>
        <w:t>邮编：266071</w:t>
      </w:r>
    </w:p>
    <w:p w14:paraId="1DC094D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p>
    <w:p w14:paraId="0140BFB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鉴于：</w:t>
      </w:r>
    </w:p>
    <w:p w14:paraId="21DD57D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甲乙双方就</w:t>
      </w:r>
      <w:r>
        <w:rPr>
          <w:rFonts w:hint="eastAsia" w:ascii="FangSong" w:hAnsi="FangSong" w:eastAsia="FangSong" w:cs="FangSong"/>
          <w:color w:val="FF0000"/>
          <w:sz w:val="24"/>
          <w:szCs w:val="24"/>
        </w:rPr>
        <w:t>甲方与</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{{_8相对方与第三人}}</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none"/>
          <w:lang w:val="en-US" w:eastAsia="zh-CN"/>
        </w:rPr>
        <w:t>{{_9案由}}</w:t>
      </w:r>
      <w:r>
        <w:rPr>
          <w:rFonts w:hint="eastAsia" w:ascii="FangSong" w:hAnsi="FangSong" w:eastAsia="FangSong" w:cs="FangSong"/>
          <w:sz w:val="24"/>
          <w:szCs w:val="24"/>
        </w:rPr>
        <w:t>一事，已经进行了沟通，甲方决定委托乙方代理上述案件，乙方愿意为甲方代理该案件。</w:t>
      </w:r>
    </w:p>
    <w:p w14:paraId="6194E37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乙方向甲方提交了《民事诉讼风险提示书》，甲方已经详细阅读并知晓相关内容。</w:t>
      </w:r>
    </w:p>
    <w:p w14:paraId="4989075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甲、乙双方经协商一致，订立下列条款，以供双方共同遵照执行。</w:t>
      </w:r>
    </w:p>
    <w:p w14:paraId="180BE514">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第一条 乙方承办律师</w:t>
      </w:r>
    </w:p>
    <w:p w14:paraId="1C4B7CF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1.1乙方接受甲方的委托，指派本所的</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{{_10代理律师}}</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none"/>
          <w:lang w:val="en-US" w:eastAsia="zh-CN"/>
        </w:rPr>
        <w:t>等</w:t>
      </w:r>
      <w:r>
        <w:rPr>
          <w:rFonts w:hint="eastAsia" w:ascii="FangSong" w:hAnsi="FangSong" w:eastAsia="FangSong" w:cs="FangSong"/>
          <w:sz w:val="24"/>
          <w:szCs w:val="24"/>
        </w:rPr>
        <w:t>律师作为甲方委托事项的代理律师，办理本合同第二条约定的事项。甲方同意乙方律师指派其他律师助理配合完成辅助工作。</w:t>
      </w:r>
    </w:p>
    <w:p w14:paraId="559BDC6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在接受指派的律师因故不能继续甲方委托事项时，经双方友好协商，乙方可以另行指派本所其他律师继续办理约定的委托事项。乙方在另行指派律师时应充分考虑委托事项性质、甲方意愿等因素，确保服务质量。</w:t>
      </w:r>
    </w:p>
    <w:p w14:paraId="5B99F2C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color w:val="FF0000"/>
          <w:sz w:val="24"/>
          <w:szCs w:val="24"/>
        </w:rPr>
        <w:t>1.3</w:t>
      </w:r>
      <w:r>
        <w:rPr>
          <w:rFonts w:hint="eastAsia" w:ascii="FangSong" w:hAnsi="FangSong" w:eastAsia="FangSong" w:cs="FangSong"/>
          <w:color w:val="FF0000"/>
          <w:sz w:val="24"/>
          <w:szCs w:val="24"/>
          <w:lang w:val="en-US" w:eastAsia="zh-CN"/>
        </w:rPr>
        <w:t>甲方委托事务需要出庭参加法庭审理的，出庭律师以授权委托书为准。乙方可以根据案件情况，由一名律师出庭参加法庭审理。</w:t>
      </w:r>
      <w:r>
        <w:rPr>
          <w:rFonts w:hint="eastAsia" w:ascii="FangSong" w:hAnsi="FangSong" w:eastAsia="FangSong" w:cs="FangSong"/>
          <w:color w:val="FF0000"/>
          <w:sz w:val="24"/>
          <w:szCs w:val="24"/>
          <w:u w:val="none"/>
          <w:lang w:val="en-US" w:eastAsia="zh-CN"/>
        </w:rPr>
        <w:t>如因特殊情况需更换出庭律师，</w:t>
      </w:r>
      <w:r>
        <w:rPr>
          <w:rFonts w:hint="eastAsia" w:ascii="FangSong" w:hAnsi="FangSong" w:eastAsia="FangSong" w:cs="FangSong"/>
          <w:color w:val="FF0000"/>
          <w:sz w:val="24"/>
          <w:szCs w:val="24"/>
        </w:rPr>
        <w:t>甲方应及时为乙方另行指派的律师出具委托授权手续</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w:t>
      </w:r>
    </w:p>
    <w:p w14:paraId="1CE21B23">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第二条 委托事项及委托权限</w:t>
      </w:r>
    </w:p>
    <w:p w14:paraId="791DFE2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2.1甲方委托乙方代理如下第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项事宜：</w:t>
      </w:r>
    </w:p>
    <w:p w14:paraId="14C290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2.1.1代理一审诉讼；</w:t>
      </w:r>
    </w:p>
    <w:p w14:paraId="408DA0F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2.1.2代理二审诉讼；</w:t>
      </w:r>
    </w:p>
    <w:p w14:paraId="7667F73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2.1.3代理申请执行；</w:t>
      </w:r>
    </w:p>
    <w:p w14:paraId="060D903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2.1.4代理抗诉；</w:t>
      </w:r>
    </w:p>
    <w:p w14:paraId="3AB802C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2.1.5代理再审；</w:t>
      </w:r>
    </w:p>
    <w:p w14:paraId="30F5071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2.1.6代理劳动</w:t>
      </w:r>
      <w:r>
        <w:rPr>
          <w:rFonts w:hint="eastAsia" w:ascii="FangSong" w:hAnsi="FangSong" w:eastAsia="FangSong" w:cs="FangSong"/>
          <w:sz w:val="24"/>
          <w:szCs w:val="24"/>
          <w:lang w:eastAsia="zh-CN"/>
        </w:rPr>
        <w:t>、</w:t>
      </w:r>
      <w:r>
        <w:rPr>
          <w:rFonts w:hint="eastAsia" w:ascii="FangSong" w:hAnsi="FangSong" w:eastAsia="FangSong" w:cs="FangSong"/>
          <w:sz w:val="24"/>
          <w:szCs w:val="24"/>
        </w:rPr>
        <w:t>人事仲裁；</w:t>
      </w:r>
    </w:p>
    <w:p w14:paraId="50E586D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2.1.7代理仲裁；</w:t>
      </w:r>
    </w:p>
    <w:p w14:paraId="047C53F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2.1.8代理复议；</w:t>
      </w:r>
    </w:p>
    <w:p w14:paraId="799B8E5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2.1.9代理听证</w:t>
      </w:r>
      <w:r>
        <w:rPr>
          <w:rFonts w:hint="eastAsia" w:ascii="FangSong" w:hAnsi="FangSong" w:eastAsia="FangSong" w:cs="FangSong"/>
          <w:sz w:val="24"/>
          <w:szCs w:val="24"/>
          <w:lang w:eastAsia="zh-CN"/>
        </w:rPr>
        <w:t>；</w:t>
      </w:r>
    </w:p>
    <w:p w14:paraId="13A956A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lang w:val="en-US" w:eastAsia="zh-CN"/>
        </w:rPr>
        <w:t>2.1.10其他</w:t>
      </w:r>
      <w:r>
        <w:rPr>
          <w:rFonts w:hint="eastAsia" w:ascii="FangSong" w:hAnsi="FangSong" w:eastAsia="FangSong" w:cs="FangSong"/>
          <w:color w:val="FF0000"/>
          <w:sz w:val="24"/>
          <w:szCs w:val="24"/>
          <w:highlight w:val="none"/>
          <w:u w:val="single"/>
          <w:lang w:val="en-US" w:eastAsia="zh-CN"/>
        </w:rPr>
        <w:t xml:space="preserve">              </w:t>
      </w:r>
      <w:r>
        <w:rPr>
          <w:rFonts w:hint="eastAsia" w:ascii="FangSong" w:hAnsi="FangSong" w:eastAsia="FangSong" w:cs="FangSong"/>
          <w:color w:val="FF0000"/>
          <w:sz w:val="24"/>
          <w:szCs w:val="24"/>
          <w:highlight w:val="none"/>
          <w:u w:val="none"/>
          <w:lang w:val="en-US" w:eastAsia="zh-CN"/>
        </w:rPr>
        <w:t>；</w:t>
      </w:r>
    </w:p>
    <w:p w14:paraId="20350C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u w:val="none"/>
          <w:lang w:val="en-US" w:eastAsia="zh-CN"/>
        </w:rPr>
        <w:t>前述各项代理事宜，乙方律师所进行的案件沟通、制作接案文书、整理证据、查阅法律、日常案件沟通、起草相关文书，就程序性工作沟通司法机关、仲裁机关、复议机关等工作，均构成代理工作的一部分。</w:t>
      </w:r>
    </w:p>
    <w:p w14:paraId="3973F4B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2.2甲乙双方可以根据需要，经协商一致调整、变更约定的委托事项。</w:t>
      </w:r>
    </w:p>
    <w:p w14:paraId="21E588E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2.3乙方律师的代理权限以甲方出具的授权委托书为准。</w:t>
      </w:r>
    </w:p>
    <w:p w14:paraId="2FE1C18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第三条 禁止承诺或担保</w:t>
      </w:r>
    </w:p>
    <w:p w14:paraId="7E2B940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本合同中的任何约定以及乙方律师在接受委托前或接受委托后对委托事项作出的法律分析、诉讼方案或法律建议、结果预测等，均不构成乙方或乙方律师对甲方委托事项处理结果的承诺或担保。</w:t>
      </w:r>
    </w:p>
    <w:p w14:paraId="55B14F62">
      <w:pPr>
        <w:keepNext w:val="0"/>
        <w:keepLines w:val="0"/>
        <w:pageBreakBefore w:val="0"/>
        <w:widowControl w:val="0"/>
        <w:numPr>
          <w:ilvl w:val="0"/>
          <w:numId w:val="0"/>
        </w:numPr>
        <w:tabs>
          <w:tab w:val="left" w:pos="1080"/>
        </w:tabs>
        <w:kinsoku/>
        <w:wordWrap/>
        <w:overflowPunct/>
        <w:topLinePunct w:val="0"/>
        <w:autoSpaceDE/>
        <w:autoSpaceDN/>
        <w:bidi w:val="0"/>
        <w:snapToGrid w:val="0"/>
        <w:spacing w:afterAutospacing="0" w:line="360" w:lineRule="exact"/>
        <w:ind w:left="0" w:leftChars="0" w:firstLine="482" w:firstLineChars="200"/>
        <w:jc w:val="both"/>
        <w:textAlignment w:val="auto"/>
        <w:rPr>
          <w:rFonts w:hint="eastAsia" w:ascii="FangSong" w:hAnsi="FangSong" w:eastAsia="FangSong" w:cs="FangSong"/>
          <w:b/>
          <w:sz w:val="24"/>
          <w:szCs w:val="24"/>
        </w:rPr>
      </w:pPr>
      <w:r>
        <w:rPr>
          <w:rFonts w:hint="eastAsia" w:ascii="FangSong" w:hAnsi="FangSong" w:eastAsia="FangSong" w:cs="FangSong"/>
          <w:b/>
          <w:sz w:val="24"/>
          <w:szCs w:val="24"/>
          <w:highlight w:val="none"/>
          <w:lang w:val="en-US" w:eastAsia="zh-CN"/>
        </w:rPr>
        <w:t>乙方</w:t>
      </w:r>
      <w:r>
        <w:rPr>
          <w:rFonts w:hint="eastAsia" w:ascii="FangSong" w:hAnsi="FangSong" w:eastAsia="FangSong" w:cs="FangSong"/>
          <w:b/>
          <w:sz w:val="24"/>
          <w:szCs w:val="24"/>
          <w:highlight w:val="none"/>
        </w:rPr>
        <w:t>承办律师就委托事项处理结果对甲方作出的任何承诺或担保对乙方均无约束力</w:t>
      </w:r>
      <w:r>
        <w:rPr>
          <w:rFonts w:hint="eastAsia" w:ascii="FangSong" w:hAnsi="FangSong" w:eastAsia="FangSong" w:cs="FangSong"/>
          <w:b/>
          <w:sz w:val="24"/>
          <w:szCs w:val="24"/>
          <w:highlight w:val="none"/>
          <w:lang w:eastAsia="zh-CN"/>
        </w:rPr>
        <w:t>。</w:t>
      </w:r>
    </w:p>
    <w:p w14:paraId="366B6AEE">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第四条 甲方义务</w:t>
      </w:r>
    </w:p>
    <w:p w14:paraId="0B4019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4.1甲方应当真实、详尽、及时地向乙方律师叙述案情，提供与委托代理事务有关的全部证据材料、文件及其它事实情节和背景资料，并对证据材料的真实性、合法性负责；若甲方隐瞒证据材料、伪造证据材料和案件事实，因此产生的一切不利后果由甲方承担。</w:t>
      </w:r>
    </w:p>
    <w:p w14:paraId="613FD1A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4.2及时为乙方律师出具授权文书，及时审核、确认、签署、传送乙方律师制作的法律文件，积极、主动地配合乙方律师工作。甲方对乙方律师提出的要求应当明确、合理、合法，否则甲方应承担由此引致的所有责任。</w:t>
      </w:r>
    </w:p>
    <w:p w14:paraId="0BDA3D9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4.3承担在办理委托事项过程中发生的调查、勘验、鉴定、评估、公证等各项实际费用。</w:t>
      </w:r>
    </w:p>
    <w:p w14:paraId="0546CE9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4.4不得要求乙方或乙方律师运用自身社会影响或社会关系提供超出法律服务范畴的其他服务。也不得要求乙方律师为其提供违反法律、法规、社会公德以及</w:t>
      </w:r>
      <w:r>
        <w:rPr>
          <w:rFonts w:hint="eastAsia" w:ascii="FangSong" w:hAnsi="FangSong" w:eastAsia="FangSong" w:cs="FangSong"/>
          <w:sz w:val="24"/>
          <w:szCs w:val="24"/>
          <w:lang w:eastAsia="zh-CN"/>
        </w:rPr>
        <w:t>其他</w:t>
      </w:r>
      <w:r>
        <w:rPr>
          <w:rFonts w:hint="eastAsia" w:ascii="FangSong" w:hAnsi="FangSong" w:eastAsia="FangSong" w:cs="FangSong"/>
          <w:sz w:val="24"/>
          <w:szCs w:val="24"/>
        </w:rPr>
        <w:t>损害社会公共利益或他人合法权益的服务。</w:t>
      </w:r>
    </w:p>
    <w:p w14:paraId="64A6F86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5</w:t>
      </w:r>
      <w:r>
        <w:rPr>
          <w:rFonts w:hint="eastAsia" w:ascii="FangSong" w:hAnsi="FangSong" w:eastAsia="FangSong" w:cs="FangSong"/>
          <w:sz w:val="24"/>
          <w:szCs w:val="24"/>
        </w:rPr>
        <w:t>为乙方律师办理委托事项预留合理时间，以方便乙方律师作出相应安排。</w:t>
      </w:r>
    </w:p>
    <w:p w14:paraId="29AA860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6</w:t>
      </w:r>
      <w:r>
        <w:rPr>
          <w:rFonts w:hint="eastAsia" w:ascii="FangSong" w:hAnsi="FangSong" w:eastAsia="FangSong" w:cs="FangSong"/>
          <w:sz w:val="24"/>
          <w:szCs w:val="24"/>
        </w:rPr>
        <w:t>按本合同约定的时间和金额向乙方支付代理费。因不可归责于乙方的事由，委托合同解除或者委托事务不能完成的或者委托代理事项在乙方代理的法律程序结束后又重新启动的，乙方收取的律师代理费不予退还。</w:t>
      </w:r>
    </w:p>
    <w:p w14:paraId="6EE2755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7</w:t>
      </w:r>
      <w:r>
        <w:rPr>
          <w:rFonts w:hint="eastAsia" w:ascii="FangSong" w:hAnsi="FangSong" w:eastAsia="FangSong" w:cs="FangSong"/>
          <w:sz w:val="24"/>
          <w:szCs w:val="24"/>
        </w:rPr>
        <w:t>甲方有责任对委托代理事项作出独立的判断、决策，并承担相应的经济与法律责任。若甲方根据乙方律师提供的法律意见、建议所作出的决定而出现的后果，非因乙方律师故意或重大过失的严重失职行为造成的，由甲方独立承担相应的经济与法律责任。</w:t>
      </w:r>
    </w:p>
    <w:p w14:paraId="1CFE689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8</w:t>
      </w:r>
      <w:r>
        <w:rPr>
          <w:rFonts w:hint="eastAsia" w:ascii="FangSong" w:hAnsi="FangSong" w:eastAsia="FangSong" w:cs="FangSong"/>
          <w:sz w:val="24"/>
          <w:szCs w:val="24"/>
        </w:rPr>
        <w:t>甲方指定</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 xml:space="preserve">{{_2委托人}} </w:t>
      </w:r>
      <w:r>
        <w:rPr>
          <w:rFonts w:hint="eastAsia" w:ascii="FangSong" w:hAnsi="FangSong" w:eastAsia="FangSong" w:cs="FangSong"/>
          <w:color w:val="FF0000"/>
          <w:sz w:val="24"/>
          <w:szCs w:val="24"/>
          <w:u w:val="none"/>
          <w:lang w:val="en-US" w:eastAsia="zh-CN"/>
        </w:rPr>
        <w:t>（手机号码</w:t>
      </w:r>
      <w:r>
        <w:rPr>
          <w:rFonts w:hint="eastAsia" w:ascii="FangSong" w:hAnsi="FangSong" w:eastAsia="FangSong" w:cs="FangSong"/>
          <w:color w:val="FF0000"/>
          <w:sz w:val="24"/>
          <w:szCs w:val="24"/>
          <w:u w:val="single"/>
          <w:lang w:val="en-US" w:eastAsia="zh-CN"/>
        </w:rPr>
        <w:t xml:space="preserve">： {{_5电话}} </w:t>
      </w:r>
      <w:r>
        <w:rPr>
          <w:rFonts w:hint="eastAsia" w:ascii="FangSong" w:hAnsi="FangSong" w:eastAsia="FangSong" w:cs="FangSong"/>
          <w:color w:val="FF0000"/>
          <w:sz w:val="24"/>
          <w:szCs w:val="24"/>
          <w:u w:val="none"/>
          <w:lang w:val="en-US" w:eastAsia="zh-CN"/>
        </w:rPr>
        <w:t>，电子邮箱：</w:t>
      </w:r>
      <w:r>
        <w:rPr>
          <w:rFonts w:hint="eastAsia" w:ascii="FangSong" w:hAnsi="FangSong" w:eastAsia="FangSong" w:cs="FangSong"/>
          <w:color w:val="FF0000"/>
          <w:sz w:val="24"/>
          <w:szCs w:val="24"/>
          <w:u w:val="single"/>
          <w:lang w:val="en-US" w:eastAsia="zh-CN"/>
        </w:rPr>
        <w:t xml:space="preserve"> {{_7电子邮箱}}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color w:val="FF0000"/>
          <w:sz w:val="24"/>
          <w:szCs w:val="24"/>
        </w:rPr>
        <w:t>微信号：</w:t>
      </w:r>
      <w:r>
        <w:rPr>
          <w:rFonts w:hint="eastAsia" w:ascii="FangSong" w:hAnsi="FangSong" w:eastAsia="FangSong" w:cs="FangSong"/>
          <w:color w:val="FF0000"/>
          <w:sz w:val="24"/>
          <w:szCs w:val="24"/>
          <w:u w:val="single"/>
          <w:lang w:val="en-US" w:eastAsia="zh-CN"/>
        </w:rPr>
        <w:t xml:space="preserve"> {{_6微信号}} </w:t>
      </w:r>
      <w:r>
        <w:rPr>
          <w:rFonts w:hint="eastAsia" w:ascii="FangSong" w:hAnsi="FangSong" w:eastAsia="FangSong" w:cs="FangSong"/>
          <w:color w:val="FF0000"/>
          <w:sz w:val="24"/>
          <w:szCs w:val="24"/>
          <w:u w:val="none"/>
          <w:lang w:val="en-US" w:eastAsia="zh-CN"/>
        </w:rPr>
        <w:t>地址：</w:t>
      </w:r>
      <w:r>
        <w:rPr>
          <w:rFonts w:hint="eastAsia" w:ascii="FangSong" w:hAnsi="FangSong" w:eastAsia="FangSong" w:cs="FangSong"/>
          <w:color w:val="FF0000"/>
          <w:sz w:val="24"/>
          <w:szCs w:val="24"/>
          <w:u w:val="single"/>
          <w:lang w:val="en-US" w:eastAsia="zh-CN"/>
        </w:rPr>
        <w:t xml:space="preserve"> {{_4地址}}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作为甲方与乙方律师的联系人，负责向乙方律师转达甲方的指示、要求和介绍案情、提供证据材料、案件事实以及转达乙方律师代理情况、需要答复和解决的问题等</w:t>
      </w:r>
      <w:r>
        <w:rPr>
          <w:rFonts w:hint="eastAsia" w:ascii="FangSong" w:hAnsi="FangSong" w:eastAsia="FangSong" w:cs="FangSong"/>
          <w:sz w:val="24"/>
          <w:szCs w:val="24"/>
          <w:lang w:eastAsia="zh-CN"/>
        </w:rPr>
        <w:t>，</w:t>
      </w:r>
      <w:r>
        <w:rPr>
          <w:rFonts w:hint="eastAsia" w:ascii="FangSong" w:hAnsi="FangSong" w:eastAsia="FangSong" w:cs="FangSong"/>
          <w:b/>
          <w:bCs/>
          <w:sz w:val="24"/>
          <w:szCs w:val="24"/>
          <w:lang w:val="en-US" w:eastAsia="zh-Hans"/>
        </w:rPr>
        <w:t>同时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乙方向甲方指定联系人送达相关案卷材料</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包括但不限于裁判文书</w:t>
      </w:r>
      <w:r>
        <w:rPr>
          <w:rFonts w:hint="eastAsia" w:ascii="FangSong" w:hAnsi="FangSong" w:eastAsia="FangSong" w:cs="FangSong"/>
          <w:b/>
          <w:bCs/>
          <w:sz w:val="24"/>
          <w:szCs w:val="24"/>
        </w:rPr>
        <w:t>等）</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视同向甲方送达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按照送达</w:t>
      </w:r>
      <w:r>
        <w:rPr>
          <w:rFonts w:hint="eastAsia" w:ascii="FangSong" w:hAnsi="FangSong" w:eastAsia="FangSong" w:cs="FangSong"/>
          <w:b/>
          <w:bCs/>
          <w:sz w:val="24"/>
          <w:szCs w:val="24"/>
          <w:lang w:val="en-US" w:eastAsia="zh-CN"/>
        </w:rPr>
        <w:t>方式及</w:t>
      </w:r>
      <w:r>
        <w:rPr>
          <w:rFonts w:hint="eastAsia" w:ascii="FangSong" w:hAnsi="FangSong" w:eastAsia="FangSong" w:cs="FangSong"/>
          <w:b/>
          <w:bCs/>
          <w:sz w:val="24"/>
          <w:szCs w:val="24"/>
          <w:lang w:val="en-US" w:eastAsia="zh-Hans"/>
        </w:rPr>
        <w:t>地址发出通知的</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无论是否签收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何人签收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均视为送达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不影响送达效力</w:t>
      </w:r>
      <w:r>
        <w:rPr>
          <w:rFonts w:hint="eastAsia" w:ascii="FangSong" w:hAnsi="FangSong" w:eastAsia="FangSong" w:cs="FangSong"/>
          <w:b/>
          <w:bCs/>
          <w:sz w:val="24"/>
          <w:szCs w:val="24"/>
        </w:rPr>
        <w:t>）</w:t>
      </w:r>
      <w:r>
        <w:rPr>
          <w:rFonts w:hint="eastAsia" w:ascii="FangSong" w:hAnsi="FangSong" w:eastAsia="FangSong" w:cs="FangSong"/>
          <w:b/>
          <w:bCs/>
          <w:sz w:val="24"/>
          <w:szCs w:val="24"/>
          <w:lang w:eastAsia="zh-CN"/>
        </w:rPr>
        <w:t>。</w:t>
      </w:r>
      <w:r>
        <w:rPr>
          <w:rFonts w:hint="eastAsia" w:ascii="FangSong" w:hAnsi="FangSong" w:eastAsia="FangSong" w:cs="FangSong"/>
          <w:sz w:val="24"/>
          <w:szCs w:val="24"/>
        </w:rPr>
        <w:t>甲方更换指定联系人的，应当提前书面通知乙方。</w:t>
      </w:r>
    </w:p>
    <w:p w14:paraId="012A5C4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9</w:t>
      </w:r>
      <w:r>
        <w:rPr>
          <w:rFonts w:hint="eastAsia" w:ascii="FangSong" w:hAnsi="FangSong" w:eastAsia="FangSong" w:cs="FangSong"/>
          <w:sz w:val="24"/>
          <w:szCs w:val="24"/>
        </w:rPr>
        <w:t>甲方保证，在与乙方签订本委托合同时，提供的邮寄地址，传真，电话（包括手机号码和座机电话），电子邮箱等联系方式均真实</w:t>
      </w:r>
      <w:r>
        <w:rPr>
          <w:rFonts w:hint="eastAsia" w:ascii="FangSong" w:hAnsi="FangSong" w:eastAsia="FangSong" w:cs="FangSong"/>
          <w:sz w:val="24"/>
          <w:szCs w:val="24"/>
          <w:lang w:eastAsia="zh-CN"/>
        </w:rPr>
        <w:t>、</w:t>
      </w:r>
      <w:r>
        <w:rPr>
          <w:rFonts w:hint="eastAsia" w:ascii="FangSong" w:hAnsi="FangSong" w:eastAsia="FangSong" w:cs="FangSong"/>
          <w:sz w:val="24"/>
          <w:szCs w:val="24"/>
        </w:rPr>
        <w:t>准确，乙方或司法机关可以通过以上联系方式获得有效的联系和送达，如果变更，甲方应在变更之日起三日内告知乙方律师，否则，因以上联系方式的错误致使乙方律师或司法机关无法送达或者甲方未能收到相关法律文书和通知，由此造成的不利后果均由甲方承担。</w:t>
      </w:r>
    </w:p>
    <w:p w14:paraId="6B193B2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第五条 乙方义务</w:t>
      </w:r>
    </w:p>
    <w:p w14:paraId="5D7ADFA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5.1充分运用自身法律知识、社会经验和技能完成本合同约定的法律服务，维护甲方的合法权益。</w:t>
      </w:r>
    </w:p>
    <w:p w14:paraId="73425E4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5.2乙方应当遵循诚实守信的原则，依法告知甲方所委托事务可能出现的法律风险</w:t>
      </w:r>
      <w:r>
        <w:rPr>
          <w:rFonts w:hint="eastAsia" w:ascii="FangSong" w:hAnsi="FangSong" w:eastAsia="FangSong" w:cs="FangSong"/>
          <w:sz w:val="24"/>
          <w:szCs w:val="24"/>
          <w:lang w:eastAsia="zh-CN"/>
        </w:rPr>
        <w:t>。</w:t>
      </w:r>
    </w:p>
    <w:p w14:paraId="4E1DBEB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5.3乙方应当根据法律规定的时限、时效及时提交证据，按时出庭，及时办理受委托事务；及时告知甲方有关代理工作的情况，对甲方了解委托事务情况的正当要求，应当尽快给予答复。</w:t>
      </w:r>
    </w:p>
    <w:p w14:paraId="66EAB61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5.4不得滥用代理权，也不得超越代理权行事。</w:t>
      </w:r>
    </w:p>
    <w:p w14:paraId="3DF8529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5.5严格遵守律师职业道德，不得从事违反法律法规和律师执业纪律的行为。</w:t>
      </w:r>
    </w:p>
    <w:p w14:paraId="39697A8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5.6在办理委托事项期间及委托事项办理完结后，不得泄露因办理委托事项而获知的甲方商业秘密，不得向任何第三方披露，但由于办理受托事务所需，向司法机构和办案人员以及向有关部门反映案情提交和陈述的除外。</w:t>
      </w:r>
    </w:p>
    <w:p w14:paraId="79079C9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5.7不得运用自身的社会关系或其他影响力，对委托事项的处理结果施加不当影响。</w:t>
      </w:r>
    </w:p>
    <w:p w14:paraId="22D8F9E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5.8乙方对甲方委托业务应当单独建档。乙方不得收留甲方的原始证据材料、法律文件和财物，对因办理委托事务需要接收的，应妥善保管并与甲方办理详细的交接手续。上述原始证据材料、法律文件和财物使用完毕后应及时返还甲方，并与甲方办理详细交接手续。</w:t>
      </w:r>
    </w:p>
    <w:p w14:paraId="49B31426">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第六条 代理费及相关费用</w:t>
      </w:r>
    </w:p>
    <w:p w14:paraId="5A9B838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根据甲方提供的案件信息、案件性质、案件的难易复杂程度、律师办理案件的工作量等因素及乙方的收费标准，就甲方应向乙方支付的律师代理费及相关费用达成如下条款：</w:t>
      </w:r>
    </w:p>
    <w:p w14:paraId="2BF134C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color w:val="FF0000"/>
          <w:sz w:val="24"/>
          <w:szCs w:val="24"/>
          <w:lang w:val="en-US" w:eastAsia="zh-CN"/>
        </w:rPr>
      </w:pPr>
      <w:r>
        <w:rPr>
          <w:rFonts w:hint="eastAsia" w:ascii="FangSong" w:hAnsi="FangSong" w:eastAsia="FangSong" w:cs="FangSong"/>
          <w:b/>
          <w:bCs/>
          <w:color w:val="FF0000"/>
          <w:sz w:val="24"/>
          <w:szCs w:val="24"/>
          <w:lang w:val="en-US" w:eastAsia="zh-CN"/>
        </w:rPr>
        <w:t>6.1经甲乙双方友好协商，在充分考虑以下因素的基础上，风险代理律师费为：</w:t>
      </w:r>
      <w:r>
        <w:rPr>
          <w:rFonts w:hint="eastAsia" w:ascii="FangSong" w:hAnsi="FangSong" w:eastAsia="FangSong" w:cs="FangSong"/>
          <w:b/>
          <w:bCs/>
          <w:color w:val="FF0000"/>
          <w:sz w:val="24"/>
          <w:szCs w:val="24"/>
          <w:u w:val="single"/>
          <w:lang w:val="en-US" w:eastAsia="zh-CN"/>
        </w:rPr>
        <w:t xml:space="preserve">       </w:t>
      </w:r>
      <w:r>
        <w:rPr>
          <w:rFonts w:hint="eastAsia" w:ascii="FangSong" w:hAnsi="FangSong" w:eastAsia="FangSong" w:cs="FangSong"/>
          <w:b/>
          <w:bCs/>
          <w:color w:val="FF0000"/>
          <w:sz w:val="24"/>
          <w:szCs w:val="24"/>
          <w:lang w:val="en-US" w:eastAsia="zh-CN"/>
        </w:rPr>
        <w:t xml:space="preserve"> 。</w:t>
      </w:r>
    </w:p>
    <w:p w14:paraId="0AD93A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6.1.1耗费的工作时间；</w:t>
      </w:r>
    </w:p>
    <w:p w14:paraId="1A9A4BF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6.1.2法律事务的难易程度；</w:t>
      </w:r>
    </w:p>
    <w:p w14:paraId="6EFC449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6.1.3委托人的承受能力；</w:t>
      </w:r>
    </w:p>
    <w:p w14:paraId="2F7ED9E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6.1.4律师可能承担的风险和责任；</w:t>
      </w:r>
    </w:p>
    <w:p w14:paraId="6F03D3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6.1.5律师的社会信誉和工作水平。</w:t>
      </w:r>
    </w:p>
    <w:p w14:paraId="31FC0B7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应依本合同约定，按时、足额向乙方支付律师代理费，否则，乙方不承担本合同项下的合同义务，由此造成的后果，乙方概不承担责任。若甲方逾期五日未支付相应律师代理费，乙方有权单方解除本合同，终止相关代理工作，已经交付的律师代理费不予退还。</w:t>
      </w:r>
    </w:p>
    <w:p w14:paraId="7343AAA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中华人民共和国律师法》及司法部关于律师执业纪律、执业道德的规定，执业律师不得直接向委托人收取律师代理费。甲方已知悉前述规定。若甲方以现金方式向乙方支付律师代理费的，应直接缴纳至北京市盈科（青岛）律师事务所财务部，并由乙方开具律师代理费发票给甲方。</w:t>
      </w:r>
    </w:p>
    <w:p w14:paraId="5EE32B6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6.2律师代理费支付方式和支付时间</w:t>
      </w:r>
    </w:p>
    <w:p w14:paraId="603E835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6.2.1支付方式，按以下第</w:t>
      </w:r>
      <w:r>
        <w:rPr>
          <w:rFonts w:hint="eastAsia" w:ascii="仿宋_GB2312" w:hAnsi="SimSun" w:eastAsia="仿宋_GB2312" w:cs="Times New Roman"/>
          <w:color w:val="auto"/>
          <w:sz w:val="24"/>
          <w:szCs w:val="24"/>
          <w:u w:val="single"/>
          <w:lang w:val="en-US" w:eastAsia="zh-CN"/>
        </w:rPr>
        <w:t xml:space="preserve">       </w:t>
      </w:r>
      <w:r>
        <w:rPr>
          <w:rFonts w:hint="eastAsia" w:ascii="FangSong" w:hAnsi="FangSong" w:eastAsia="FangSong" w:cs="FangSong"/>
          <w:sz w:val="24"/>
          <w:szCs w:val="24"/>
        </w:rPr>
        <w:t>种方式支付：</w:t>
      </w:r>
    </w:p>
    <w:p w14:paraId="747943F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6.2.1.1现金支付；</w:t>
      </w:r>
    </w:p>
    <w:p w14:paraId="7C8E6A1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6.2.1.2刷卡（甲方需承担因刷卡产生的相关费用）；</w:t>
      </w:r>
    </w:p>
    <w:p w14:paraId="027555A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6.2.1.3汇入乙方下列账户中：</w:t>
      </w:r>
    </w:p>
    <w:p w14:paraId="78635CC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乙方户名：北京市盈科（青岛）律师事务所</w:t>
      </w:r>
    </w:p>
    <w:p w14:paraId="7CB3882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开户行：中信银行青岛分行</w:t>
      </w:r>
      <w:r>
        <w:rPr>
          <w:rFonts w:hint="eastAsia" w:ascii="FangSong" w:hAnsi="FangSong" w:eastAsia="FangSong" w:cs="FangSong"/>
          <w:sz w:val="24"/>
          <w:szCs w:val="24"/>
          <w:lang w:val="en-US" w:eastAsia="zh-CN"/>
        </w:rPr>
        <w:t>营业部</w:t>
      </w:r>
    </w:p>
    <w:p w14:paraId="355F3FF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账号：7371 0601 8280 0226</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262</w:t>
      </w:r>
    </w:p>
    <w:p w14:paraId="0FC8D8D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color w:val="FF0000"/>
          <w:sz w:val="24"/>
          <w:szCs w:val="24"/>
        </w:rPr>
        <w:t>6.2.2支付时间：</w:t>
      </w:r>
      <w:r>
        <w:rPr>
          <w:rFonts w:hint="eastAsia" w:ascii="仿宋_GB2312" w:hAnsi="SimSun" w:eastAsia="仿宋_GB2312"/>
          <w:color w:val="FF0000"/>
          <w:sz w:val="24"/>
          <w:szCs w:val="24"/>
        </w:rPr>
        <w:t>甲方在</w:t>
      </w:r>
      <w:r>
        <w:rPr>
          <w:rFonts w:hint="eastAsia" w:ascii="仿宋_GB2312" w:hAnsi="SimSun" w:eastAsia="仿宋_GB2312"/>
          <w:color w:val="FF0000"/>
          <w:sz w:val="24"/>
          <w:szCs w:val="24"/>
          <w:u w:val="single"/>
          <w:lang w:val="en-US" w:eastAsia="zh-CN"/>
        </w:rPr>
        <w:t xml:space="preserve">      </w:t>
      </w:r>
      <w:r>
        <w:rPr>
          <w:rFonts w:hint="eastAsia" w:ascii="仿宋_GB2312" w:hAnsi="SimSun" w:eastAsia="仿宋_GB2312"/>
          <w:color w:val="FF0000"/>
          <w:sz w:val="24"/>
          <w:szCs w:val="24"/>
        </w:rPr>
        <w:t>之日起三日内，一次性向乙方支付，若分次</w:t>
      </w:r>
      <w:r>
        <w:rPr>
          <w:rFonts w:hint="eastAsia" w:ascii="仿宋_GB2312" w:hAnsi="SimSun" w:eastAsia="仿宋_GB2312"/>
          <w:color w:val="FF0000"/>
          <w:sz w:val="24"/>
          <w:szCs w:val="24"/>
          <w:u w:val="single"/>
          <w:lang w:val="en-US" w:eastAsia="zh-CN"/>
        </w:rPr>
        <w:t xml:space="preserve">     </w:t>
      </w:r>
      <w:r>
        <w:rPr>
          <w:rFonts w:hint="eastAsia" w:ascii="仿宋_GB2312" w:hAnsi="SimSun" w:eastAsia="仿宋_GB2312"/>
          <w:color w:val="FF0000"/>
          <w:sz w:val="24"/>
          <w:szCs w:val="24"/>
        </w:rPr>
        <w:t>，应分次支付。</w:t>
      </w:r>
    </w:p>
    <w:p w14:paraId="3EA4BFB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6.3甲方不得以如下理由要求乙方退还律师代理费：</w:t>
      </w:r>
    </w:p>
    <w:p w14:paraId="1E716EB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6.3.1未经乙方同意，甲方单方面又委托其他第三方代理委托事项的；</w:t>
      </w:r>
    </w:p>
    <w:p w14:paraId="3E9D82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6.3.2乙方接受委托后，甲方以乙方收费过高为由要求退费的；</w:t>
      </w:r>
    </w:p>
    <w:p w14:paraId="393BEC6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6.3.3甲方作为被告时，乙方律师已经为出庭</w:t>
      </w:r>
      <w:r>
        <w:rPr>
          <w:rFonts w:hint="eastAsia" w:ascii="FangSong" w:hAnsi="FangSong" w:eastAsia="FangSong" w:cs="FangSong"/>
          <w:sz w:val="24"/>
          <w:szCs w:val="24"/>
          <w:lang w:eastAsia="zh-CN"/>
        </w:rPr>
        <w:t>做</w:t>
      </w:r>
      <w:r>
        <w:rPr>
          <w:rFonts w:hint="eastAsia" w:ascii="FangSong" w:hAnsi="FangSong" w:eastAsia="FangSong" w:cs="FangSong"/>
          <w:sz w:val="24"/>
          <w:szCs w:val="24"/>
        </w:rPr>
        <w:t>了准备，而原告方撤诉或者甲方自行与原告方和解的；</w:t>
      </w:r>
    </w:p>
    <w:p w14:paraId="695F67F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6.3.4因甲方原因，乙方解除本合同，或非因乙方或者乙方律师的原因，甲方单方解除本合同的。</w:t>
      </w:r>
    </w:p>
    <w:p w14:paraId="38F837F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6.4代收费用及差旅费</w:t>
      </w:r>
    </w:p>
    <w:p w14:paraId="607DFB7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6.4.1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27696C0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6.4.2乙方为甲方办理法律事务，所需要的差旅费用</w:t>
      </w:r>
      <w:r>
        <w:rPr>
          <w:rFonts w:hint="eastAsia" w:ascii="FangSong" w:hAnsi="FangSong" w:eastAsia="FangSong" w:cs="FangSong"/>
          <w:sz w:val="24"/>
          <w:szCs w:val="24"/>
          <w:lang w:val="en-US" w:eastAsia="zh-CN"/>
        </w:rPr>
        <w:t>可以</w:t>
      </w:r>
      <w:r>
        <w:rPr>
          <w:rFonts w:hint="eastAsia" w:ascii="FangSong" w:hAnsi="FangSong" w:eastAsia="FangSong" w:cs="FangSong"/>
          <w:sz w:val="24"/>
          <w:szCs w:val="24"/>
        </w:rPr>
        <w:t>先行向甲方预收，具体金额根据差旅情况另行商议。乙方办理法律事务完毕后，应及时凭有效票据与甲方结算办案差旅费，多退少补。</w:t>
      </w:r>
    </w:p>
    <w:p w14:paraId="14F46EF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第七条 合同的变更和解除</w:t>
      </w:r>
    </w:p>
    <w:p w14:paraId="342A78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7.1经双方协商同意，可以变更或者解除本合同。</w:t>
      </w:r>
    </w:p>
    <w:p w14:paraId="1237ABF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7.2因甲方追加委托事项或增加诉讼当事人，或当事人一方提出反诉、增加诉讼请求等重大诉讼事件变更导致代理事项明显增多的，乙方有权要求增加律师代理费，甲方应当合理地追加律师代理费。增加律师代理费协商未果的，乙方有权在原委托范围内提供代理服务。</w:t>
      </w:r>
    </w:p>
    <w:p w14:paraId="5760BA3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7.3乙方有下列情形之一的，甲方有权解除本合同：</w:t>
      </w:r>
    </w:p>
    <w:p w14:paraId="60DCAC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7.3.1除第1.2条外，未经甲方同意，乙方擅自更换主办代理律师的；</w:t>
      </w:r>
    </w:p>
    <w:p w14:paraId="4BC349A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7.3.2乙方律师无正当理由拒绝提供本合同约定的代理服务的。</w:t>
      </w:r>
    </w:p>
    <w:p w14:paraId="7EF2CEE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7.4甲方有下列情形之一的，乙方有权解除本合同：</w:t>
      </w:r>
    </w:p>
    <w:p w14:paraId="6F8F6F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7.4.1甲方的委托事项违反法律或者违反律师职业道德和执业纪律的；</w:t>
      </w:r>
    </w:p>
    <w:p w14:paraId="1E0633D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7.4.2甲方有捏造事实、伪造证据或者隐瞒重要情节等情形的；</w:t>
      </w:r>
    </w:p>
    <w:p w14:paraId="30F1931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7.4.3甲方逾期五日仍未向乙方支付律师代理费或者工作费用的。</w:t>
      </w:r>
    </w:p>
    <w:p w14:paraId="46433EC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第八条 违约责任</w:t>
      </w:r>
    </w:p>
    <w:p w14:paraId="4B0EC5C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8.1甲方未按本合同的约定支付律师费及其他有关费用时，乙方有权中止办理委托事项或解除本合同，因此可能给甲方带来的不利后果由甲方自行承担。</w:t>
      </w:r>
    </w:p>
    <w:p w14:paraId="0B890DB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8.2甲方无故终止委托时，乙方有权不退还已收取的费用，对应收而尚未收取的律师费、乙方为办理委托事项代为垫付的实际开支等费用有权向甲方足额追偿，每逾期一天，甲方应按应付款项日万分之五的标准支付违约金。</w:t>
      </w:r>
    </w:p>
    <w:p w14:paraId="308BE4A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8.3甲方如有捏造事实、弄虚作假等行为，乙方有权解除合同，乙方视不同情况酌情退还所收取的律师费。</w:t>
      </w:r>
    </w:p>
    <w:p w14:paraId="48B5A8A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8.4乙方无故解除合同时，应退还已收取的律师费，对应收而尚未收取的费用亦无权收取。</w:t>
      </w:r>
    </w:p>
    <w:p w14:paraId="489047A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8.5因乙方违反根据本合同的约定承担的义务并因此导致甲方损失的，乙方应当向甲方承担赔偿责任。但在任何情况下，乙方的赔偿金额以乙方根据本合同所收取的律师代理费为限。</w:t>
      </w:r>
    </w:p>
    <w:p w14:paraId="4602715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第九条 特别约定</w:t>
      </w:r>
    </w:p>
    <w:p w14:paraId="232BEE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9.1根据《中华人民共和国律师法》及司法部、中华全国律师协会的相关规定，乙方律师依法尽职尽责为甲方</w:t>
      </w:r>
      <w:r>
        <w:rPr>
          <w:rFonts w:hint="eastAsia" w:ascii="FangSong" w:hAnsi="FangSong" w:eastAsia="FangSong" w:cs="FangSong"/>
          <w:sz w:val="24"/>
          <w:szCs w:val="24"/>
          <w:lang w:eastAsia="zh-CN"/>
        </w:rPr>
        <w:t>提供</w:t>
      </w:r>
      <w:r>
        <w:rPr>
          <w:rFonts w:hint="eastAsia" w:ascii="FangSong" w:hAnsi="FangSong" w:eastAsia="FangSong" w:cs="FangSong"/>
          <w:sz w:val="24"/>
          <w:szCs w:val="24"/>
        </w:rPr>
        <w:t>法律服务，努力维护甲方的合法权益，但不得对案件的实际结果做任何承诺。</w:t>
      </w:r>
    </w:p>
    <w:p w14:paraId="7C419F3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甲方充分知晓北京市盈科律师事务所是一所大型律师事务所，乙方作为其分所之一，为避免本代理合同项下的委托事项给盈科体系内的其他律师（含盈科总部及各分所律师，下同）造成执业不便，甲方在此明确确认：</w:t>
      </w:r>
      <w:r>
        <w:rPr>
          <w:rFonts w:hint="eastAsia" w:ascii="FangSong" w:hAnsi="FangSong" w:eastAsia="FangSong" w:cs="FangSong"/>
          <w:b/>
          <w:sz w:val="24"/>
          <w:szCs w:val="24"/>
        </w:rPr>
        <w:t>理解并认可盈科其他律师可以接受甲方对方当事人其他事项的委托（若以后有此类委托出现）。</w:t>
      </w:r>
      <w:r>
        <w:rPr>
          <w:rFonts w:hint="eastAsia" w:ascii="FangSong" w:hAnsi="FangSong" w:eastAsia="FangSong" w:cs="FangSong"/>
          <w:sz w:val="24"/>
          <w:szCs w:val="24"/>
        </w:rPr>
        <w:t>但，甲乙双方特别约定：</w:t>
      </w:r>
    </w:p>
    <w:p w14:paraId="5EA9E34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9.2.1甲方对方当事人若有后续其他事项需委托盈科律师代理的，该委托事项须是与本合同委托事项无关的、独立于本代理合同委托事项之外的事项。</w:t>
      </w:r>
    </w:p>
    <w:p w14:paraId="31C14F7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9.2.2乙方需对因本合同委托事项而获悉的甲方的相关秘密信息承担保密义务，保障上述秘密信息不被用于本合同以外之目的。在本合同约定</w:t>
      </w:r>
      <w:r>
        <w:rPr>
          <w:rFonts w:hint="eastAsia" w:ascii="FangSong" w:hAnsi="FangSong" w:eastAsia="FangSong" w:cs="FangSong"/>
          <w:sz w:val="24"/>
          <w:szCs w:val="24"/>
          <w:lang w:val="en-US" w:eastAsia="zh-CN"/>
        </w:rPr>
        <w:t>的</w:t>
      </w:r>
      <w:r>
        <w:rPr>
          <w:rFonts w:hint="eastAsia" w:ascii="FangSong" w:hAnsi="FangSong" w:eastAsia="FangSong" w:cs="FangSong"/>
          <w:sz w:val="24"/>
          <w:szCs w:val="24"/>
        </w:rPr>
        <w:t>委托业务终结或者委托关系终止后十二个月以内，乙方指派的律师不可作为乙方指派给对方当事人后续可能发生的其他委托事务的承办律师。</w:t>
      </w:r>
    </w:p>
    <w:p w14:paraId="74A1D55F">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第十条 文书送达的特别约定</w:t>
      </w:r>
    </w:p>
    <w:p w14:paraId="08FAF95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10.1双方因履行本合同而相互发出的所有通知、函件等文书，均以本合同首部所载明的地址、电子邮箱、手机号码、微信号为有效送达地址和通信联络方式。若一方发生变更，应当及时书面通知对方，否则视为未变更。文书一旦按照有效地址邮寄，或者电子邮箱、手机短信、微信传送（包括变更后的）并被证明已寄出或传送发出，即视为送达，对方是否签收或接收、签收人或接收人是谁，均不影响送达的效力。</w:t>
      </w:r>
    </w:p>
    <w:p w14:paraId="5BAFEA3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10.2对于因履行本合同而产生的任何纠纷，甲方同意司法机关（包括但不限于人民法院）通过上述手机号码、电子邮箱、微信发送手机短信、电子邮件、微信信息等通讯方式或邮寄方式向其送达法律文书（包括但不限于诉讼文书），司法机关向上述联系方式发出法律文书即视为送达。</w:t>
      </w:r>
    </w:p>
    <w:p w14:paraId="51BB38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甲方同意司法机关可采取以上一种或多种送达方式向其送达法律文书，司法机关采取多种方式送达法律文书，送达时间以上述送达方式中最先送达的为准。</w:t>
      </w:r>
    </w:p>
    <w:p w14:paraId="1A3786B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甲方同意上述送达方式适用于各个司法程序阶段。如进入诉讼程序的，包括但不限于一审、二审、再审、执行以及督促程序等。</w:t>
      </w:r>
    </w:p>
    <w:p w14:paraId="5C81DFAE">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第十一条 合同生效、有效期及份数</w:t>
      </w:r>
    </w:p>
    <w:p w14:paraId="53566C9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11.1本合同经双方签字捺印或加盖公章</w:t>
      </w:r>
      <w:r>
        <w:rPr>
          <w:rFonts w:hint="eastAsia" w:ascii="FangSong" w:hAnsi="FangSong" w:eastAsia="FangSong" w:cs="FangSong"/>
          <w:sz w:val="24"/>
          <w:szCs w:val="24"/>
          <w:lang w:val="en-US" w:eastAsia="zh-CN"/>
        </w:rPr>
        <w:t>或合同章</w:t>
      </w:r>
      <w:r>
        <w:rPr>
          <w:rFonts w:hint="eastAsia" w:ascii="FangSong" w:hAnsi="FangSong" w:eastAsia="FangSong" w:cs="FangSong"/>
          <w:sz w:val="24"/>
          <w:szCs w:val="24"/>
        </w:rPr>
        <w:t>后生效。</w:t>
      </w:r>
    </w:p>
    <w:p w14:paraId="1A150D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11.2本合同有效期自本合同生效之日起至委托事项办理终结且甲方向乙方付清全部应付费用之日止（若一方提前解约、终止委托关系的除外）。</w:t>
      </w:r>
    </w:p>
    <w:p w14:paraId="5FA4CCD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11.3</w:t>
      </w:r>
      <w:r>
        <w:rPr>
          <w:rFonts w:hint="eastAsia" w:ascii="FangSong" w:hAnsi="FangSong" w:eastAsia="FangSong" w:cs="FangSong"/>
          <w:color w:val="FF0000"/>
          <w:sz w:val="24"/>
          <w:szCs w:val="24"/>
        </w:rPr>
        <w:t>本合同壹式叁份</w:t>
      </w:r>
      <w:r>
        <w:rPr>
          <w:rFonts w:hint="eastAsia" w:ascii="FangSong" w:hAnsi="FangSong" w:eastAsia="FangSong" w:cs="FangSong"/>
          <w:sz w:val="24"/>
          <w:szCs w:val="24"/>
        </w:rPr>
        <w:t>，甲乙双方及乙方律师各执壹份，具有同等法律效力。</w:t>
      </w:r>
    </w:p>
    <w:p w14:paraId="614642C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11.4除用于参评、投标、学习交流等正常活动外，双方均不得将本合同用于其他活动。</w:t>
      </w:r>
    </w:p>
    <w:p w14:paraId="5E80FEBD">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第十二条 其他</w:t>
      </w:r>
    </w:p>
    <w:p w14:paraId="0372A31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12.1甲、乙双方因履行本合同发生争议，应当友好协商解决；协商不成的，任何一方均有权将争议提交乙方所在地有管辖权的人民法院解决。</w:t>
      </w:r>
    </w:p>
    <w:p w14:paraId="5FB2C88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12.2甲方已阅读、知悉并签署本合同附件1《签署诉讼、仲裁委托合同告知书》。</w:t>
      </w:r>
    </w:p>
    <w:p w14:paraId="0486A9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12.3乙方在签订本合同之前已经向甲方解释了乙方的收费规定及标准。在本合同签署之前甲乙双方已就本合同涉及事项进行了详细的研究，本合同系双方友好协商，自愿一致达成。</w:t>
      </w:r>
    </w:p>
    <w:p w14:paraId="3214256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4551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5A049DD5">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甲方：</w:t>
            </w:r>
          </w:p>
          <w:p w14:paraId="495C313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70F34E2A">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日期：{{_1委托日期}}</w:t>
            </w:r>
          </w:p>
        </w:tc>
        <w:tc>
          <w:tcPr>
            <w:tcW w:w="5354" w:type="dxa"/>
            <w:tcBorders>
              <w:top w:val="nil"/>
              <w:left w:val="nil"/>
              <w:bottom w:val="nil"/>
              <w:right w:val="nil"/>
            </w:tcBorders>
            <w:noWrap w:val="0"/>
            <w:vAlign w:val="top"/>
          </w:tcPr>
          <w:p w14:paraId="11B90524">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6D23C994">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6E52919E">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日期：{{_1委托日期}}</w:t>
            </w:r>
          </w:p>
        </w:tc>
      </w:tr>
    </w:tbl>
    <w:p w14:paraId="0C9A0A03">
      <w:pPr>
        <w:keepNext w:val="0"/>
        <w:keepLines w:val="0"/>
        <w:pageBreakBefore w:val="0"/>
        <w:widowControl w:val="0"/>
        <w:kinsoku/>
        <w:wordWrap/>
        <w:overflowPunct/>
        <w:topLinePunct w:val="0"/>
        <w:autoSpaceDE/>
        <w:autoSpaceDN/>
        <w:bidi w:val="0"/>
        <w:adjustRightInd w:val="0"/>
        <w:snapToGrid w:val="0"/>
        <w:spacing w:afterAutospacing="0" w:line="360" w:lineRule="exact"/>
        <w:ind w:right="0" w:rightChars="0"/>
        <w:jc w:val="both"/>
        <w:textAlignment w:val="auto"/>
        <w:outlineLvl w:val="9"/>
        <w:rPr>
          <w:rFonts w:hint="eastAsia" w:ascii="FangSong" w:hAnsi="FangSong" w:eastAsia="FangSong" w:cs="FangSong"/>
          <w:sz w:val="24"/>
          <w:szCs w:val="24"/>
        </w:rPr>
      </w:pPr>
    </w:p>
    <w:p w14:paraId="56AA7D8D">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32"/>
          <w:szCs w:val="32"/>
        </w:rPr>
      </w:pPr>
      <w:r>
        <w:rPr>
          <w:rFonts w:hint="eastAsia" w:ascii="FangSong" w:hAnsi="FangSong" w:eastAsia="FangSong" w:cs="FangSong"/>
          <w:b/>
          <w:sz w:val="28"/>
          <w:szCs w:val="28"/>
        </w:rPr>
        <w:t>附件1：</w:t>
      </w:r>
      <w:r>
        <w:rPr>
          <w:rFonts w:hint="eastAsia" w:ascii="仿宋_GB2312" w:hAnsi="SimSun" w:eastAsia="仿宋_GB2312"/>
          <w:b/>
          <w:sz w:val="28"/>
          <w:szCs w:val="28"/>
        </w:rPr>
        <w:t>签署诉讼、仲裁委托合同</w:t>
      </w:r>
      <w:r>
        <w:rPr>
          <w:rFonts w:hint="eastAsia" w:ascii="仿宋_GB2312" w:hAnsi="SimSun" w:eastAsia="仿宋_GB2312" w:cs="Times New Roman"/>
          <w:b/>
          <w:sz w:val="28"/>
          <w:szCs w:val="28"/>
          <w:lang w:val="en-US" w:eastAsia="zh-CN"/>
        </w:rPr>
        <w:t>律师风险代理书面告知书</w:t>
      </w:r>
    </w:p>
    <w:p w14:paraId="66B8500A">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尊敬的客户： </w:t>
      </w:r>
    </w:p>
    <w:p w14:paraId="66B72959">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感谢您委托北京市盈科（青岛）律师事务所律师承办您的法律事务。为了更好地维护您的合法权益，同时也为了使您更加了解律师工作，特提请您注意如下事项： </w:t>
      </w:r>
    </w:p>
    <w:p w14:paraId="61B86F95">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一、任何诉讼/仲裁、非诉案件均具有法律风险，案件进程和案件结果可能受到各种客观因素的影响，在聘请律师前，您应确认具有承受此等法律风险之负担能力及合理预见，确认后，应当与律师事务所签订专门的书面风险代理合同，并就该法律服务事项可能发生的风险承担相应的风险和责任。 </w:t>
      </w:r>
    </w:p>
    <w:p w14:paraId="7ACC5FC0">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bookmarkStart w:id="0" w:name="_GoBack"/>
      <w:bookmarkEnd w:id="0"/>
      <w:r>
        <w:rPr>
          <w:rFonts w:hint="eastAsia" w:ascii="仿宋_GB2312" w:hAnsi="SimSun" w:eastAsia="仿宋_GB2312" w:cs="Times New Roman"/>
          <w:sz w:val="22"/>
          <w:szCs w:val="22"/>
          <w:lang w:val="en-US" w:eastAsia="zh-CN"/>
        </w:rPr>
        <w:t xml:space="preserve">二、您的请求/申请/答辩/辩护意见，存在部分或全部不被司法机关或其他相关国家机关支持的可能；或者某些陈述、辩解成为法律上的自认。 </w:t>
      </w:r>
    </w:p>
    <w:p w14:paraId="13065203">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三、任何诉讼/仲裁/行政案件均可能由于公安、检察、审判、仲裁等各类司法机构、行政机关、社会组织、诉讼参加人的行为、证据资料瑕疵、有关国家机关的指令、法律法规的变化、相关诉讼/仲裁程序的启动等无法控制的客观因素，导致案件结果受到影响。 </w:t>
      </w:r>
    </w:p>
    <w:p w14:paraId="2092A7CF">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四、您在委托本所律师办理案件时，请注意应与本律师事务所而非律师个人签订合同，本律师事务所应当盖章；合同签订后，您在交纳律师代理费或服务费时，本律师事务所应当向您出具正式发票。 </w:t>
      </w:r>
    </w:p>
    <w:p w14:paraId="5ECCEA12">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五、您应当向承办律师如实提供全面准确的事实和证据，以便承办律师依法维护您的合法权益；您不能要求承办律师开展任何违反法律法规政策和公序良俗之活动，不能要求承办律师保证获得胜诉结果，不能要求承办律师向办案人员送钱送物等其它有违律师执业纪律和职业道德之行为。 </w:t>
      </w:r>
    </w:p>
    <w:p w14:paraId="6BAE116F">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六、承办律师应根据您的授权权限，在法律规定范围内独立地从事代理活动；承办律师有权根据法律的要求和职业道德标准，独立选择实现委托人目的的方法，维护委托人的合法权益。 </w:t>
      </w:r>
    </w:p>
    <w:p w14:paraId="08BDAE28">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七、承办律师不得滥用专业优势地位，对您承担的风险责任作出明显不合理的约定，不得在风险代理合同中排除或者限制您上诉、撤诉、调解等诉讼权利。 </w:t>
      </w:r>
    </w:p>
    <w:p w14:paraId="6459A97C">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八、承办律师不得以与司法机关、行政机关或者其他有社会管理职能组织存在特殊关系为由承揽案件，亦不得以保证您委托的案件必然获得胜诉或无罪结果为前提承揽案件。 </w:t>
      </w:r>
    </w:p>
    <w:p w14:paraId="210A172E">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九、承办律师在风险代理的各个环节应严格按照相关法律规定的标准收费，不得采取欺骗、诱导等方式促使您接受律师服务价格；除合同约定费用外，不得以与办案人员沟通为由另行收取费用，您亦不得另行给付承办律师此类费用要求律师通过非正常途径与办案人员或其上级领导沟通等不当行为。 </w:t>
      </w:r>
    </w:p>
    <w:p w14:paraId="2E0D1B5C">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lang w:val="en-US" w:eastAsia="zh-CN"/>
        </w:rPr>
      </w:pPr>
      <w:r>
        <w:rPr>
          <w:rFonts w:hint="eastAsia" w:ascii="仿宋_GB2312" w:hAnsi="SimSun" w:eastAsia="仿宋_GB2312" w:cs="Times New Roman"/>
          <w:sz w:val="22"/>
          <w:szCs w:val="22"/>
          <w:lang w:val="en-US" w:eastAsia="zh-CN"/>
        </w:rPr>
        <w:t xml:space="preserve">十、根据《中华人民共和国律师法》和司法部、国家发展和改革委员会、国家市场监督管理总局《关于进一步规范律师服务收费的意见》（司发通〔2021〕87号）及其他相关法律的规定，律师事务所与当事人约定风险代理收费的，可以按照固定的金额收费，也可以按照当事人最终实现的债权或者减免的债务金额（以下简称“标的额”）的一定比例收费。律师事务所在风险代理各个环节收取的律师服务费合计最高金额应当符合下列规定：标的额不足人民币100万元的部分，不得超过标的额的18%；标的额在人民币100万元以上不足500万元的部分，不得超过标的额的15%；标的额在人民币500万元以上不足1000万元的部分，不得超过标的额的12%；标的额在人民币1000万元以上不足5000万元的部分，不得超过标的额的9%；标的额在人民币5000万元以上的部分，不得超过标的额的6%。 </w:t>
      </w:r>
    </w:p>
    <w:p w14:paraId="025E8AB1">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default" w:ascii="仿宋_GB2312" w:hAnsi="SimSun" w:eastAsia="仿宋_GB2312" w:cs="Times New Roman"/>
          <w:sz w:val="28"/>
          <w:szCs w:val="28"/>
          <w:lang w:val="en-US" w:eastAsia="zh-CN"/>
        </w:rPr>
      </w:pPr>
      <w:r>
        <w:rPr>
          <w:rFonts w:hint="eastAsia" w:ascii="仿宋_GB2312" w:hAnsi="SimSun" w:eastAsia="仿宋_GB2312" w:cs="Times New Roman"/>
          <w:sz w:val="22"/>
          <w:szCs w:val="22"/>
          <w:lang w:val="en-US" w:eastAsia="zh-CN"/>
        </w:rPr>
        <w:t>十一、如果在服务合同履行过程中承办律师有任何违规行为，或者您有任何疑问或意见，请与本律师事务所联系。联系电话：0532-80681810 ，传真： 0532-80681868。</w:t>
      </w:r>
    </w:p>
    <w:p w14:paraId="29067539">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both"/>
        <w:textAlignment w:val="auto"/>
        <w:rPr>
          <w:rFonts w:hint="eastAsia" w:ascii="仿宋_GB2312" w:hAnsi="SimSun" w:eastAsia="仿宋_GB2312" w:cs="Times New Roman"/>
          <w:sz w:val="28"/>
          <w:szCs w:val="28"/>
          <w:lang w:val="en-US" w:eastAsia="zh-CN"/>
        </w:rPr>
      </w:pPr>
      <w:r>
        <w:rPr>
          <w:rFonts w:hint="eastAsia" w:ascii="仿宋_GB2312" w:hAnsi="SimSun" w:eastAsia="仿宋_GB2312" w:cs="Times New Roman"/>
          <w:sz w:val="28"/>
          <w:szCs w:val="28"/>
          <w:lang w:val="en-US" w:eastAsia="zh-CN"/>
        </w:rPr>
        <w:t xml:space="preserve">请您确认上述事项后签署合同。 </w:t>
      </w:r>
    </w:p>
    <w:p w14:paraId="1E8649C5">
      <w:pPr>
        <w:keepNext w:val="0"/>
        <w:keepLines w:val="0"/>
        <w:pageBreakBefore w:val="0"/>
        <w:widowControl/>
        <w:kinsoku/>
        <w:wordWrap/>
        <w:overflowPunct/>
        <w:topLinePunct w:val="0"/>
        <w:autoSpaceDE/>
        <w:autoSpaceDN/>
        <w:bidi w:val="0"/>
        <w:adjustRightInd w:val="0"/>
        <w:snapToGrid w:val="0"/>
        <w:spacing w:line="320" w:lineRule="exact"/>
        <w:ind w:firstLine="562" w:firstLineChars="200"/>
        <w:jc w:val="both"/>
        <w:textAlignment w:val="auto"/>
        <w:rPr>
          <w:rFonts w:hint="eastAsia" w:ascii="仿宋_GB2312" w:hAnsi="SimSun" w:eastAsia="仿宋_GB2312" w:cs="Times New Roman"/>
          <w:sz w:val="28"/>
          <w:szCs w:val="28"/>
          <w:lang w:val="en-US" w:eastAsia="zh-CN"/>
        </w:rPr>
      </w:pPr>
      <w:r>
        <w:rPr>
          <w:rFonts w:hint="eastAsia" w:ascii="仿宋_GB2312" w:hAnsi="SimSun" w:eastAsia="仿宋_GB2312" w:cs="Times New Roman"/>
          <w:b/>
          <w:bCs/>
          <w:sz w:val="28"/>
          <w:szCs w:val="28"/>
          <w:lang w:val="en-US" w:eastAsia="zh-CN"/>
        </w:rPr>
        <w:t>客户确认：我已了解告知书中所提示和说明的内容。</w:t>
      </w:r>
      <w:r>
        <w:rPr>
          <w:rFonts w:hint="eastAsia" w:ascii="仿宋_GB2312" w:hAnsi="SimSun" w:eastAsia="仿宋_GB2312" w:cs="Times New Roman"/>
          <w:sz w:val="28"/>
          <w:szCs w:val="28"/>
          <w:lang w:val="en-US" w:eastAsia="zh-CN"/>
        </w:rPr>
        <w:t xml:space="preserve"> </w:t>
      </w:r>
    </w:p>
    <w:p w14:paraId="59C13405">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both"/>
        <w:textAlignment w:val="auto"/>
        <w:rPr>
          <w:rFonts w:hint="eastAsia" w:ascii="仿宋_GB2312" w:hAnsi="SimSun" w:eastAsia="仿宋_GB2312" w:cs="Times New Roman"/>
          <w:sz w:val="28"/>
          <w:szCs w:val="28"/>
          <w:lang w:val="en-US" w:eastAsia="zh-CN"/>
        </w:rPr>
      </w:pPr>
    </w:p>
    <w:p w14:paraId="7F2680E5">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center"/>
        <w:textAlignment w:val="auto"/>
        <w:rPr>
          <w:rFonts w:hint="eastAsia" w:ascii="仿宋_GB2312" w:hAnsi="SimSun" w:eastAsia="仿宋_GB2312" w:cs="Times New Roman"/>
          <w:sz w:val="28"/>
          <w:szCs w:val="28"/>
          <w:lang w:val="en-US" w:eastAsia="zh-CN"/>
        </w:rPr>
      </w:pPr>
      <w:r>
        <w:rPr>
          <w:rFonts w:hint="eastAsia" w:ascii="FangSong" w:hAnsi="FangSong" w:eastAsia="FangSong" w:cs="FangSong"/>
          <w:sz w:val="28"/>
          <w:szCs w:val="28"/>
          <w:lang w:val="en-US" w:eastAsia="zh-CN"/>
        </w:rPr>
        <w:t xml:space="preserve">        </w:t>
      </w: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r>
        <w:rPr>
          <w:rFonts w:hint="eastAsia" w:ascii="仿宋_GB2312" w:hAnsi="SimSun" w:eastAsia="仿宋_GB2312" w:cs="Times New Roman"/>
          <w:sz w:val="28"/>
          <w:szCs w:val="28"/>
          <w:lang w:val="en-US" w:eastAsia="zh-CN"/>
        </w:rPr>
        <w:t xml:space="preserve">             </w:t>
      </w:r>
    </w:p>
    <w:p w14:paraId="44FEF6B1">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right"/>
        <w:textAlignment w:val="auto"/>
        <w:rPr>
          <w:rFonts w:hint="eastAsia" w:ascii="仿宋_GB2312" w:hAnsi="SimSun" w:eastAsia="仿宋_GB2312" w:cs="Times New Roman"/>
          <w:sz w:val="28"/>
          <w:szCs w:val="28"/>
          <w:lang w:val="en-US" w:eastAsia="zh-CN"/>
        </w:rPr>
      </w:pPr>
    </w:p>
    <w:p w14:paraId="4535A767">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right"/>
        <w:textAlignment w:val="auto"/>
        <w:rPr>
          <w:rFonts w:hint="default"/>
          <w:lang w:val="en-US" w:eastAsia="zh-CN"/>
        </w:rPr>
      </w:pPr>
      <w:r>
        <w:rPr>
          <w:rFonts w:hint="eastAsia" w:ascii="仿宋_GB2312" w:hAnsi="SimSun" w:eastAsia="仿宋_GB2312" w:cs="Times New Roman"/>
          <w:sz w:val="28"/>
          <w:szCs w:val="28"/>
          <w:lang w:val="en-US" w:eastAsia="zh-CN"/>
        </w:rPr>
        <w:t>{{_1委托日期}}</w:t>
      </w: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仿宋_GB2312">
    <w:altName w:val="FangSong"/>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23F08">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F5B5A69"/>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7F5B5A69"/>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0A35E71"/>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30A35E71"/>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09BDCF0A">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56140E3B">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56140E3B">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9E4B7">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443ADF9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6D767">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2920F3F"/>
    <w:rsid w:val="034017EC"/>
    <w:rsid w:val="0344074F"/>
    <w:rsid w:val="04FC2961"/>
    <w:rsid w:val="068731EF"/>
    <w:rsid w:val="06E44223"/>
    <w:rsid w:val="09A42965"/>
    <w:rsid w:val="0B07664A"/>
    <w:rsid w:val="0B5A5243"/>
    <w:rsid w:val="101F6C14"/>
    <w:rsid w:val="1202319C"/>
    <w:rsid w:val="12E05ADC"/>
    <w:rsid w:val="12FB4021"/>
    <w:rsid w:val="137F601C"/>
    <w:rsid w:val="16A122B4"/>
    <w:rsid w:val="17031F20"/>
    <w:rsid w:val="1A353619"/>
    <w:rsid w:val="1C462F5A"/>
    <w:rsid w:val="20864A5E"/>
    <w:rsid w:val="21DA31D4"/>
    <w:rsid w:val="23E30357"/>
    <w:rsid w:val="24E9253F"/>
    <w:rsid w:val="27FC5478"/>
    <w:rsid w:val="283E66A4"/>
    <w:rsid w:val="29972635"/>
    <w:rsid w:val="2AD2391F"/>
    <w:rsid w:val="2D9F7708"/>
    <w:rsid w:val="2F816515"/>
    <w:rsid w:val="304C0016"/>
    <w:rsid w:val="32E715FF"/>
    <w:rsid w:val="33541C66"/>
    <w:rsid w:val="337141A5"/>
    <w:rsid w:val="33D20FD7"/>
    <w:rsid w:val="35753BC1"/>
    <w:rsid w:val="382B0B48"/>
    <w:rsid w:val="39C32337"/>
    <w:rsid w:val="3A4A19EF"/>
    <w:rsid w:val="3C0E1BB4"/>
    <w:rsid w:val="3CE45E27"/>
    <w:rsid w:val="3DFFBBB0"/>
    <w:rsid w:val="3E362B23"/>
    <w:rsid w:val="3F293605"/>
    <w:rsid w:val="3F525276"/>
    <w:rsid w:val="40D33F51"/>
    <w:rsid w:val="41AE11D8"/>
    <w:rsid w:val="41B151BB"/>
    <w:rsid w:val="41BB51A8"/>
    <w:rsid w:val="41D245DE"/>
    <w:rsid w:val="43884ABF"/>
    <w:rsid w:val="44AE35BC"/>
    <w:rsid w:val="468C1F35"/>
    <w:rsid w:val="48933F69"/>
    <w:rsid w:val="4B003E5E"/>
    <w:rsid w:val="4C7947EF"/>
    <w:rsid w:val="4D033F75"/>
    <w:rsid w:val="4DD95FFF"/>
    <w:rsid w:val="4FC03721"/>
    <w:rsid w:val="50013ABE"/>
    <w:rsid w:val="52F27FA7"/>
    <w:rsid w:val="52F74D97"/>
    <w:rsid w:val="539F032F"/>
    <w:rsid w:val="543E2143"/>
    <w:rsid w:val="54A14BE7"/>
    <w:rsid w:val="551A47EF"/>
    <w:rsid w:val="565555DE"/>
    <w:rsid w:val="5778002F"/>
    <w:rsid w:val="593736E8"/>
    <w:rsid w:val="5ABD71D4"/>
    <w:rsid w:val="5C4F1C43"/>
    <w:rsid w:val="60752907"/>
    <w:rsid w:val="613D1DA6"/>
    <w:rsid w:val="63DE4E87"/>
    <w:rsid w:val="644F5E22"/>
    <w:rsid w:val="64C87586"/>
    <w:rsid w:val="666C2236"/>
    <w:rsid w:val="680C199E"/>
    <w:rsid w:val="68F5188F"/>
    <w:rsid w:val="69292E8C"/>
    <w:rsid w:val="6A0C5B4B"/>
    <w:rsid w:val="6A45036D"/>
    <w:rsid w:val="6B522DE1"/>
    <w:rsid w:val="6C1222C2"/>
    <w:rsid w:val="6C92422D"/>
    <w:rsid w:val="6DB276CE"/>
    <w:rsid w:val="6E02061C"/>
    <w:rsid w:val="6FA7353A"/>
    <w:rsid w:val="72C418C3"/>
    <w:rsid w:val="739A6F39"/>
    <w:rsid w:val="74370C7F"/>
    <w:rsid w:val="748E5B16"/>
    <w:rsid w:val="7AFC7AB2"/>
    <w:rsid w:val="7C166B04"/>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7</Pages>
  <Words>6599</Words>
  <Characters>6955</Characters>
  <Lines>44</Lines>
  <Paragraphs>12</Paragraphs>
  <TotalTime>1</TotalTime>
  <ScaleCrop>false</ScaleCrop>
  <LinksUpToDate>false</LinksUpToDate>
  <CharactersWithSpaces>7375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2026-01-02T11:58:54Z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2319EFDB59294CDAA13FD5C564723215_13</vt:lpwstr>
  </property>
  <property fmtid="{D5CDD505-2E9C-101B-9397-08002B2CF9AE}" pid="4" name="KSOTemplateDocerSaveRecord">
    <vt:lpwstr>eyJoZGlkIjoiMWQ1ZGUxYzIwZjc4ZDQyMjI1MDU4YWI5MjY2Y2IxZDAiLCJ1c2VySWQiOiIyMzkzMjU0MTUifQ==</vt:lpwstr>
  </property>
</Properties>
</file>