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ABD6A">
      <w:pPr>
        <w:keepNext w:val="0"/>
        <w:keepLines w:val="0"/>
        <w:pageBreakBefore w:val="0"/>
        <w:widowControl w:val="0"/>
        <w:kinsoku/>
        <w:wordWrap/>
        <w:overflowPunct/>
        <w:topLinePunct w:val="0"/>
        <w:autoSpaceDE/>
        <w:autoSpaceDN/>
        <w:bidi w:val="0"/>
        <w:adjustRightInd/>
        <w:jc w:val="center"/>
        <w:textAlignment w:val="auto"/>
        <w:rPr>
          <w:rFonts w:hint="eastAsia"/>
          <w:b/>
          <w:sz w:val="52"/>
          <w:szCs w:val="52"/>
        </w:rPr>
      </w:pPr>
    </w:p>
    <w:p w14:paraId="7596EC14">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lang w:val="en-US" w:eastAsia="zh-CN"/>
        </w:rPr>
      </w:pPr>
      <w:r>
        <w:rPr>
          <w:rFonts w:hint="eastAsia"/>
          <w:b/>
          <w:sz w:val="72"/>
          <w:szCs w:val="72"/>
          <w:lang w:val="en-US" w:eastAsia="zh-CN"/>
        </w:rPr>
        <w:t>常</w:t>
      </w:r>
    </w:p>
    <w:p w14:paraId="2D4FD484">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lang w:val="en-US" w:eastAsia="zh-CN"/>
        </w:rPr>
      </w:pPr>
      <w:r>
        <w:rPr>
          <w:rFonts w:hint="eastAsia"/>
          <w:b/>
          <w:sz w:val="72"/>
          <w:szCs w:val="72"/>
          <w:lang w:val="en-US" w:eastAsia="zh-CN"/>
        </w:rPr>
        <w:t>年</w:t>
      </w:r>
    </w:p>
    <w:p w14:paraId="61D5E455">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lang w:val="en-US" w:eastAsia="zh-CN"/>
        </w:rPr>
      </w:pPr>
      <w:r>
        <w:rPr>
          <w:rFonts w:hint="eastAsia"/>
          <w:b/>
          <w:sz w:val="72"/>
          <w:szCs w:val="72"/>
          <w:lang w:val="en-US" w:eastAsia="zh-CN"/>
        </w:rPr>
        <w:t>法</w:t>
      </w:r>
    </w:p>
    <w:p w14:paraId="08364FC5">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lang w:val="en-US" w:eastAsia="zh-CN"/>
        </w:rPr>
      </w:pPr>
      <w:r>
        <w:rPr>
          <w:rFonts w:hint="eastAsia"/>
          <w:b/>
          <w:sz w:val="72"/>
          <w:szCs w:val="72"/>
          <w:lang w:val="en-US" w:eastAsia="zh-CN"/>
        </w:rPr>
        <w:t>律</w:t>
      </w:r>
    </w:p>
    <w:p w14:paraId="572B3D03">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lang w:val="en-US" w:eastAsia="zh-CN"/>
        </w:rPr>
      </w:pPr>
      <w:r>
        <w:rPr>
          <w:rFonts w:hint="eastAsia"/>
          <w:b/>
          <w:sz w:val="72"/>
          <w:szCs w:val="72"/>
          <w:lang w:val="en-US" w:eastAsia="zh-CN"/>
        </w:rPr>
        <w:t>顾</w:t>
      </w:r>
    </w:p>
    <w:p w14:paraId="2646B4CA">
      <w:pPr>
        <w:keepNext w:val="0"/>
        <w:keepLines w:val="0"/>
        <w:pageBreakBefore w:val="0"/>
        <w:widowControl w:val="0"/>
        <w:kinsoku/>
        <w:wordWrap/>
        <w:overflowPunct/>
        <w:topLinePunct w:val="0"/>
        <w:autoSpaceDE/>
        <w:autoSpaceDN/>
        <w:bidi w:val="0"/>
        <w:adjustRightInd/>
        <w:jc w:val="center"/>
        <w:textAlignment w:val="auto"/>
        <w:rPr>
          <w:rFonts w:hint="default" w:eastAsia="SimSun"/>
          <w:b/>
          <w:sz w:val="72"/>
          <w:szCs w:val="72"/>
          <w:lang w:val="en-US" w:eastAsia="zh-CN"/>
        </w:rPr>
      </w:pPr>
      <w:r>
        <w:rPr>
          <w:rFonts w:hint="eastAsia"/>
          <w:b/>
          <w:sz w:val="72"/>
          <w:szCs w:val="72"/>
          <w:lang w:val="en-US" w:eastAsia="zh-CN"/>
        </w:rPr>
        <w:t>问</w:t>
      </w:r>
    </w:p>
    <w:p w14:paraId="4ABEE9C7">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合</w:t>
      </w:r>
    </w:p>
    <w:p w14:paraId="07A4DBF3">
      <w:pPr>
        <w:keepNext w:val="0"/>
        <w:keepLines w:val="0"/>
        <w:pageBreakBefore w:val="0"/>
        <w:widowControl w:val="0"/>
        <w:kinsoku/>
        <w:wordWrap/>
        <w:overflowPunct/>
        <w:topLinePunct w:val="0"/>
        <w:autoSpaceDE/>
        <w:autoSpaceDN/>
        <w:bidi w:val="0"/>
        <w:adjustRightInd/>
        <w:jc w:val="center"/>
        <w:textAlignment w:val="auto"/>
        <w:rPr>
          <w:rFonts w:hint="eastAsia"/>
          <w:b/>
          <w:sz w:val="52"/>
          <w:szCs w:val="52"/>
        </w:rPr>
      </w:pPr>
      <w:r>
        <w:rPr>
          <w:rFonts w:hint="eastAsia"/>
          <w:b/>
          <w:sz w:val="72"/>
          <w:szCs w:val="72"/>
        </w:rPr>
        <w:t>同</w:t>
      </w:r>
    </w:p>
    <w:p w14:paraId="0C602FCD">
      <w:pPr>
        <w:keepNext w:val="0"/>
        <w:keepLines w:val="0"/>
        <w:pageBreakBefore w:val="0"/>
        <w:widowControl w:val="0"/>
        <w:kinsoku/>
        <w:wordWrap/>
        <w:overflowPunct/>
        <w:topLinePunct w:val="0"/>
        <w:autoSpaceDE/>
        <w:autoSpaceDN/>
        <w:bidi w:val="0"/>
        <w:adjustRightInd/>
        <w:jc w:val="center"/>
        <w:textAlignment w:val="auto"/>
        <w:rPr>
          <w:b/>
          <w:sz w:val="52"/>
          <w:szCs w:val="52"/>
        </w:rPr>
      </w:pPr>
    </w:p>
    <w:p w14:paraId="51EB9BFF">
      <w:pPr>
        <w:keepNext w:val="0"/>
        <w:keepLines w:val="0"/>
        <w:pageBreakBefore w:val="0"/>
        <w:widowControl w:val="0"/>
        <w:kinsoku/>
        <w:wordWrap/>
        <w:overflowPunct/>
        <w:topLinePunct w:val="0"/>
        <w:autoSpaceDE/>
        <w:autoSpaceDN/>
        <w:bidi w:val="0"/>
        <w:adjustRightInd/>
        <w:textAlignment w:val="auto"/>
      </w:pPr>
    </w:p>
    <w:p w14:paraId="2AA90AB4">
      <w:pPr>
        <w:keepNext w:val="0"/>
        <w:keepLines w:val="0"/>
        <w:pageBreakBefore w:val="0"/>
        <w:widowControl w:val="0"/>
        <w:kinsoku/>
        <w:wordWrap/>
        <w:overflowPunct/>
        <w:topLinePunct w:val="0"/>
        <w:autoSpaceDE/>
        <w:autoSpaceDN/>
        <w:bidi w:val="0"/>
        <w:adjustRightInd/>
        <w:textAlignment w:val="auto"/>
      </w:pPr>
    </w:p>
    <w:p w14:paraId="6631C6C0">
      <w:pPr>
        <w:keepNext w:val="0"/>
        <w:keepLines w:val="0"/>
        <w:pageBreakBefore w:val="0"/>
        <w:widowControl w:val="0"/>
        <w:kinsoku/>
        <w:wordWrap/>
        <w:overflowPunct/>
        <w:topLinePunct w:val="0"/>
        <w:autoSpaceDE/>
        <w:autoSpaceDN/>
        <w:bidi w:val="0"/>
        <w:adjustRightInd/>
        <w:textAlignment w:val="auto"/>
      </w:pPr>
    </w:p>
    <w:p w14:paraId="1181803D">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sz w:val="32"/>
          <w:szCs w:val="32"/>
          <w:u w:val="single"/>
        </w:rPr>
      </w:pPr>
      <w:r>
        <w:rPr>
          <w:rFonts w:hint="eastAsia"/>
          <w:b/>
          <w:sz w:val="32"/>
          <w:szCs w:val="32"/>
        </w:rPr>
        <w:t>甲方：</w:t>
      </w:r>
      <w:r>
        <w:rPr>
          <w:rFonts w:hint="eastAsia"/>
          <w:b/>
          <w:sz w:val="32"/>
          <w:szCs w:val="32"/>
          <w:u w:val="single"/>
        </w:rPr>
        <w:t xml:space="preserve">  {{_2委托人}}  </w:t>
      </w:r>
    </w:p>
    <w:p w14:paraId="3A57DC7E">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sz w:val="32"/>
          <w:szCs w:val="32"/>
        </w:rPr>
      </w:pPr>
      <w:r>
        <w:rPr>
          <w:rFonts w:hint="eastAsia"/>
          <w:b/>
          <w:sz w:val="32"/>
          <w:szCs w:val="32"/>
        </w:rPr>
        <w:t>乙方：  北京市盈科（青岛）律师事务所</w:t>
      </w:r>
    </w:p>
    <w:p w14:paraId="497FE328">
      <w:pPr>
        <w:keepNext w:val="0"/>
        <w:keepLines w:val="0"/>
        <w:pageBreakBefore w:val="0"/>
        <w:widowControl w:val="0"/>
        <w:kinsoku/>
        <w:wordWrap/>
        <w:overflowPunct/>
        <w:topLinePunct w:val="0"/>
        <w:autoSpaceDE/>
        <w:autoSpaceDN/>
        <w:bidi w:val="0"/>
        <w:adjustRightInd/>
        <w:textAlignment w:val="auto"/>
        <w:rPr>
          <w:b/>
          <w:sz w:val="30"/>
          <w:szCs w:val="30"/>
        </w:rPr>
      </w:pPr>
    </w:p>
    <w:p w14:paraId="3148644D">
      <w:pPr>
        <w:keepNext w:val="0"/>
        <w:keepLines w:val="0"/>
        <w:pageBreakBefore w:val="0"/>
        <w:widowControl w:val="0"/>
        <w:kinsoku/>
        <w:wordWrap/>
        <w:overflowPunct/>
        <w:topLinePunct w:val="0"/>
        <w:autoSpaceDE/>
        <w:autoSpaceDN/>
        <w:bidi w:val="0"/>
        <w:adjustRightInd/>
        <w:jc w:val="center"/>
        <w:textAlignment w:val="auto"/>
        <w:rPr>
          <w:b/>
          <w:sz w:val="32"/>
          <w:szCs w:val="32"/>
        </w:rPr>
      </w:pPr>
      <w:r>
        <w:rPr>
          <w:rFonts w:hint="eastAsia"/>
          <w:b/>
          <w:sz w:val="32"/>
          <w:szCs w:val="32"/>
        </w:rPr>
        <w:t>签订时间</w:t>
      </w:r>
      <w:r>
        <w:rPr>
          <w:rFonts w:hint="eastAsia"/>
          <w:b/>
          <w:sz w:val="32"/>
          <w:szCs w:val="32"/>
          <w:lang w:val="en-US" w:eastAsia="zh-CN"/>
        </w:rPr>
        <w:t xml:space="preserve">  </w:t>
      </w:r>
      <w:r>
        <w:rPr>
          <w:rFonts w:hint="eastAsia"/>
          <w:b/>
          <w:sz w:val="32"/>
          <w:szCs w:val="32"/>
        </w:rPr>
        <w:t>{{_1委托日期}}</w:t>
      </w:r>
    </w:p>
    <w:p w14:paraId="4A4D7CCB">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sz w:val="24"/>
        </w:rPr>
      </w:pPr>
    </w:p>
    <w:p w14:paraId="6C318037">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sz w:val="24"/>
        </w:rPr>
      </w:pPr>
    </w:p>
    <w:p w14:paraId="55D5110B">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sz w:val="36"/>
          <w:szCs w:val="36"/>
          <w:lang w:val="en-US" w:eastAsia="zh-CN"/>
        </w:rPr>
      </w:pPr>
    </w:p>
    <w:p w14:paraId="172AB270">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sz w:val="36"/>
          <w:szCs w:val="36"/>
          <w:lang w:val="en-US" w:eastAsia="zh-CN"/>
        </w:rPr>
      </w:pPr>
    </w:p>
    <w:p w14:paraId="143529F8">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sz w:val="36"/>
          <w:szCs w:val="36"/>
          <w:lang w:val="en-US" w:eastAsia="zh-CN"/>
        </w:rPr>
      </w:pPr>
      <w:r>
        <w:rPr>
          <w:rFonts w:hint="eastAsia"/>
          <w:b/>
          <w:sz w:val="36"/>
          <w:szCs w:val="36"/>
          <w:lang w:val="en-US" w:eastAsia="zh-CN"/>
        </w:rPr>
        <w:t>常年法律顾问合同</w:t>
      </w:r>
    </w:p>
    <w:p w14:paraId="4F7757B5">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sz w:val="28"/>
          <w:szCs w:val="28"/>
          <w:lang w:val="en-US" w:eastAsia="zh-CN"/>
        </w:rPr>
      </w:pPr>
    </w:p>
    <w:p w14:paraId="27D2C661">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甲方：</w:t>
      </w:r>
      <w:r>
        <w:rPr>
          <w:rFonts w:hint="default" w:ascii="仿宋_GB2312" w:hAnsi="SimSun" w:eastAsia="仿宋_GB2312" w:cs="Arial"/>
          <w:b/>
          <w:bCs/>
          <w:sz w:val="24"/>
        </w:rPr>
        <w:t>{{_2委托人}}</w:t>
      </w:r>
    </w:p>
    <w:p w14:paraId="07B348CD">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法定代表人：</w:t>
      </w:r>
      <w:r>
        <w:rPr>
          <w:rFonts w:hint="default" w:ascii="仿宋_GB2312" w:hAnsi="SimSun" w:eastAsia="仿宋_GB2312" w:cs="Arial"/>
          <w:b/>
          <w:bCs/>
          <w:sz w:val="24"/>
        </w:rPr>
        <w:t>{{_4法定代表人}}</w:t>
      </w:r>
    </w:p>
    <w:p w14:paraId="0D0D6A7B">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营业执照号/身份证号：</w:t>
      </w:r>
      <w:r>
        <w:rPr>
          <w:rFonts w:hint="default" w:ascii="仿宋_GB2312" w:hAnsi="SimSun" w:eastAsia="仿宋_GB2312" w:cs="Arial"/>
          <w:b/>
          <w:bCs/>
          <w:sz w:val="24"/>
        </w:rPr>
        <w:t>{{_3证件号码}}</w:t>
      </w:r>
    </w:p>
    <w:p w14:paraId="74D81432">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地址：</w:t>
      </w:r>
      <w:r>
        <w:rPr>
          <w:rFonts w:hint="default" w:ascii="仿宋_GB2312" w:hAnsi="SimSun" w:eastAsia="仿宋_GB2312" w:cs="Arial"/>
          <w:b/>
          <w:bCs/>
          <w:sz w:val="24"/>
        </w:rPr>
        <w:t>{{_5地址}}</w:t>
      </w:r>
    </w:p>
    <w:p w14:paraId="6B354F9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b/>
          <w:bCs/>
          <w:sz w:val="24"/>
          <w:szCs w:val="24"/>
        </w:rPr>
        <w:t>电话：</w:t>
      </w:r>
      <w:r>
        <w:rPr>
          <w:rFonts w:hint="eastAsia" w:ascii="FangSong" w:hAnsi="FangSong" w:eastAsia="FangSong" w:cs="FangSong"/>
          <w:b/>
          <w:bCs/>
          <w:sz w:val="24"/>
          <w:szCs w:val="24"/>
          <w:lang w:val="en-US" w:eastAsia="zh-CN"/>
        </w:rPr>
        <w:t xml:space="preserve">{{_6电话}}  </w:t>
      </w:r>
      <w:r>
        <w:rPr>
          <w:rFonts w:hint="eastAsia" w:ascii="FangSong" w:hAnsi="FangSong" w:eastAsia="FangSong" w:cs="FangSong"/>
          <w:b/>
          <w:bCs/>
          <w:sz w:val="24"/>
          <w:szCs w:val="24"/>
        </w:rPr>
        <w:t>微信号：{{_7微信号}}</w:t>
      </w:r>
      <w:r>
        <w:rPr>
          <w:rFonts w:hint="eastAsia" w:ascii="FangSong" w:hAnsi="FangSong" w:eastAsia="FangSong" w:cs="FangSong"/>
          <w:b/>
          <w:bCs/>
          <w:sz w:val="24"/>
          <w:szCs w:val="24"/>
          <w:lang w:val="en-US" w:eastAsia="zh-CN"/>
        </w:rPr>
        <w:t xml:space="preserve">  电子邮箱：</w:t>
      </w:r>
      <w:r>
        <w:rPr>
          <w:rFonts w:hint="eastAsia" w:ascii="FangSong" w:hAnsi="FangSong" w:eastAsia="FangSong" w:cs="FangSong"/>
          <w:b/>
          <w:bCs/>
          <w:sz w:val="24"/>
          <w:szCs w:val="24"/>
        </w:rPr>
        <w:t>{{_8电子邮箱}}</w:t>
      </w:r>
    </w:p>
    <w:p w14:paraId="2E2B5C30">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sz w:val="24"/>
        </w:rPr>
      </w:pPr>
    </w:p>
    <w:p w14:paraId="6859BA7A">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 xml:space="preserve">乙方：北京市盈科（青岛）律师事务所                                   </w:t>
      </w:r>
    </w:p>
    <w:p w14:paraId="430CE425">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地址：青岛市市南区</w:t>
      </w:r>
      <w:r>
        <w:rPr>
          <w:rFonts w:hint="eastAsia" w:ascii="仿宋_GB2312" w:hAnsi="SimSun" w:eastAsia="仿宋_GB2312" w:cs="Arial"/>
          <w:b/>
          <w:bCs/>
          <w:sz w:val="24"/>
          <w:lang w:val="en-US" w:eastAsia="zh-CN"/>
        </w:rPr>
        <w:t>山东路6号甲华润大厦B座29/30层</w:t>
      </w:r>
      <w:r>
        <w:rPr>
          <w:rFonts w:hint="eastAsia" w:ascii="仿宋_GB2312" w:hAnsi="SimSun" w:eastAsia="仿宋_GB2312" w:cs="Arial"/>
          <w:b/>
          <w:bCs/>
          <w:sz w:val="24"/>
        </w:rPr>
        <w:t xml:space="preserve">     </w:t>
      </w:r>
    </w:p>
    <w:p w14:paraId="03507B40">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电话：0532</w:t>
      </w:r>
      <w:r>
        <w:rPr>
          <w:rFonts w:hint="eastAsia" w:ascii="仿宋_GB2312" w:hAnsi="SimSun" w:eastAsia="仿宋_GB2312" w:cs="Arial"/>
          <w:b/>
          <w:bCs/>
          <w:sz w:val="24"/>
          <w:lang w:val="en-US" w:eastAsia="zh-CN"/>
        </w:rPr>
        <w:t>-</w:t>
      </w:r>
      <w:r>
        <w:rPr>
          <w:rFonts w:hint="eastAsia" w:ascii="仿宋_GB2312" w:hAnsi="SimSun" w:eastAsia="仿宋_GB2312" w:cs="Arial"/>
          <w:b/>
          <w:bCs/>
          <w:sz w:val="24"/>
        </w:rPr>
        <w:t>80689888    传真：0532-80681868     邮编：266071</w:t>
      </w:r>
    </w:p>
    <w:p w14:paraId="599F521F">
      <w:pPr>
        <w:keepNext w:val="0"/>
        <w:keepLines w:val="0"/>
        <w:pageBreakBefore w:val="0"/>
        <w:widowControl/>
        <w:tabs>
          <w:tab w:val="left" w:pos="858"/>
        </w:tabs>
        <w:kinsoku/>
        <w:wordWrap/>
        <w:overflowPunct/>
        <w:topLinePunct w:val="0"/>
        <w:autoSpaceDE/>
        <w:autoSpaceDN/>
        <w:bidi w:val="0"/>
        <w:adjustRightInd/>
        <w:snapToGrid w:val="0"/>
        <w:spacing w:line="440" w:lineRule="exact"/>
        <w:textAlignment w:val="auto"/>
        <w:rPr>
          <w:rFonts w:ascii="楷体_GB2312" w:hAnsi="SimSun" w:eastAsia="楷体_GB2312"/>
          <w:b/>
          <w:sz w:val="24"/>
        </w:rPr>
      </w:pPr>
    </w:p>
    <w:p w14:paraId="57B0ABC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甲方因业务发展和维护自身利益的需要，根据《中华人民共和国</w:t>
      </w:r>
      <w:r>
        <w:rPr>
          <w:rFonts w:hint="eastAsia" w:ascii="楷体_GB2312" w:hAnsi="SimSun" w:eastAsia="楷体_GB2312"/>
          <w:spacing w:val="5"/>
          <w:sz w:val="24"/>
          <w:lang w:val="en-US" w:eastAsia="zh-CN"/>
        </w:rPr>
        <w:t>民法典</w:t>
      </w:r>
      <w:r>
        <w:rPr>
          <w:rFonts w:hint="eastAsia" w:ascii="楷体_GB2312" w:hAnsi="SimSun" w:eastAsia="楷体_GB2312"/>
          <w:spacing w:val="5"/>
          <w:sz w:val="24"/>
        </w:rPr>
        <w:t>》、《中华人民共和国律师法》的有关规定，就聘请乙方担任常年法律顾问事宜，经过友好协商，达成如下协议：</w:t>
      </w:r>
    </w:p>
    <w:p w14:paraId="2A4C5AF7">
      <w:pPr>
        <w:keepNext w:val="0"/>
        <w:keepLines w:val="0"/>
        <w:pageBreakBefore w:val="0"/>
        <w:widowControl/>
        <w:tabs>
          <w:tab w:val="left" w:pos="858"/>
        </w:tabs>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212121"/>
          <w:sz w:val="24"/>
        </w:rPr>
      </w:pPr>
      <w:r>
        <w:rPr>
          <w:rFonts w:hint="eastAsia" w:ascii="楷体_GB2312" w:hAnsi="楷体_GB2312" w:eastAsia="楷体_GB2312"/>
          <w:b/>
          <w:bCs/>
          <w:color w:val="212121"/>
          <w:sz w:val="24"/>
        </w:rPr>
        <w:t>第一条  聘请事项</w:t>
      </w:r>
    </w:p>
    <w:p w14:paraId="297B6AE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1、甲方因工作需要聘任乙方律师作为甲方公司常年法律顾问。乙方接受甲方的委托，同意并指派</w:t>
      </w:r>
      <w:r>
        <w:rPr>
          <w:rFonts w:hint="eastAsia" w:ascii="楷体_GB2312" w:hAnsi="SimSun" w:eastAsia="楷体_GB2312"/>
          <w:spacing w:val="5"/>
          <w:sz w:val="24"/>
          <w:u w:val="single"/>
        </w:rPr>
        <w:t xml:space="preserve"> {{_10代理律师}} </w:t>
      </w:r>
      <w:r>
        <w:rPr>
          <w:rFonts w:hint="eastAsia" w:ascii="楷体_GB2312" w:hAnsi="SimSun" w:eastAsia="楷体_GB2312"/>
          <w:spacing w:val="5"/>
          <w:sz w:val="24"/>
          <w:u w:val="single"/>
          <w:lang w:val="en-US" w:eastAsia="zh-CN"/>
        </w:rPr>
        <w:t>等律师</w:t>
      </w:r>
      <w:r>
        <w:rPr>
          <w:rFonts w:hint="eastAsia" w:ascii="楷体_GB2312" w:hAnsi="SimSun" w:eastAsia="楷体_GB2312"/>
          <w:spacing w:val="5"/>
          <w:sz w:val="24"/>
        </w:rPr>
        <w:t>为甲方法律顾问；</w:t>
      </w:r>
    </w:p>
    <w:p w14:paraId="3442AAEB">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2、乙方承诺以自己的专业知识和技能，在聘期内为甲方提供综合性的法律服务；</w:t>
      </w:r>
    </w:p>
    <w:p w14:paraId="3A00E2D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3、甲乙双方有权调整本方之工作人员，调整后应及时通知对方。</w:t>
      </w:r>
    </w:p>
    <w:p w14:paraId="7F11B50A">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sz w:val="24"/>
        </w:rPr>
      </w:pPr>
      <w:r>
        <w:rPr>
          <w:rFonts w:hint="eastAsia" w:ascii="楷体_GB2312" w:hAnsi="楷体_GB2312" w:eastAsia="楷体_GB2312"/>
          <w:b/>
          <w:bCs/>
          <w:color w:val="000000"/>
          <w:sz w:val="24"/>
        </w:rPr>
        <w:t>第二条  乙方的服务范围包括以下</w:t>
      </w:r>
      <w:r>
        <w:rPr>
          <w:rFonts w:hint="eastAsia" w:ascii="楷体_GB2312" w:hAnsi="楷体_GB2312" w:eastAsia="楷体_GB2312"/>
          <w:b/>
          <w:bCs/>
          <w:color w:val="000000"/>
          <w:sz w:val="24"/>
          <w:u w:val="single"/>
        </w:rPr>
        <w:t xml:space="preserve">                 </w:t>
      </w:r>
      <w:r>
        <w:rPr>
          <w:rFonts w:hint="eastAsia" w:ascii="楷体_GB2312" w:hAnsi="楷体_GB2312" w:eastAsia="楷体_GB2312"/>
          <w:b/>
          <w:bCs/>
          <w:color w:val="000000"/>
          <w:sz w:val="24"/>
        </w:rPr>
        <w:t>项</w:t>
      </w:r>
    </w:p>
    <w:p w14:paraId="040B72B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1、为甲方的重大经营决策提供法律和政策依据；</w:t>
      </w:r>
    </w:p>
    <w:p w14:paraId="6E43622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2、协助草拟、制订、审查或修改各类合同、协议等法律文件；</w:t>
      </w:r>
    </w:p>
    <w:p w14:paraId="0585CF1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3、为甲方的业务策划提供法律咨询、协助甲方草拟、制订重要项目的内部合约化制度；</w:t>
      </w:r>
    </w:p>
    <w:p w14:paraId="6587A6D4">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4、应甲方要求，参与甲方高层会议、企业策划、商务谈判，进行法律分析、论证，办理资信调查、可行性研究、风险预测和项目投资论证等非诉法律事务；</w:t>
      </w:r>
    </w:p>
    <w:p w14:paraId="1252CC1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5、应甲方要求，就甲方已经面临或者可能发生的纠纷，进行法律论证，提出解决方案，出具律师函，发表律师意见，或参与非诉讼谈判、协调、调解；</w:t>
      </w:r>
    </w:p>
    <w:p w14:paraId="23DBA946">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6、应甲方要求讲授法律知识，为企业职工提供法制宣传、教育、培训；</w:t>
      </w:r>
    </w:p>
    <w:p w14:paraId="29469C7B">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7、帮助甲方建立劳动合同、人事管理体系制度、企业内部规章制度、合同管理制度，解答甲方有关劳动法的问题，并协助甲方处理劳动争议；</w:t>
      </w:r>
    </w:p>
    <w:p w14:paraId="3F865FFE">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8、接受甲方委托担任代理人，参加甲方涉及经济、民事、知识产权、劳动、行政、刑事等诉讼、非诉、调解、仲裁活动；</w:t>
      </w:r>
    </w:p>
    <w:p w14:paraId="3D8C7B00">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9、经甲方特别授权，签署、送达或接收法律文书；</w:t>
      </w:r>
    </w:p>
    <w:p w14:paraId="6B36BE3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10、完成甲方交办的其他法律事务。</w:t>
      </w:r>
    </w:p>
    <w:p w14:paraId="0D71C2E1">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shd w:val="pct10" w:color="auto" w:fill="FFFFFF"/>
        </w:rPr>
      </w:pPr>
      <w:r>
        <w:rPr>
          <w:rFonts w:hint="eastAsia" w:ascii="楷体_GB2312" w:hAnsi="楷体_GB2312" w:eastAsia="楷体_GB2312"/>
          <w:b/>
          <w:bCs/>
          <w:sz w:val="24"/>
        </w:rPr>
        <w:t>第三条  乙方的义务</w:t>
      </w:r>
      <w:r>
        <w:rPr>
          <w:rFonts w:hint="eastAsia" w:ascii="楷体_GB2312" w:hAnsi="楷体_GB2312" w:eastAsia="楷体_GB2312"/>
          <w:b/>
          <w:bCs/>
          <w:color w:val="000000"/>
          <w:sz w:val="24"/>
        </w:rPr>
        <w:t>包括以下</w:t>
      </w:r>
      <w:r>
        <w:rPr>
          <w:rFonts w:hint="eastAsia" w:ascii="楷体_GB2312" w:hAnsi="楷体_GB2312" w:eastAsia="楷体_GB2312"/>
          <w:b/>
          <w:bCs/>
          <w:color w:val="000000"/>
          <w:sz w:val="24"/>
          <w:u w:val="none"/>
          <w:lang w:val="en-US" w:eastAsia="zh-CN"/>
        </w:rPr>
        <w:t>内容：</w:t>
      </w:r>
    </w:p>
    <w:p w14:paraId="2925628E">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1、乙方律师应当勤勉、尽责地完成第二条所列法律工作；</w:t>
      </w:r>
    </w:p>
    <w:p w14:paraId="029F3859">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2、乙方律师应当尽最大努力维护甲方利益；</w:t>
      </w:r>
    </w:p>
    <w:p w14:paraId="5D022DA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3、乙方律师应当在取得甲方委托和收到甲方提供的文件资料后，及时完成委托事项，并应甲方要求通报工作进程；</w:t>
      </w:r>
    </w:p>
    <w:p w14:paraId="4AD0918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4、乙方律师在担任常年法律顾问期间，不得为甲方员工个人提供任何不利于甲方的咨询意见；</w:t>
      </w:r>
    </w:p>
    <w:p w14:paraId="4B6C029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5、乙方律师未经甲方同意，不得担任与甲方具有法律利益冲突的另一方的法律顾问或者代理人；</w:t>
      </w:r>
    </w:p>
    <w:p w14:paraId="3D898E8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6、乙方律师应对其提供的法律意见的合法性承担法律责任；</w:t>
      </w:r>
    </w:p>
    <w:p w14:paraId="70F8198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7、乙方律师对其获知的甲方商业秘密负有保密责任，非由法律规定或者甲方同意，不得向任何第三方披露；</w:t>
      </w:r>
    </w:p>
    <w:p w14:paraId="33265689">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8、乙方对甲方业务应当单独建档，应当保存完整的工作记录，办理具体法律事务时，要一事一档、一案一卷，对涉及甲方的原始证据、法律文件和财物应当妥善保管；</w:t>
      </w:r>
    </w:p>
    <w:p w14:paraId="37FBEC3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9、乙方律师要定期听取甲方意见，不断提高服务质量。</w:t>
      </w:r>
    </w:p>
    <w:p w14:paraId="5C162D7F">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第四条  甲方的义务</w:t>
      </w:r>
    </w:p>
    <w:p w14:paraId="3C19A16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1、甲方应当全面、客观和及时地向乙方提供与法律事务有关的各种情况、文件、资料；</w:t>
      </w:r>
    </w:p>
    <w:p w14:paraId="59B149B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2、甲方应当为乙方律师办理事务提出明确、合理的要求；</w:t>
      </w:r>
    </w:p>
    <w:p w14:paraId="60A890FE">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3、甲方委托乙方办理诉讼和仲裁案件时，应当与乙方另行签订委托代理协议，签发授权书；</w:t>
      </w:r>
    </w:p>
    <w:p w14:paraId="2EED3899">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4、甲方应当按时、足额向乙方支付法律顾问费和工作费用；</w:t>
      </w:r>
    </w:p>
    <w:p w14:paraId="1ACBE6B2">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hint="eastAsia"/>
          <w:lang w:val="en-US" w:eastAsia="zh-CN"/>
        </w:rPr>
      </w:pPr>
      <w:r>
        <w:rPr>
          <w:rFonts w:hint="eastAsia" w:ascii="楷体_GB2312" w:hAnsi="SimSun" w:eastAsia="楷体_GB2312"/>
          <w:spacing w:val="5"/>
          <w:sz w:val="24"/>
        </w:rPr>
        <w:t>5、</w:t>
      </w:r>
      <w:r>
        <w:rPr>
          <w:rFonts w:hint="eastAsia" w:ascii="楷体_GB2312" w:hAnsi="SimSun" w:eastAsia="楷体_GB2312"/>
          <w:color w:val="FF0000"/>
          <w:spacing w:val="5"/>
          <w:sz w:val="24"/>
        </w:rPr>
        <w:t>甲方联系人为</w:t>
      </w:r>
      <w:r>
        <w:rPr>
          <w:rFonts w:hint="eastAsia" w:ascii="楷体_GB2312" w:hAnsi="SimSun" w:eastAsia="楷体_GB2312"/>
          <w:color w:val="FF0000"/>
          <w:spacing w:val="5"/>
          <w:sz w:val="24"/>
          <w:u w:val="single"/>
        </w:rPr>
        <w:t xml:space="preserve"> {{_11联系人}} </w:t>
      </w:r>
      <w:r>
        <w:rPr>
          <w:rFonts w:hint="eastAsia" w:ascii="楷体_GB2312" w:hAnsi="SimSun" w:eastAsia="楷体_GB2312"/>
          <w:color w:val="FF0000"/>
          <w:spacing w:val="5"/>
          <w:sz w:val="24"/>
        </w:rPr>
        <w:t>，联系方式为</w:t>
      </w:r>
      <w:r>
        <w:rPr>
          <w:rFonts w:hint="eastAsia" w:ascii="楷体_GB2312" w:hAnsi="SimSun" w:eastAsia="楷体_GB2312"/>
          <w:color w:val="FF0000"/>
          <w:spacing w:val="5"/>
          <w:sz w:val="24"/>
          <w:u w:val="single"/>
        </w:rPr>
        <w:t xml:space="preserve"> {{_6电话}} </w:t>
      </w:r>
      <w:r>
        <w:rPr>
          <w:rFonts w:hint="eastAsia" w:ascii="楷体_GB2312" w:hAnsi="SimSun" w:eastAsia="楷体_GB2312"/>
          <w:color w:val="FF0000"/>
          <w:spacing w:val="5"/>
          <w:sz w:val="24"/>
        </w:rPr>
        <w:t>，</w:t>
      </w:r>
      <w:r>
        <w:rPr>
          <w:rFonts w:hint="eastAsia" w:ascii="楷体_GB2312" w:hAnsi="SimSun" w:eastAsia="楷体_GB2312"/>
          <w:spacing w:val="5"/>
          <w:sz w:val="24"/>
        </w:rPr>
        <w:t>更换联系人应当通知常年法律顾问；</w:t>
      </w:r>
    </w:p>
    <w:p w14:paraId="133FFD20">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6、甲方有责任对委托事项做出独立的判断、决策。甲方因根据乙方律师提供的法律意见、建议、方案所做出的决定而导致的损失，如因乙方律师错误运用法律等失职行为造成的，应由乙方</w:t>
      </w:r>
      <w:r>
        <w:rPr>
          <w:rFonts w:hint="eastAsia" w:ascii="楷体_GB2312" w:hAnsi="SimSun" w:eastAsia="楷体_GB2312"/>
          <w:spacing w:val="5"/>
          <w:sz w:val="24"/>
          <w:lang w:val="en-US" w:eastAsia="zh-CN"/>
        </w:rPr>
        <w:t>以其执业保险</w:t>
      </w:r>
      <w:r>
        <w:rPr>
          <w:rFonts w:hint="eastAsia" w:ascii="楷体_GB2312" w:hAnsi="SimSun" w:eastAsia="楷体_GB2312"/>
          <w:spacing w:val="5"/>
          <w:sz w:val="24"/>
        </w:rPr>
        <w:t>承担赔偿责任。</w:t>
      </w:r>
    </w:p>
    <w:p w14:paraId="5E5222AB">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第五条  工作方式</w:t>
      </w:r>
    </w:p>
    <w:p w14:paraId="64BAF436">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1、法律顾问受聘期间，工作时间、地点和方式，由双方约定。</w:t>
      </w:r>
    </w:p>
    <w:p w14:paraId="2731A4DB">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2、如遇重大法律事务、紧急情况和甲方认为必要时，法律顾问应当应甲方要求到指定和约定地点及时处理法律事务；</w:t>
      </w:r>
    </w:p>
    <w:p w14:paraId="33A52FC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3、为及时实施和完成甲方委托的法律事务，双方约定，除重大紧急事项外，甲方应提前1-2个工作日通知乙方。</w:t>
      </w:r>
    </w:p>
    <w:p w14:paraId="3B26FDFE">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第六条  法律顾问费</w:t>
      </w:r>
    </w:p>
    <w:p w14:paraId="1EE26616">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双方依据《</w:t>
      </w:r>
      <w:r>
        <w:rPr>
          <w:rFonts w:hint="eastAsia" w:ascii="楷体_GB2312" w:hAnsi="SimSun" w:eastAsia="楷体_GB2312"/>
          <w:spacing w:val="5"/>
          <w:sz w:val="24"/>
          <w:lang w:val="en-US" w:eastAsia="zh-CN"/>
        </w:rPr>
        <w:t>北京市盈科（青岛）律师事务所法律服务收费标准</w:t>
      </w:r>
      <w:r>
        <w:rPr>
          <w:rFonts w:hint="eastAsia" w:ascii="楷体_GB2312" w:hAnsi="SimSun" w:eastAsia="楷体_GB2312"/>
          <w:spacing w:val="5"/>
          <w:sz w:val="24"/>
        </w:rPr>
        <w:t>》及双方的友好协商，就甲方应向乙方支付的律师费达成如下协议：</w:t>
      </w:r>
    </w:p>
    <w:p w14:paraId="71C487C6">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1、乙方收取律师费，已充分考虑了以下因素：(1) 耗费的工作时间；(2) 法律事务的难易程度；(3) 委托人的承受能力；(4) 律师可能承担的风险和责任；(5) 律师的社会信誉和工作水平。</w:t>
      </w:r>
    </w:p>
    <w:p w14:paraId="614DD47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spacing w:val="5"/>
          <w:sz w:val="24"/>
        </w:rPr>
      </w:pPr>
      <w:r>
        <w:rPr>
          <w:rFonts w:hint="eastAsia" w:ascii="楷体_GB2312" w:hAnsi="SimSun" w:eastAsia="楷体_GB2312"/>
          <w:spacing w:val="5"/>
          <w:sz w:val="24"/>
        </w:rPr>
        <w:t>2、收费方式、计算标准、收费数额及支付时间</w:t>
      </w:r>
    </w:p>
    <w:p w14:paraId="58F7730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u w:val="single"/>
        </w:rPr>
      </w:pPr>
      <w:r>
        <w:rPr>
          <w:rFonts w:hint="eastAsia" w:ascii="楷体_GB2312" w:hAnsi="SimSun" w:eastAsia="楷体_GB2312"/>
          <w:spacing w:val="5"/>
          <w:sz w:val="24"/>
        </w:rPr>
        <w:t>双方确定的法律顾问费为：</w:t>
      </w:r>
      <w:r>
        <w:rPr>
          <w:rFonts w:hint="eastAsia" w:ascii="楷体_GB2312" w:hAnsi="SimSun" w:eastAsia="楷体_GB2312"/>
          <w:spacing w:val="5"/>
          <w:sz w:val="24"/>
          <w:u w:val="single"/>
        </w:rPr>
        <w:t xml:space="preserve"> </w:t>
      </w:r>
      <w:r>
        <w:rPr>
          <w:rFonts w:hint="eastAsia" w:ascii="楷体_GB2312" w:hAnsi="SimSun" w:eastAsia="楷体_GB2312"/>
          <w:spacing w:val="5"/>
          <w:sz w:val="24"/>
          <w:u w:val="single"/>
          <w:lang w:eastAsia="zh-CN"/>
        </w:rPr>
        <w:t>￥</w:t>
      </w:r>
      <w:r>
        <w:rPr>
          <w:rFonts w:hint="eastAsia" w:ascii="楷体_GB2312" w:hAnsi="SimSun" w:eastAsia="楷体_GB2312"/>
          <w:spacing w:val="5"/>
          <w:sz w:val="24"/>
          <w:u w:val="single"/>
        </w:rPr>
        <w:t>{{_12法律服务费}}</w:t>
      </w:r>
      <w:r>
        <w:rPr>
          <w:rFonts w:hint="eastAsia" w:ascii="楷体_GB2312" w:hAnsi="SimSun" w:eastAsia="楷体_GB2312"/>
          <w:spacing w:val="5"/>
          <w:sz w:val="24"/>
          <w:u w:val="single"/>
          <w:lang w:eastAsia="zh-CN"/>
        </w:rPr>
        <w:t>（</w:t>
      </w:r>
      <w:r>
        <w:rPr>
          <w:rFonts w:hint="eastAsia" w:ascii="楷体_GB2312" w:hAnsi="SimSun" w:eastAsia="楷体_GB2312"/>
          <w:spacing w:val="5"/>
          <w:sz w:val="24"/>
          <w:u w:val="single"/>
          <w:lang w:val="en-US" w:eastAsia="zh-CN"/>
        </w:rPr>
        <w:t>大写：人民币{{_12服务费大写}}）</w:t>
      </w:r>
      <w:r>
        <w:rPr>
          <w:rFonts w:hint="eastAsia" w:ascii="楷体_GB2312" w:hAnsi="SimSun" w:eastAsia="楷体_GB2312"/>
          <w:spacing w:val="5"/>
          <w:sz w:val="24"/>
          <w:u w:val="single"/>
        </w:rPr>
        <w:t xml:space="preserve"> </w:t>
      </w:r>
    </w:p>
    <w:p w14:paraId="1B03C37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u w:val="single"/>
        </w:rPr>
      </w:pPr>
      <w:r>
        <w:rPr>
          <w:rFonts w:hint="eastAsia" w:ascii="楷体_GB2312" w:hAnsi="SimSun" w:eastAsia="楷体_GB2312"/>
          <w:spacing w:val="5"/>
          <w:sz w:val="24"/>
        </w:rPr>
        <w:t>法律顾问费的支付时间为：</w:t>
      </w:r>
      <w:r>
        <w:rPr>
          <w:rFonts w:hint="eastAsia" w:ascii="楷体_GB2312" w:hAnsi="SimSun" w:eastAsia="楷体_GB2312"/>
          <w:spacing w:val="5"/>
          <w:sz w:val="24"/>
          <w:u w:val="single"/>
        </w:rPr>
        <w:t xml:space="preserve">                                 </w:t>
      </w:r>
    </w:p>
    <w:p w14:paraId="14F791B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法律顾问期间，除第二条第</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项外，其他内容不再另行收费。</w:t>
      </w:r>
    </w:p>
    <w:p w14:paraId="62101C5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3、依照本协议第二条第</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项代理诉讼、仲裁案件时按争议标的额酌情收取代理费。具体案件可再协商，收费标准为；</w:t>
      </w:r>
    </w:p>
    <w:p w14:paraId="6BA1179D">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 标的额在10万元以下（含10万）</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%收费；</w:t>
      </w:r>
    </w:p>
    <w:p w14:paraId="202FA05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 10万元以上-50万</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%收费；</w:t>
      </w:r>
    </w:p>
    <w:p w14:paraId="7D77BF5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 50万以上-100万按</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%收费；</w:t>
      </w:r>
    </w:p>
    <w:p w14:paraId="562557F6">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(4) 100万以上-500万按</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%收费；</w:t>
      </w:r>
    </w:p>
    <w:p w14:paraId="67D8E74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(5) 100万以上-1000万按</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%收费；</w:t>
      </w:r>
    </w:p>
    <w:p w14:paraId="3B95A0B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(6) 1000万以上按</w:t>
      </w:r>
      <w:r>
        <w:rPr>
          <w:rFonts w:hint="eastAsia" w:ascii="楷体_GB2312" w:hAnsi="SimSun" w:eastAsia="楷体_GB2312"/>
          <w:spacing w:val="5"/>
          <w:sz w:val="24"/>
          <w:u w:val="single"/>
        </w:rPr>
        <w:t xml:space="preserve">   </w:t>
      </w:r>
      <w:r>
        <w:rPr>
          <w:rFonts w:hint="eastAsia" w:ascii="楷体_GB2312" w:hAnsi="SimSun" w:eastAsia="楷体_GB2312"/>
          <w:spacing w:val="5"/>
          <w:sz w:val="24"/>
        </w:rPr>
        <w:t xml:space="preserve"> %收费。</w:t>
      </w:r>
    </w:p>
    <w:p w14:paraId="56BDA2BB">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4、支付方式</w:t>
      </w:r>
    </w:p>
    <w:p w14:paraId="18C69E2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color w:val="FF0000"/>
          <w:spacing w:val="5"/>
          <w:sz w:val="24"/>
        </w:rPr>
        <w:t>法律顾问费按以下第</w:t>
      </w:r>
      <w:r>
        <w:rPr>
          <w:rFonts w:hint="eastAsia" w:ascii="楷体_GB2312" w:hAnsi="SimSun" w:eastAsia="楷体_GB2312"/>
          <w:color w:val="FF0000"/>
          <w:spacing w:val="5"/>
          <w:sz w:val="24"/>
          <w:u w:val="single"/>
          <w:lang w:eastAsia="zh-CN"/>
        </w:rPr>
        <w:t>（</w:t>
      </w:r>
      <w:r>
        <w:rPr>
          <w:rFonts w:hint="eastAsia" w:ascii="楷体_GB2312" w:hAnsi="SimSun" w:eastAsia="楷体_GB2312"/>
          <w:color w:val="FF0000"/>
          <w:spacing w:val="5"/>
          <w:sz w:val="24"/>
          <w:u w:val="single"/>
          <w:lang w:val="en-US" w:eastAsia="zh-CN"/>
        </w:rPr>
        <w:t>2</w:t>
      </w:r>
      <w:r>
        <w:rPr>
          <w:rFonts w:hint="eastAsia" w:ascii="楷体_GB2312" w:hAnsi="SimSun" w:eastAsia="楷体_GB2312"/>
          <w:color w:val="FF0000"/>
          <w:spacing w:val="5"/>
          <w:sz w:val="24"/>
          <w:u w:val="single"/>
          <w:lang w:eastAsia="zh-CN"/>
        </w:rPr>
        <w:t>）</w:t>
      </w:r>
      <w:r>
        <w:rPr>
          <w:rFonts w:hint="eastAsia" w:ascii="楷体_GB2312" w:hAnsi="SimSun" w:eastAsia="楷体_GB2312"/>
          <w:color w:val="FF0000"/>
          <w:spacing w:val="5"/>
          <w:sz w:val="24"/>
        </w:rPr>
        <w:t>种方式支付：</w:t>
      </w:r>
    </w:p>
    <w:p w14:paraId="61ADDEEE">
      <w:pPr>
        <w:keepNext w:val="0"/>
        <w:keepLines w:val="0"/>
        <w:pageBreakBefore w:val="0"/>
        <w:widowControl/>
        <w:kinsoku/>
        <w:wordWrap/>
        <w:overflowPunct/>
        <w:topLinePunct w:val="0"/>
        <w:autoSpaceDE/>
        <w:autoSpaceDN/>
        <w:bidi w:val="0"/>
        <w:adjustRightInd/>
        <w:snapToGrid w:val="0"/>
        <w:spacing w:line="440" w:lineRule="exact"/>
        <w:ind w:firstLine="625" w:firstLineChars="250"/>
        <w:textAlignment w:val="auto"/>
        <w:rPr>
          <w:rFonts w:ascii="楷体_GB2312" w:hAnsi="SimSun" w:eastAsia="楷体_GB2312"/>
          <w:spacing w:val="5"/>
          <w:sz w:val="24"/>
        </w:rPr>
      </w:pPr>
      <w:r>
        <w:rPr>
          <w:rFonts w:hint="eastAsia" w:ascii="楷体_GB2312" w:hAnsi="SimSun" w:eastAsia="楷体_GB2312"/>
          <w:spacing w:val="5"/>
          <w:sz w:val="24"/>
        </w:rPr>
        <w:t>（1）现金；</w:t>
      </w:r>
    </w:p>
    <w:p w14:paraId="09FD3030">
      <w:pPr>
        <w:keepNext w:val="0"/>
        <w:keepLines w:val="0"/>
        <w:pageBreakBefore w:val="0"/>
        <w:widowControl/>
        <w:kinsoku/>
        <w:wordWrap/>
        <w:overflowPunct/>
        <w:topLinePunct w:val="0"/>
        <w:autoSpaceDE/>
        <w:autoSpaceDN/>
        <w:bidi w:val="0"/>
        <w:adjustRightInd/>
        <w:snapToGrid w:val="0"/>
        <w:spacing w:line="440" w:lineRule="exact"/>
        <w:ind w:firstLine="625" w:firstLineChars="250"/>
        <w:textAlignment w:val="auto"/>
        <w:rPr>
          <w:rFonts w:ascii="楷体_GB2312" w:hAnsi="SimSun" w:eastAsia="楷体_GB2312"/>
          <w:spacing w:val="5"/>
          <w:sz w:val="24"/>
        </w:rPr>
      </w:pPr>
      <w:r>
        <w:rPr>
          <w:rFonts w:hint="eastAsia" w:ascii="楷体_GB2312" w:hAnsi="SimSun" w:eastAsia="楷体_GB2312"/>
          <w:spacing w:val="5"/>
          <w:sz w:val="24"/>
        </w:rPr>
        <w:t>（2）汇入乙方账户；</w:t>
      </w:r>
    </w:p>
    <w:p w14:paraId="575C88FA">
      <w:pPr>
        <w:keepNext w:val="0"/>
        <w:keepLines w:val="0"/>
        <w:pageBreakBefore w:val="0"/>
        <w:widowControl/>
        <w:kinsoku/>
        <w:wordWrap/>
        <w:overflowPunct/>
        <w:topLinePunct w:val="0"/>
        <w:autoSpaceDE/>
        <w:autoSpaceDN/>
        <w:bidi w:val="0"/>
        <w:adjustRightInd/>
        <w:snapToGrid w:val="0"/>
        <w:spacing w:line="440" w:lineRule="exact"/>
        <w:ind w:firstLine="1750" w:firstLineChars="700"/>
        <w:textAlignment w:val="auto"/>
        <w:rPr>
          <w:rFonts w:ascii="楷体_GB2312" w:hAnsi="SimSun" w:eastAsia="楷体_GB2312"/>
          <w:spacing w:val="5"/>
          <w:sz w:val="24"/>
        </w:rPr>
      </w:pPr>
      <w:r>
        <w:rPr>
          <w:rFonts w:hint="eastAsia" w:ascii="楷体_GB2312" w:hAnsi="SimSun" w:eastAsia="楷体_GB2312"/>
          <w:spacing w:val="5"/>
          <w:sz w:val="24"/>
        </w:rPr>
        <w:t>乙方户名：北京市盈科（青岛）律师事务所</w:t>
      </w:r>
    </w:p>
    <w:p w14:paraId="18384F79">
      <w:pPr>
        <w:keepNext w:val="0"/>
        <w:keepLines w:val="0"/>
        <w:pageBreakBefore w:val="0"/>
        <w:widowControl/>
        <w:kinsoku/>
        <w:wordWrap/>
        <w:overflowPunct/>
        <w:topLinePunct w:val="0"/>
        <w:autoSpaceDE/>
        <w:autoSpaceDN/>
        <w:bidi w:val="0"/>
        <w:adjustRightInd/>
        <w:snapToGrid w:val="0"/>
        <w:spacing w:line="440" w:lineRule="exact"/>
        <w:ind w:firstLine="1750" w:firstLineChars="700"/>
        <w:textAlignment w:val="auto"/>
        <w:rPr>
          <w:rFonts w:hint="eastAsia" w:ascii="楷体_GB2312" w:hAnsi="SimSun" w:eastAsia="楷体_GB2312"/>
          <w:spacing w:val="5"/>
          <w:sz w:val="24"/>
          <w:lang w:val="en-US" w:eastAsia="zh-CN"/>
        </w:rPr>
      </w:pPr>
      <w:r>
        <w:rPr>
          <w:rFonts w:hint="eastAsia" w:ascii="楷体_GB2312" w:hAnsi="SimSun" w:eastAsia="楷体_GB2312"/>
          <w:spacing w:val="5"/>
          <w:sz w:val="24"/>
        </w:rPr>
        <w:t>开户行：中信银行青岛分行</w:t>
      </w:r>
      <w:r>
        <w:rPr>
          <w:rFonts w:hint="eastAsia" w:ascii="楷体_GB2312" w:hAnsi="SimSun" w:eastAsia="楷体_GB2312"/>
          <w:spacing w:val="5"/>
          <w:sz w:val="24"/>
          <w:lang w:val="en-US" w:eastAsia="zh-CN"/>
        </w:rPr>
        <w:t>营业部</w:t>
      </w:r>
    </w:p>
    <w:p w14:paraId="7BB75785">
      <w:pPr>
        <w:keepNext w:val="0"/>
        <w:keepLines w:val="0"/>
        <w:pageBreakBefore w:val="0"/>
        <w:widowControl/>
        <w:kinsoku/>
        <w:wordWrap/>
        <w:overflowPunct/>
        <w:topLinePunct w:val="0"/>
        <w:autoSpaceDE/>
        <w:autoSpaceDN/>
        <w:bidi w:val="0"/>
        <w:adjustRightInd/>
        <w:snapToGrid w:val="0"/>
        <w:spacing w:line="440" w:lineRule="exact"/>
        <w:ind w:firstLine="1875" w:firstLineChars="750"/>
        <w:textAlignment w:val="auto"/>
        <w:rPr>
          <w:rFonts w:hint="eastAsia" w:ascii="楷体_GB2312" w:hAnsi="SimSun" w:eastAsia="楷体_GB2312"/>
          <w:spacing w:val="5"/>
          <w:sz w:val="24"/>
        </w:rPr>
      </w:pPr>
      <w:r>
        <w:rPr>
          <w:rFonts w:hint="eastAsia" w:ascii="楷体_GB2312" w:hAnsi="SimSun" w:eastAsia="楷体_GB2312"/>
          <w:spacing w:val="5"/>
          <w:sz w:val="24"/>
        </w:rPr>
        <w:t>账号：7371 06018 2800 2262 62</w:t>
      </w:r>
    </w:p>
    <w:p w14:paraId="2C431665">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第七条  代收费用及差旅费</w:t>
      </w:r>
    </w:p>
    <w:p w14:paraId="19869A3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7A873F54">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2、乙方为甲方办理法律事务，所需要的差旅费用应当先行向甲方预收，具体金额根据差旅情况另行商议。乙方办理法律事务完毕后，应及时凭有效票据与甲方结算办案差旅费，多退少补。</w:t>
      </w:r>
    </w:p>
    <w:p w14:paraId="7BEAEBFB">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第八条  合同的解除</w:t>
      </w:r>
    </w:p>
    <w:p w14:paraId="25ADD1D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1、甲乙双方经协商一致，可以变更或者解除本合同。</w:t>
      </w:r>
    </w:p>
    <w:p w14:paraId="1B52B7A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2、乙方有下列情形之一的，甲方有权解除合同：</w:t>
      </w:r>
    </w:p>
    <w:p w14:paraId="63954F8D">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（1）未经甲方同意，擅自更换作为甲方常年法律顾问的律师的；</w:t>
      </w:r>
    </w:p>
    <w:p w14:paraId="3D3E1EB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（2）因乙方律师工作延误、失职、失误导致甲方蒙受损失的；</w:t>
      </w:r>
    </w:p>
    <w:p w14:paraId="2F35728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3、甲方有下列情形之一的，乙方有权解除合同：</w:t>
      </w:r>
    </w:p>
    <w:p w14:paraId="75B8C694">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（1）甲方的委托事项违反法律或者违反律师执业规范的；</w:t>
      </w:r>
    </w:p>
    <w:p w14:paraId="23357D0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（2）甲方有捏造事实、伪造证据或者隐瞒重要情节等情形，致使乙方律师不能提供有效的法律服务的；</w:t>
      </w:r>
    </w:p>
    <w:p w14:paraId="0A8A766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楷体_GB2312" w:eastAsia="楷体_GB2312"/>
          <w:b/>
          <w:bCs/>
          <w:sz w:val="24"/>
        </w:rPr>
      </w:pPr>
      <w:r>
        <w:rPr>
          <w:rFonts w:hint="eastAsia" w:ascii="楷体_GB2312" w:hAnsi="SimSun" w:eastAsia="楷体_GB2312"/>
          <w:spacing w:val="5"/>
          <w:sz w:val="24"/>
        </w:rPr>
        <w:t>（3）甲方逾期十五日仍不向乙方支付法律顾问费或者工作费用的</w:t>
      </w:r>
      <w:r>
        <w:rPr>
          <w:rFonts w:hint="eastAsia" w:ascii="楷体_GB2312" w:hAnsi="楷体_GB2312" w:eastAsia="楷体_GB2312"/>
          <w:b/>
          <w:bCs/>
          <w:sz w:val="24"/>
        </w:rPr>
        <w:t>。</w:t>
      </w:r>
    </w:p>
    <w:p w14:paraId="29DC3F59">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第九条  违约责任</w:t>
      </w:r>
    </w:p>
    <w:p w14:paraId="18B4969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乙方无正当理由在甲方提出要求后不提供第二条规定的法律服务或者违反第三条规定的义务，甲方有权要求乙方退还部分或者全部已付的法律顾问费。</w:t>
      </w:r>
    </w:p>
    <w:p w14:paraId="43DFC1AE">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spacing w:val="5"/>
          <w:sz w:val="24"/>
        </w:rPr>
      </w:pPr>
      <w:r>
        <w:rPr>
          <w:rFonts w:hint="eastAsia" w:ascii="楷体_GB2312" w:hAnsi="SimSun" w:eastAsia="楷体_GB2312"/>
          <w:spacing w:val="5"/>
          <w:sz w:val="24"/>
        </w:rPr>
        <w:t>乙方律师因工作延误、失职、失误导致甲方蒙受重大损失，应当向甲方承担赔偿责任；但在任何情况下，乙方的赔偿金额以乙方根据本合同所收取的律师费为限。</w:t>
      </w:r>
    </w:p>
    <w:p w14:paraId="6F4E837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spacing w:val="5"/>
          <w:sz w:val="24"/>
        </w:rPr>
      </w:pPr>
      <w:r>
        <w:rPr>
          <w:rFonts w:hint="eastAsia" w:ascii="楷体_GB2312" w:hAnsi="SimSun" w:eastAsia="楷体_GB2312"/>
          <w:spacing w:val="5"/>
          <w:sz w:val="24"/>
        </w:rPr>
        <w:t>甲方无正当理由不支付法律顾问费或者工作费用，或者无故终止合同，乙方有权要求甲方支付未付的法律顾问费、未报销的工作费用以及延期支付的利息。</w:t>
      </w:r>
    </w:p>
    <w:p w14:paraId="63BC13F4">
      <w:pPr>
        <w:keepNext w:val="0"/>
        <w:keepLines w:val="0"/>
        <w:pageBreakBefore w:val="0"/>
        <w:widowControl/>
        <w:numPr>
          <w:ilvl w:val="0"/>
          <w:numId w:val="1"/>
        </w:numPr>
        <w:kinsoku/>
        <w:wordWrap/>
        <w:overflowPunct/>
        <w:topLinePunct w:val="0"/>
        <w:autoSpaceDE/>
        <w:autoSpaceDN/>
        <w:bidi w:val="0"/>
        <w:adjustRightInd/>
        <w:snapToGrid w:val="0"/>
        <w:spacing w:line="440" w:lineRule="exact"/>
        <w:ind w:firstLine="482" w:firstLineChars="200"/>
        <w:textAlignment w:val="auto"/>
        <w:rPr>
          <w:rFonts w:hint="eastAsia" w:ascii="楷体_GB2312" w:hAnsi="SimSun" w:eastAsia="楷体_GB2312"/>
          <w:b/>
          <w:bCs/>
          <w:spacing w:val="5"/>
          <w:sz w:val="24"/>
          <w:lang w:eastAsia="zh-CN"/>
        </w:rPr>
      </w:pPr>
      <w:r>
        <w:rPr>
          <w:rFonts w:hint="eastAsia" w:ascii="楷体_GB2312" w:hAnsi="楷体_GB2312" w:eastAsia="楷体_GB2312"/>
          <w:b/>
          <w:bCs/>
          <w:sz w:val="24"/>
          <w:lang w:val="en-US" w:eastAsia="zh-CN"/>
        </w:rPr>
        <w:t xml:space="preserve"> </w:t>
      </w:r>
      <w:r>
        <w:rPr>
          <w:rFonts w:hint="eastAsia" w:ascii="楷体_GB2312" w:hAnsi="SimSun" w:eastAsia="楷体_GB2312"/>
          <w:b/>
          <w:bCs/>
          <w:spacing w:val="5"/>
          <w:sz w:val="24"/>
          <w:lang w:eastAsia="zh-CN"/>
        </w:rPr>
        <w:t>特别约定</w:t>
      </w:r>
    </w:p>
    <w:p w14:paraId="4F3E17DC">
      <w:pPr>
        <w:keepNext w:val="0"/>
        <w:keepLines w:val="0"/>
        <w:pageBreakBefore w:val="0"/>
        <w:widowControl/>
        <w:numPr>
          <w:ilvl w:val="0"/>
          <w:numId w:val="0"/>
        </w:numPr>
        <w:kinsoku/>
        <w:wordWrap/>
        <w:overflowPunct/>
        <w:topLinePunct w:val="0"/>
        <w:autoSpaceDE/>
        <w:autoSpaceDN/>
        <w:bidi w:val="0"/>
        <w:adjustRightInd/>
        <w:snapToGrid w:val="0"/>
        <w:spacing w:line="440" w:lineRule="exact"/>
        <w:ind w:firstLine="502" w:firstLineChars="200"/>
        <w:textAlignment w:val="auto"/>
        <w:rPr>
          <w:rFonts w:hint="eastAsia" w:ascii="楷体_GB2312" w:hAnsi="SimSun" w:eastAsia="楷体_GB2312"/>
          <w:b/>
          <w:bCs/>
          <w:spacing w:val="5"/>
          <w:sz w:val="24"/>
          <w:lang w:eastAsia="zh-CN"/>
        </w:rPr>
      </w:pPr>
      <w:r>
        <w:rPr>
          <w:rFonts w:hint="eastAsia" w:ascii="楷体_GB2312" w:hAnsi="SimSun" w:eastAsia="楷体_GB2312"/>
          <w:b/>
          <w:bCs/>
          <w:spacing w:val="5"/>
          <w:sz w:val="24"/>
          <w:lang w:eastAsia="zh-CN"/>
        </w:rPr>
        <w:t>甲方充分知晓北京市盈科律师事务所是一大型律师事务所，有北京总部及各分所，乙方为盈科律师事务所之ー。甲方在此确认：理解并认可盈科其他律所及其他律师（包括分所及分所律师）可以接受甲方对方当事人其他事项的委托(对方当事人若有其他事项需委托盈科代理的，该事项须是与本委托事项无关的、独立于本代理合同委托事项之外的事项)。</w:t>
      </w:r>
    </w:p>
    <w:p w14:paraId="57F568E6">
      <w:pPr>
        <w:keepNext w:val="0"/>
        <w:keepLines w:val="0"/>
        <w:pageBreakBefore w:val="0"/>
        <w:widowControl w:val="0"/>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第十</w:t>
      </w:r>
      <w:r>
        <w:rPr>
          <w:rFonts w:hint="eastAsia" w:ascii="楷体_GB2312" w:hAnsi="楷体_GB2312" w:eastAsia="楷体_GB2312"/>
          <w:b/>
          <w:bCs/>
          <w:sz w:val="24"/>
          <w:lang w:eastAsia="zh-CN"/>
        </w:rPr>
        <w:t>一</w:t>
      </w:r>
      <w:r>
        <w:rPr>
          <w:rFonts w:hint="eastAsia" w:ascii="楷体_GB2312" w:hAnsi="楷体_GB2312" w:eastAsia="楷体_GB2312"/>
          <w:b/>
          <w:bCs/>
          <w:sz w:val="24"/>
        </w:rPr>
        <w:t>条  争议解决方式</w:t>
      </w:r>
    </w:p>
    <w:p w14:paraId="3A956EF9">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甲乙双方如果发生争议，应当友好协商解决。如协商不成，任何一方均有权将争议</w:t>
      </w:r>
      <w:r>
        <w:rPr>
          <w:rFonts w:hint="eastAsia" w:ascii="楷体_GB2312" w:hAnsi="SimSun" w:eastAsia="楷体_GB2312"/>
          <w:spacing w:val="5"/>
          <w:sz w:val="24"/>
          <w:u w:val="single"/>
        </w:rPr>
        <w:t xml:space="preserve"> {{_13争议管辖机构}} </w:t>
      </w:r>
      <w:r>
        <w:rPr>
          <w:rFonts w:hint="eastAsia" w:ascii="楷体_GB2312" w:hAnsi="SimSun" w:eastAsia="楷体_GB2312"/>
          <w:spacing w:val="5"/>
          <w:sz w:val="24"/>
          <w:u w:val="none"/>
          <w:lang w:val="en-US" w:eastAsia="zh-CN"/>
        </w:rPr>
        <w:t>解决</w:t>
      </w:r>
      <w:r>
        <w:rPr>
          <w:rFonts w:hint="eastAsia" w:ascii="楷体_GB2312" w:hAnsi="SimSun" w:eastAsia="楷体_GB2312"/>
          <w:spacing w:val="5"/>
          <w:sz w:val="24"/>
        </w:rPr>
        <w:t>。</w:t>
      </w:r>
    </w:p>
    <w:p w14:paraId="27B71F46">
      <w:pPr>
        <w:keepNext w:val="0"/>
        <w:keepLines w:val="0"/>
        <w:pageBreakBefore w:val="0"/>
        <w:widowControl w:val="0"/>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第十</w:t>
      </w:r>
      <w:r>
        <w:rPr>
          <w:rFonts w:hint="eastAsia" w:ascii="楷体_GB2312" w:hAnsi="楷体_GB2312" w:eastAsia="楷体_GB2312"/>
          <w:b/>
          <w:bCs/>
          <w:sz w:val="24"/>
          <w:lang w:eastAsia="zh-CN"/>
        </w:rPr>
        <w:t>二</w:t>
      </w:r>
      <w:r>
        <w:rPr>
          <w:rFonts w:hint="eastAsia" w:ascii="楷体_GB2312" w:hAnsi="楷体_GB2312" w:eastAsia="楷体_GB2312"/>
          <w:b/>
          <w:bCs/>
          <w:sz w:val="24"/>
        </w:rPr>
        <w:t>条  合同的生效</w:t>
      </w:r>
    </w:p>
    <w:p w14:paraId="0BBF93C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本合同正本一式三份，自甲乙双方签字并加盖公章之日起生效，甲乙双方及乙方律师各执一份，具有同等法律效力。</w:t>
      </w:r>
    </w:p>
    <w:p w14:paraId="1944FEE3">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第十</w:t>
      </w:r>
      <w:r>
        <w:rPr>
          <w:rFonts w:hint="eastAsia" w:ascii="楷体_GB2312" w:hAnsi="楷体_GB2312" w:eastAsia="楷体_GB2312"/>
          <w:b/>
          <w:bCs/>
          <w:sz w:val="24"/>
          <w:lang w:eastAsia="zh-CN"/>
        </w:rPr>
        <w:t>三</w:t>
      </w:r>
      <w:r>
        <w:rPr>
          <w:rFonts w:hint="eastAsia" w:ascii="楷体_GB2312" w:hAnsi="楷体_GB2312" w:eastAsia="楷体_GB2312"/>
          <w:b/>
          <w:bCs/>
          <w:sz w:val="24"/>
        </w:rPr>
        <w:t>条  合同的期限</w:t>
      </w:r>
    </w:p>
    <w:p w14:paraId="35BBB34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本合同的期限为</w:t>
      </w:r>
      <w:r>
        <w:rPr>
          <w:rFonts w:hint="eastAsia" w:ascii="楷体_GB2312" w:hAnsi="SimSun" w:eastAsia="楷体_GB2312"/>
          <w:spacing w:val="5"/>
          <w:sz w:val="24"/>
          <w:u w:val="single"/>
        </w:rPr>
        <w:t>{{_14合同期限}}</w:t>
      </w:r>
      <w:r>
        <w:rPr>
          <w:rFonts w:hint="eastAsia" w:ascii="楷体_GB2312" w:hAnsi="SimSun" w:eastAsia="楷体_GB2312"/>
          <w:spacing w:val="5"/>
          <w:sz w:val="24"/>
        </w:rPr>
        <w:t>，自</w:t>
      </w:r>
      <w:r>
        <w:rPr>
          <w:rFonts w:hint="eastAsia" w:ascii="楷体_GB2312" w:hAnsi="SimSun" w:eastAsia="楷体_GB2312"/>
          <w:spacing w:val="5"/>
          <w:sz w:val="24"/>
          <w:u w:val="single"/>
        </w:rPr>
        <w:t>{{_15起始日期}}</w:t>
      </w:r>
      <w:r>
        <w:rPr>
          <w:rFonts w:hint="eastAsia" w:ascii="楷体_GB2312" w:hAnsi="SimSun" w:eastAsia="楷体_GB2312"/>
          <w:spacing w:val="5"/>
          <w:sz w:val="24"/>
        </w:rPr>
        <w:t>起至</w:t>
      </w:r>
      <w:r>
        <w:rPr>
          <w:rFonts w:hint="eastAsia" w:ascii="楷体_GB2312" w:hAnsi="SimSun" w:eastAsia="楷体_GB2312"/>
          <w:spacing w:val="5"/>
          <w:sz w:val="24"/>
          <w:u w:val="single"/>
        </w:rPr>
        <w:t>{{_15终止日期}}</w:t>
      </w:r>
      <w:bookmarkStart w:id="0" w:name="_GoBack"/>
      <w:bookmarkEnd w:id="0"/>
      <w:r>
        <w:rPr>
          <w:rFonts w:hint="eastAsia" w:ascii="楷体_GB2312" w:hAnsi="SimSun" w:eastAsia="楷体_GB2312"/>
          <w:spacing w:val="5"/>
          <w:sz w:val="24"/>
        </w:rPr>
        <w:t>止。合同期满前30日内，甲乙双方协商决定是否续签常年法律顾问合同。</w:t>
      </w:r>
    </w:p>
    <w:p w14:paraId="27F758D0">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cs="SimSun"/>
          <w:b/>
          <w:bCs/>
          <w:kern w:val="0"/>
          <w:sz w:val="24"/>
        </w:rPr>
      </w:pPr>
      <w:r>
        <w:rPr>
          <w:rFonts w:hint="eastAsia" w:ascii="楷体_GB2312" w:hAnsi="楷体_GB2312" w:eastAsia="楷体_GB2312" w:cs="SimSun"/>
          <w:b/>
          <w:bCs/>
          <w:kern w:val="0"/>
          <w:sz w:val="24"/>
        </w:rPr>
        <w:t>第十</w:t>
      </w:r>
      <w:r>
        <w:rPr>
          <w:rFonts w:hint="eastAsia" w:ascii="楷体_GB2312" w:hAnsi="楷体_GB2312" w:eastAsia="楷体_GB2312"/>
          <w:b/>
          <w:bCs/>
          <w:sz w:val="24"/>
          <w:lang w:eastAsia="zh-CN"/>
        </w:rPr>
        <w:t>四</w:t>
      </w:r>
      <w:r>
        <w:rPr>
          <w:rFonts w:hint="eastAsia" w:ascii="楷体_GB2312" w:hAnsi="楷体_GB2312" w:eastAsia="楷体_GB2312" w:cs="SimSun"/>
          <w:b/>
          <w:bCs/>
          <w:kern w:val="0"/>
          <w:sz w:val="24"/>
        </w:rPr>
        <w:t>条  通知和送达</w:t>
      </w:r>
    </w:p>
    <w:p w14:paraId="53F909C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spacing w:val="5"/>
          <w:sz w:val="24"/>
        </w:rPr>
      </w:pPr>
      <w:r>
        <w:rPr>
          <w:rFonts w:hint="eastAsia" w:ascii="楷体_GB2312" w:hAnsi="SimSun" w:eastAsia="楷体_GB2312"/>
          <w:spacing w:val="5"/>
          <w:sz w:val="24"/>
        </w:rPr>
        <w:t>甲乙双方因履行本合同而相互发出或者提供的所有通知、文件、资料、均以本合同扉页所列明的地址、传真</w:t>
      </w:r>
      <w:r>
        <w:rPr>
          <w:rFonts w:hint="eastAsia" w:ascii="楷体_GB2312" w:hAnsi="SimSun" w:eastAsia="楷体_GB2312"/>
          <w:spacing w:val="5"/>
          <w:sz w:val="24"/>
          <w:lang w:eastAsia="zh-CN"/>
        </w:rPr>
        <w:t>、</w:t>
      </w:r>
      <w:r>
        <w:rPr>
          <w:rFonts w:hint="eastAsia" w:ascii="楷体_GB2312" w:hAnsi="SimSun" w:eastAsia="楷体_GB2312"/>
          <w:spacing w:val="5"/>
          <w:sz w:val="24"/>
          <w:lang w:val="en-US" w:eastAsia="zh-CN"/>
        </w:rPr>
        <w:t>电话、微信</w:t>
      </w:r>
      <w:r>
        <w:rPr>
          <w:rFonts w:hint="eastAsia" w:ascii="楷体_GB2312" w:hAnsi="SimSun" w:eastAsia="楷体_GB2312"/>
          <w:spacing w:val="5"/>
          <w:sz w:val="24"/>
        </w:rPr>
        <w:t>送达。一方如果迁址或者变更</w:t>
      </w:r>
      <w:r>
        <w:rPr>
          <w:rFonts w:hint="eastAsia" w:ascii="楷体_GB2312" w:hAnsi="SimSun" w:eastAsia="楷体_GB2312"/>
          <w:spacing w:val="5"/>
          <w:sz w:val="24"/>
          <w:lang w:val="en-US" w:eastAsia="zh-CN"/>
        </w:rPr>
        <w:t>传真、</w:t>
      </w:r>
      <w:r>
        <w:rPr>
          <w:rFonts w:hint="eastAsia" w:ascii="楷体_GB2312" w:hAnsi="SimSun" w:eastAsia="楷体_GB2312"/>
          <w:spacing w:val="5"/>
          <w:sz w:val="24"/>
        </w:rPr>
        <w:t>电话</w:t>
      </w:r>
      <w:r>
        <w:rPr>
          <w:rFonts w:hint="eastAsia" w:ascii="楷体_GB2312" w:hAnsi="SimSun" w:eastAsia="楷体_GB2312"/>
          <w:spacing w:val="5"/>
          <w:sz w:val="24"/>
          <w:lang w:eastAsia="zh-CN"/>
        </w:rPr>
        <w:t>、</w:t>
      </w:r>
      <w:r>
        <w:rPr>
          <w:rFonts w:hint="eastAsia" w:ascii="楷体_GB2312" w:hAnsi="SimSun" w:eastAsia="楷体_GB2312"/>
          <w:spacing w:val="5"/>
          <w:sz w:val="24"/>
          <w:lang w:val="en-US" w:eastAsia="zh-CN"/>
        </w:rPr>
        <w:t>微信</w:t>
      </w:r>
      <w:r>
        <w:rPr>
          <w:rFonts w:hint="eastAsia" w:ascii="楷体_GB2312" w:hAnsi="SimSun" w:eastAsia="楷体_GB2312"/>
          <w:spacing w:val="5"/>
          <w:sz w:val="24"/>
        </w:rPr>
        <w:t>，应当书面通知对方。</w:t>
      </w:r>
    </w:p>
    <w:p w14:paraId="52C55167">
      <w:pPr>
        <w:keepNext w:val="0"/>
        <w:keepLines w:val="0"/>
        <w:pageBreakBefore w:val="0"/>
        <w:widowControl/>
        <w:kinsoku/>
        <w:wordWrap/>
        <w:overflowPunct/>
        <w:topLinePunct w:val="0"/>
        <w:autoSpaceDE/>
        <w:autoSpaceDN/>
        <w:bidi w:val="0"/>
        <w:adjustRightInd/>
        <w:snapToGrid w:val="0"/>
        <w:spacing w:line="440" w:lineRule="exact"/>
        <w:ind w:firstLine="502" w:firstLineChars="200"/>
        <w:textAlignment w:val="auto"/>
        <w:rPr>
          <w:rFonts w:ascii="楷体_GB2312" w:hAnsi="SimSun" w:eastAsia="楷体_GB2312"/>
          <w:b/>
          <w:spacing w:val="5"/>
          <w:sz w:val="24"/>
        </w:rPr>
      </w:pPr>
      <w:r>
        <w:rPr>
          <w:rFonts w:hint="eastAsia" w:ascii="楷体_GB2312" w:hAnsi="SimSun" w:eastAsia="楷体_GB2312"/>
          <w:b/>
          <w:spacing w:val="5"/>
          <w:sz w:val="24"/>
        </w:rPr>
        <w:t>第十</w:t>
      </w:r>
      <w:r>
        <w:rPr>
          <w:rFonts w:hint="eastAsia" w:ascii="楷体_GB2312" w:hAnsi="楷体_GB2312" w:eastAsia="楷体_GB2312" w:cs="SimSun"/>
          <w:b/>
          <w:bCs/>
          <w:kern w:val="0"/>
          <w:sz w:val="24"/>
          <w:lang w:eastAsia="zh-CN"/>
        </w:rPr>
        <w:t>五</w:t>
      </w:r>
      <w:r>
        <w:rPr>
          <w:rFonts w:hint="eastAsia" w:ascii="楷体_GB2312" w:hAnsi="SimSun" w:eastAsia="楷体_GB2312"/>
          <w:b/>
          <w:spacing w:val="5"/>
          <w:sz w:val="24"/>
        </w:rPr>
        <w:t>条  其他</w:t>
      </w:r>
    </w:p>
    <w:p w14:paraId="17677B0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spacing w:val="5"/>
          <w:sz w:val="24"/>
          <w:u w:val="single"/>
        </w:rPr>
      </w:pPr>
      <w:r>
        <w:rPr>
          <w:rFonts w:hint="eastAsia" w:ascii="楷体_GB2312" w:hAnsi="SimSun" w:eastAsia="楷体_GB2312"/>
          <w:spacing w:val="5"/>
          <w:sz w:val="24"/>
          <w:u w:val="single"/>
        </w:rPr>
        <w:t xml:space="preserve">                                                                   </w:t>
      </w:r>
    </w:p>
    <w:p w14:paraId="18D44BFB">
      <w:pPr>
        <w:keepNext w:val="0"/>
        <w:keepLines w:val="0"/>
        <w:pageBreakBefore w:val="0"/>
        <w:widowControl/>
        <w:kinsoku/>
        <w:wordWrap/>
        <w:overflowPunct/>
        <w:topLinePunct w:val="0"/>
        <w:autoSpaceDE/>
        <w:autoSpaceDN/>
        <w:bidi w:val="0"/>
        <w:adjustRightInd/>
        <w:snapToGrid w:val="0"/>
        <w:spacing w:line="440" w:lineRule="exact"/>
        <w:jc w:val="left"/>
        <w:textAlignment w:val="auto"/>
        <w:rPr>
          <w:rFonts w:hint="eastAsia" w:ascii="楷体_GB2312" w:hAnsi="STXihei" w:eastAsia="楷体_GB2312"/>
          <w:b/>
          <w:spacing w:val="5"/>
          <w:sz w:val="24"/>
          <w:u w:val="single"/>
        </w:rPr>
      </w:pPr>
      <w:r>
        <w:rPr>
          <w:rFonts w:hint="eastAsia" w:ascii="楷体_GB2312" w:hAnsi="STXihei" w:eastAsia="楷体_GB2312"/>
          <w:b/>
          <w:spacing w:val="5"/>
          <w:sz w:val="24"/>
          <w:u w:val="single"/>
        </w:rPr>
        <w:t xml:space="preserve">                                                         </w:t>
      </w:r>
      <w:r>
        <w:rPr>
          <w:rFonts w:hint="eastAsia" w:ascii="楷体_GB2312" w:hAnsi="STXihei" w:eastAsia="楷体_GB2312"/>
          <w:b/>
          <w:spacing w:val="5"/>
          <w:sz w:val="24"/>
          <w:u w:val="single"/>
          <w:lang w:val="en-US" w:eastAsia="zh-CN"/>
        </w:rPr>
        <w:t xml:space="preserve">       </w:t>
      </w:r>
      <w:r>
        <w:rPr>
          <w:rFonts w:hint="eastAsia" w:ascii="楷体_GB2312" w:hAnsi="STXihei" w:eastAsia="楷体_GB2312"/>
          <w:b/>
          <w:spacing w:val="5"/>
          <w:sz w:val="24"/>
          <w:u w:val="single"/>
        </w:rPr>
        <w:t xml:space="preserve">       </w:t>
      </w:r>
    </w:p>
    <w:p w14:paraId="53AD04EE">
      <w:pPr>
        <w:keepNext w:val="0"/>
        <w:keepLines w:val="0"/>
        <w:pageBreakBefore w:val="0"/>
        <w:widowControl/>
        <w:kinsoku/>
        <w:wordWrap/>
        <w:overflowPunct/>
        <w:topLinePunct w:val="0"/>
        <w:autoSpaceDE/>
        <w:autoSpaceDN/>
        <w:bidi w:val="0"/>
        <w:adjustRightInd/>
        <w:snapToGrid w:val="0"/>
        <w:spacing w:line="440" w:lineRule="exact"/>
        <w:jc w:val="left"/>
        <w:textAlignment w:val="auto"/>
        <w:rPr>
          <w:rFonts w:hint="eastAsia" w:ascii="楷体_GB2312" w:hAnsi="STXihei" w:eastAsia="楷体_GB2312"/>
          <w:b/>
          <w:spacing w:val="5"/>
          <w:sz w:val="24"/>
          <w:u w:val="single"/>
        </w:rPr>
      </w:pPr>
      <w:r>
        <w:rPr>
          <w:rFonts w:hint="eastAsia" w:ascii="楷体_GB2312" w:hAnsi="STXihei" w:eastAsia="楷体_GB2312"/>
          <w:b/>
          <w:spacing w:val="5"/>
          <w:sz w:val="24"/>
          <w:u w:val="single"/>
        </w:rPr>
        <w:t xml:space="preserve">                                                          </w:t>
      </w:r>
      <w:r>
        <w:rPr>
          <w:rFonts w:hint="eastAsia" w:ascii="楷体_GB2312" w:hAnsi="STXihei" w:eastAsia="楷体_GB2312"/>
          <w:b/>
          <w:spacing w:val="5"/>
          <w:sz w:val="24"/>
          <w:u w:val="single"/>
          <w:lang w:val="en-US" w:eastAsia="zh-CN"/>
        </w:rPr>
        <w:t xml:space="preserve">       </w:t>
      </w:r>
      <w:r>
        <w:rPr>
          <w:rFonts w:hint="eastAsia" w:ascii="楷体_GB2312" w:hAnsi="STXihei" w:eastAsia="楷体_GB2312"/>
          <w:b/>
          <w:spacing w:val="5"/>
          <w:sz w:val="24"/>
          <w:u w:val="single"/>
        </w:rPr>
        <w:t xml:space="preserve">      </w:t>
      </w:r>
    </w:p>
    <w:p w14:paraId="6EC2B4BA">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hint="eastAsia" w:ascii="仿宋_GB2312" w:hAnsi="SimSun" w:eastAsia="仿宋_GB2312" w:cs="Arial"/>
          <w:b/>
          <w:bCs/>
          <w:sz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02FA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5311FEB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w:t>
            </w:r>
          </w:p>
          <w:p w14:paraId="27587D0E">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05718BA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c>
          <w:tcPr>
            <w:tcW w:w="5354" w:type="dxa"/>
            <w:tcBorders>
              <w:top w:val="nil"/>
              <w:left w:val="nil"/>
              <w:bottom w:val="nil"/>
              <w:right w:val="nil"/>
            </w:tcBorders>
            <w:noWrap w:val="0"/>
            <w:vAlign w:val="top"/>
          </w:tcPr>
          <w:p w14:paraId="76C3EB9C">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764FC43F">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199FA664">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r>
    </w:tbl>
    <w:p w14:paraId="022F4AEA">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SimHei" w:hAnsi="SimHei" w:eastAsia="SimHei" w:cs="SimSun"/>
          <w:b/>
          <w:sz w:val="28"/>
          <w:szCs w:val="28"/>
        </w:rPr>
      </w:pPr>
      <w:r>
        <w:rPr>
          <w:rFonts w:hint="eastAsia" w:ascii="仿宋_GB2312" w:hAnsi="SimSun" w:eastAsia="仿宋_GB2312" w:cs="Arial"/>
          <w:b/>
          <w:bCs/>
          <w:sz w:val="24"/>
        </w:rPr>
        <w:t>签约地点：</w:t>
      </w:r>
    </w:p>
    <w:p w14:paraId="707E0366">
      <w:pPr>
        <w:keepNext w:val="0"/>
        <w:keepLines w:val="0"/>
        <w:pageBreakBefore w:val="0"/>
        <w:widowControl/>
        <w:kinsoku/>
        <w:wordWrap/>
        <w:overflowPunct/>
        <w:topLinePunct w:val="0"/>
        <w:autoSpaceDE/>
        <w:autoSpaceDN/>
        <w:bidi w:val="0"/>
        <w:adjustRightInd/>
        <w:textAlignment w:val="auto"/>
        <w:rPr>
          <w:rFonts w:hint="default"/>
          <w:lang w:val="en-US" w:eastAsia="zh-CN"/>
        </w:rPr>
      </w:pP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5643C37-475A-4AD0-B197-40170E0D389F}"/>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2" w:fontKey="{D6FD1621-EBAE-456C-AF32-3A27A067B24B}"/>
  </w:font>
  <w:font w:name="SimHei">
    <w:panose1 w:val="02010609060101010101"/>
    <w:charset w:val="86"/>
    <w:family w:val="auto"/>
    <w:pitch w:val="default"/>
    <w:sig w:usb0="800002BF" w:usb1="38CF7CFA" w:usb2="00000016" w:usb3="00000000" w:csb0="00040001" w:csb1="00000000"/>
    <w:embedRegular r:id="rId3" w:fontKey="{E2AFE05B-5BFB-44BD-8558-9ADF59E881D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embedRegular r:id="rId4" w:fontKey="{885FB9D8-855D-468F-BCC1-8DA8FA3EFA26}"/>
  </w:font>
  <w:font w:name="FangSong">
    <w:panose1 w:val="02010609060101010101"/>
    <w:charset w:val="86"/>
    <w:family w:val="auto"/>
    <w:pitch w:val="default"/>
    <w:sig w:usb0="800002BF" w:usb1="38CF7CFA" w:usb2="00000016" w:usb3="00000000" w:csb0="00040001" w:csb1="00000000"/>
    <w:embedRegular r:id="rId5" w:fontKey="{3495EA62-6E58-4CC4-BCDB-187FB7E5FB7C}"/>
  </w:font>
  <w:font w:name="楷体_GB2312">
    <w:altName w:val="KaiTi"/>
    <w:panose1 w:val="02010609030101010101"/>
    <w:charset w:val="86"/>
    <w:family w:val="modern"/>
    <w:pitch w:val="default"/>
    <w:sig w:usb0="00000000" w:usb1="00000000" w:usb2="00000010" w:usb3="00000000" w:csb0="00040000" w:csb1="00000000"/>
    <w:embedRegular r:id="rId6" w:fontKey="{5592F439-DA99-4A13-B52C-34926F96EBEE}"/>
  </w:font>
  <w:font w:name="KaiTi">
    <w:panose1 w:val="02010609060101010101"/>
    <w:charset w:val="86"/>
    <w:family w:val="auto"/>
    <w:pitch w:val="default"/>
    <w:sig w:usb0="800002BF" w:usb1="38CF7CFA" w:usb2="00000016" w:usb3="00000000" w:csb0="00040001" w:csb1="00000000"/>
  </w:font>
  <w:font w:name="STXihei">
    <w:panose1 w:val="02010600040101010101"/>
    <w:charset w:val="86"/>
    <w:family w:val="auto"/>
    <w:pitch w:val="default"/>
    <w:sig w:usb0="00000287" w:usb1="080F0000" w:usb2="00000000" w:usb3="00000000" w:csb0="0004009F" w:csb1="DFD70000"/>
    <w:embedRegular r:id="rId7" w:fontKey="{ADF603C4-97E6-4827-9C69-D4195F7E1E27}"/>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92AF1">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-60960</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E20A16D"/>
                      </w:txbxContent>
                    </wps:txbx>
                    <wps:bodyPr vert="eaVert" wrap="square" upright="1"/>
                  </wps:wsp>
                </a:graphicData>
              </a:graphic>
            </wp:anchor>
          </w:drawing>
        </mc:Choice>
        <mc:Fallback>
          <w:pict>
            <v:shape id="文本框 1043" o:spid="_x0000_s1026" o:spt="202" type="#_x0000_t202" style="position:absolute;left:0pt;flip:x;margin-left:3.75pt;margin-top:-4.8pt;height:39.05pt;width:13.5pt;z-index:251660288;mso-width-relative:page;mso-height-relative:page;" fillcolor="#BE9D6D" filled="t" stroked="t" coordsize="21600,21600" o:gfxdata="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Hpyt9gAAAAG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7E20A16D"/>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-69850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5ABD89F2"/>
                      </w:txbxContent>
                    </wps:txbx>
                    <wps:bodyPr vert="eaVert" wrap="square" upright="1"/>
                  </wps:wsp>
                </a:graphicData>
              </a:graphic>
            </wp:anchor>
          </w:drawing>
        </mc:Choice>
        <mc:Fallback>
          <w:pict>
            <v:shape id="文本框 1041" o:spid="_x0000_s1026" o:spt="202" type="#_x0000_t202" style="position:absolute;left:0pt;flip:x;margin-left:465.75pt;margin-top:-5.5pt;height:39.05pt;width:13.5pt;z-index:251659264;mso-width-relative:page;mso-height-relative:page;" fillcolor="#BE9D6D" filled="t" stroked="t" coordsize="21600,21600" o:gfxdata="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q3uEt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5ABD89F2"/>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7F5CE2E4">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4"/>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4"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qFQQP1wAAAAgBAAAPAAAAAAAAAAEAIAAAACIAAABkcnMvZG93bnJldi54bWxQ&#10;SwECFAAUAAAACACHTuJAzEurMPgBAADjAwAADgAAAAAAAAABACAAAAAmAQAAZHJzL2Uyb0RvYy54&#10;bWxQSwUGAAAAAAYABgBZAQAAkA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11605" cy="207010"/>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11605" cy="207010"/>
                      </a:xfrm>
                      <a:prstGeom prst="rect">
                        <a:avLst/>
                      </a:prstGeom>
                      <a:noFill/>
                      <a:ln>
                        <a:noFill/>
                      </a:ln>
                    </wps:spPr>
                    <wps:txbx>
                      <w:txbxContent>
                        <w:p w14:paraId="5CE259A6">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6</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6.3pt;width:111.15pt;mso-position-horizontal:center;mso-position-horizontal-relative:margin;z-index:251662336;mso-width-relative:page;mso-height-relative:page;" filled="f" stroked="f" coordsize="21600,21600" o:gfxdata="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LD2g7VAAAABgEAAA8AAAAAAAAA&#10;AQAgAAAAIgAAAGRycy9kb3ducmV2LnhtbFBLAQIUABQAAAAIAIdO4kAqA5ZY2wEAAKgDAAAOAAAA&#10;AAAAAAEAIAAAACQBAABkcnMvZTJvRG9jLnhtbFBLBQYAAAAABgAGAFkBAABxBQAAAAA=&#10;">
              <v:fill on="f" focussize="0,0"/>
              <v:stroke on="f"/>
              <v:imagedata o:title=""/>
              <o:lock v:ext="edit" aspectratio="f"/>
              <v:textbox inset="0mm,0mm,0mm,0mm">
                <w:txbxContent>
                  <w:p w14:paraId="5CE259A6">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6</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39F61">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28C5A27B">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D8BEE">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A16892"/>
    <w:multiLevelType w:val="singleLevel"/>
    <w:tmpl w:val="E6A16892"/>
    <w:lvl w:ilvl="0" w:tentative="0">
      <w:start w:val="10"/>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3C2F"/>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4FE3C32"/>
    <w:rsid w:val="068731EF"/>
    <w:rsid w:val="06E44223"/>
    <w:rsid w:val="092279C8"/>
    <w:rsid w:val="0B07664A"/>
    <w:rsid w:val="0B5A5243"/>
    <w:rsid w:val="101F6C14"/>
    <w:rsid w:val="12E05ADC"/>
    <w:rsid w:val="12FB4021"/>
    <w:rsid w:val="137F601C"/>
    <w:rsid w:val="16A122B4"/>
    <w:rsid w:val="1A353619"/>
    <w:rsid w:val="1C2B4ECD"/>
    <w:rsid w:val="1C462F5A"/>
    <w:rsid w:val="20864A5E"/>
    <w:rsid w:val="20F15869"/>
    <w:rsid w:val="21DA31D4"/>
    <w:rsid w:val="27E368CF"/>
    <w:rsid w:val="27FC5478"/>
    <w:rsid w:val="29972635"/>
    <w:rsid w:val="2AD2391F"/>
    <w:rsid w:val="2D9F7708"/>
    <w:rsid w:val="2F816515"/>
    <w:rsid w:val="30F46B5D"/>
    <w:rsid w:val="32E715FF"/>
    <w:rsid w:val="33541C66"/>
    <w:rsid w:val="337141A5"/>
    <w:rsid w:val="35753BC1"/>
    <w:rsid w:val="37D553E9"/>
    <w:rsid w:val="39C32337"/>
    <w:rsid w:val="3AF80859"/>
    <w:rsid w:val="3C0E1BB4"/>
    <w:rsid w:val="3CE45E27"/>
    <w:rsid w:val="3DFFBBB0"/>
    <w:rsid w:val="3E362B23"/>
    <w:rsid w:val="3F293605"/>
    <w:rsid w:val="3F525276"/>
    <w:rsid w:val="40D33F51"/>
    <w:rsid w:val="41AE11D8"/>
    <w:rsid w:val="41B151BB"/>
    <w:rsid w:val="41D245DE"/>
    <w:rsid w:val="428F4591"/>
    <w:rsid w:val="43884ABF"/>
    <w:rsid w:val="44AE35BC"/>
    <w:rsid w:val="468C1F35"/>
    <w:rsid w:val="48933F69"/>
    <w:rsid w:val="4B003E5E"/>
    <w:rsid w:val="4C7947EF"/>
    <w:rsid w:val="4DD95FFF"/>
    <w:rsid w:val="4FC03721"/>
    <w:rsid w:val="4FF50B30"/>
    <w:rsid w:val="50013ABE"/>
    <w:rsid w:val="52F74D97"/>
    <w:rsid w:val="539F032F"/>
    <w:rsid w:val="543E2143"/>
    <w:rsid w:val="54A14BE7"/>
    <w:rsid w:val="565555DE"/>
    <w:rsid w:val="5778002F"/>
    <w:rsid w:val="593736E8"/>
    <w:rsid w:val="5ABD71D4"/>
    <w:rsid w:val="5C4F1C43"/>
    <w:rsid w:val="5CB10DBD"/>
    <w:rsid w:val="60752907"/>
    <w:rsid w:val="61904A87"/>
    <w:rsid w:val="63DE4E87"/>
    <w:rsid w:val="644F5E22"/>
    <w:rsid w:val="64C87586"/>
    <w:rsid w:val="666C2236"/>
    <w:rsid w:val="674B553F"/>
    <w:rsid w:val="680C199E"/>
    <w:rsid w:val="69292E8C"/>
    <w:rsid w:val="6A0C5B4B"/>
    <w:rsid w:val="6A45036D"/>
    <w:rsid w:val="6B522DE1"/>
    <w:rsid w:val="6C1222C2"/>
    <w:rsid w:val="6C92422D"/>
    <w:rsid w:val="6E02061C"/>
    <w:rsid w:val="6FA7353A"/>
    <w:rsid w:val="6FF5123C"/>
    <w:rsid w:val="71D14601"/>
    <w:rsid w:val="72C418C3"/>
    <w:rsid w:val="748E5B16"/>
    <w:rsid w:val="7AFC7AB2"/>
    <w:rsid w:val="7D163237"/>
    <w:rsid w:val="7D46008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6</Pages>
  <Words>2824</Words>
  <Characters>2922</Characters>
  <Lines>44</Lines>
  <Paragraphs>12</Paragraphs>
  <TotalTime>10</TotalTime>
  <ScaleCrop>false</ScaleCrop>
  <LinksUpToDate>false</LinksUpToDate>
  <CharactersWithSpaces>3462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2026-01-02T11:15:35Z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DE847F76F3AF43F9B47D7EA0624C98A3_13</vt:lpwstr>
  </property>
  <property fmtid="{D5CDD505-2E9C-101B-9397-08002B2CF9AE}" pid="4" name="KSOTemplateDocerSaveRecord">
    <vt:lpwstr>eyJoZGlkIjoiMWQ1ZGUxYzIwZjc4ZDQyMjI1MDU4YWI5MjY2Y2IxZDAiLCJ1c2VySWQiOiIyMzkzMjU0MTUifQ==</vt:lpwstr>
  </property>
</Properties>
</file>