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C41" w:rsidRPr="000D5C41" w:rsidRDefault="000D5C41" w:rsidP="000D5C41">
      <w:pPr>
        <w:numPr>
          <w:ilvl w:val="0"/>
          <w:numId w:val="1"/>
        </w:numPr>
        <w:shd w:val="clear" w:color="auto" w:fill="FFFFFF"/>
        <w:spacing w:after="0" w:line="240" w:lineRule="auto"/>
        <w:ind w:left="300"/>
        <w:textAlignment w:val="baseline"/>
        <w:rPr>
          <w:rFonts w:ascii="Arial" w:eastAsia="Times New Roman" w:hAnsi="Arial" w:cs="Arial"/>
          <w:color w:val="333333"/>
          <w:sz w:val="21"/>
          <w:szCs w:val="21"/>
        </w:rPr>
      </w:pPr>
      <w:r w:rsidRPr="000D5C41">
        <w:rPr>
          <w:rFonts w:ascii="inherit" w:eastAsia="Times New Roman" w:hAnsi="inherit" w:cs="Arial"/>
          <w:b/>
          <w:bCs/>
          <w:color w:val="333333"/>
          <w:sz w:val="21"/>
          <w:szCs w:val="21"/>
          <w:bdr w:val="none" w:sz="0" w:space="0" w:color="auto" w:frame="1"/>
        </w:rPr>
        <w:t>Mobile Learning</w:t>
      </w:r>
      <w:r w:rsidRPr="000D5C41">
        <w:rPr>
          <w:rFonts w:ascii="Arial" w:eastAsia="Times New Roman" w:hAnsi="Arial" w:cs="Arial"/>
          <w:color w:val="333333"/>
          <w:sz w:val="21"/>
          <w:szCs w:val="21"/>
        </w:rPr>
        <w:t xml:space="preserve">. New advances in hardware and software are making mobile “smart phones” </w:t>
      </w:r>
      <w:proofErr w:type="spellStart"/>
      <w:r w:rsidRPr="000D5C41">
        <w:rPr>
          <w:rFonts w:ascii="Arial" w:eastAsia="Times New Roman" w:hAnsi="Arial" w:cs="Arial"/>
          <w:color w:val="333333"/>
          <w:sz w:val="21"/>
          <w:szCs w:val="21"/>
        </w:rPr>
        <w:t>indispensible</w:t>
      </w:r>
      <w:proofErr w:type="spellEnd"/>
      <w:r w:rsidRPr="000D5C41">
        <w:rPr>
          <w:rFonts w:ascii="Arial" w:eastAsia="Times New Roman" w:hAnsi="Arial" w:cs="Arial"/>
          <w:color w:val="333333"/>
          <w:sz w:val="21"/>
          <w:szCs w:val="21"/>
        </w:rPr>
        <w:t xml:space="preserve"> tools. Just as cell phones have leapfrogged fixed line technology in the telecommunications industry, it is likely that mobile devices with internet access and computing capabilities will soon overtake personal computers as the information appliance of choice in the classroom.</w:t>
      </w:r>
    </w:p>
    <w:p w:rsidR="000D5C41" w:rsidRPr="000D5C41" w:rsidRDefault="000D5C41" w:rsidP="000D5C41">
      <w:pPr>
        <w:shd w:val="clear" w:color="auto" w:fill="FFFFFF"/>
        <w:spacing w:after="0" w:line="240" w:lineRule="auto"/>
        <w:ind w:left="720"/>
        <w:textAlignment w:val="baseline"/>
        <w:rPr>
          <w:rFonts w:ascii="Arial" w:eastAsia="Times New Roman" w:hAnsi="Arial" w:cs="Arial"/>
          <w:color w:val="333333"/>
          <w:sz w:val="21"/>
          <w:szCs w:val="21"/>
        </w:rPr>
      </w:pPr>
      <w:r w:rsidRPr="000D5C41">
        <w:rPr>
          <w:rFonts w:ascii="Arial" w:eastAsia="Times New Roman" w:hAnsi="Arial" w:cs="Arial"/>
          <w:color w:val="333333"/>
          <w:sz w:val="21"/>
          <w:szCs w:val="21"/>
          <w:bdr w:val="none" w:sz="0" w:space="0" w:color="auto" w:frame="1"/>
        </w:rPr>
        <w:t> </w:t>
      </w:r>
    </w:p>
    <w:p w:rsidR="000D5C41" w:rsidRPr="000D5C41" w:rsidRDefault="000D5C41" w:rsidP="000D5C41">
      <w:pPr>
        <w:numPr>
          <w:ilvl w:val="0"/>
          <w:numId w:val="2"/>
        </w:numPr>
        <w:shd w:val="clear" w:color="auto" w:fill="FFFFFF"/>
        <w:spacing w:after="0" w:line="240" w:lineRule="auto"/>
        <w:ind w:left="300"/>
        <w:textAlignment w:val="baseline"/>
        <w:rPr>
          <w:rFonts w:ascii="Arial" w:eastAsia="Times New Roman" w:hAnsi="Arial" w:cs="Arial"/>
          <w:color w:val="333333"/>
          <w:sz w:val="21"/>
          <w:szCs w:val="21"/>
        </w:rPr>
      </w:pPr>
      <w:r w:rsidRPr="000D5C41">
        <w:rPr>
          <w:rFonts w:ascii="inherit" w:eastAsia="Times New Roman" w:hAnsi="inherit" w:cs="Arial"/>
          <w:b/>
          <w:bCs/>
          <w:color w:val="333333"/>
          <w:sz w:val="21"/>
          <w:szCs w:val="21"/>
          <w:bdr w:val="none" w:sz="0" w:space="0" w:color="auto" w:frame="1"/>
        </w:rPr>
        <w:t>Cloud computing</w:t>
      </w:r>
      <w:r w:rsidRPr="000D5C41">
        <w:rPr>
          <w:rFonts w:ascii="Arial" w:eastAsia="Times New Roman" w:hAnsi="Arial" w:cs="Arial"/>
          <w:color w:val="333333"/>
          <w:sz w:val="21"/>
          <w:szCs w:val="21"/>
        </w:rPr>
        <w:t xml:space="preserve">. Applications are increasingly moving off of the </w:t>
      </w:r>
      <w:proofErr w:type="spellStart"/>
      <w:r w:rsidRPr="000D5C41">
        <w:rPr>
          <w:rFonts w:ascii="Arial" w:eastAsia="Times New Roman" w:hAnsi="Arial" w:cs="Arial"/>
          <w:color w:val="333333"/>
          <w:sz w:val="21"/>
          <w:szCs w:val="21"/>
        </w:rPr>
        <w:t>stand alone</w:t>
      </w:r>
      <w:proofErr w:type="spellEnd"/>
      <w:r w:rsidRPr="000D5C41">
        <w:rPr>
          <w:rFonts w:ascii="Arial" w:eastAsia="Times New Roman" w:hAnsi="Arial" w:cs="Arial"/>
          <w:color w:val="333333"/>
          <w:sz w:val="21"/>
          <w:szCs w:val="21"/>
        </w:rPr>
        <w:t xml:space="preserve"> desk top computer and increasingly onto server farms accessible through the Internet. The implications of this trend for education systems are huge; they will make cheaper information appliances available which do not require the processing power or size of the PC. The challenge will be providing the ubiquitous connectivity to access information sitting in the “cloud”.</w:t>
      </w:r>
    </w:p>
    <w:p w:rsidR="000D5C41" w:rsidRPr="000D5C41" w:rsidRDefault="000D5C41" w:rsidP="000D5C41">
      <w:pPr>
        <w:shd w:val="clear" w:color="auto" w:fill="FFFFFF"/>
        <w:spacing w:after="150" w:line="240" w:lineRule="auto"/>
        <w:textAlignment w:val="baseline"/>
        <w:rPr>
          <w:rFonts w:ascii="Arial" w:eastAsia="Times New Roman" w:hAnsi="Arial" w:cs="Arial"/>
          <w:color w:val="333333"/>
          <w:sz w:val="21"/>
          <w:szCs w:val="21"/>
        </w:rPr>
      </w:pPr>
      <w:r w:rsidRPr="000D5C41">
        <w:rPr>
          <w:rFonts w:ascii="Arial" w:eastAsia="Times New Roman" w:hAnsi="Arial" w:cs="Arial"/>
          <w:color w:val="333333"/>
          <w:sz w:val="21"/>
          <w:szCs w:val="21"/>
        </w:rPr>
        <w:t> </w:t>
      </w:r>
    </w:p>
    <w:p w:rsidR="000D5C41" w:rsidRPr="000D5C41" w:rsidRDefault="000D5C41" w:rsidP="000D5C41">
      <w:pPr>
        <w:numPr>
          <w:ilvl w:val="0"/>
          <w:numId w:val="3"/>
        </w:numPr>
        <w:shd w:val="clear" w:color="auto" w:fill="FFFFFF"/>
        <w:spacing w:after="0" w:line="240" w:lineRule="auto"/>
        <w:ind w:left="300"/>
        <w:textAlignment w:val="baseline"/>
        <w:rPr>
          <w:rFonts w:ascii="Arial" w:eastAsia="Times New Roman" w:hAnsi="Arial" w:cs="Arial"/>
          <w:color w:val="333333"/>
          <w:sz w:val="21"/>
          <w:szCs w:val="21"/>
        </w:rPr>
      </w:pPr>
      <w:r w:rsidRPr="000D5C41">
        <w:rPr>
          <w:rFonts w:ascii="inherit" w:eastAsia="Times New Roman" w:hAnsi="inherit" w:cs="Arial"/>
          <w:b/>
          <w:bCs/>
          <w:color w:val="333333"/>
          <w:sz w:val="21"/>
          <w:szCs w:val="21"/>
          <w:bdr w:val="none" w:sz="0" w:space="0" w:color="auto" w:frame="1"/>
        </w:rPr>
        <w:t>One-to-One computing</w:t>
      </w:r>
      <w:r w:rsidRPr="000D5C41">
        <w:rPr>
          <w:rFonts w:ascii="Arial" w:eastAsia="Times New Roman" w:hAnsi="Arial" w:cs="Arial"/>
          <w:color w:val="333333"/>
          <w:sz w:val="21"/>
          <w:szCs w:val="21"/>
        </w:rPr>
        <w:t>.</w:t>
      </w:r>
      <w:r w:rsidRPr="000D5C41">
        <w:rPr>
          <w:rFonts w:ascii="Arial" w:eastAsia="Times New Roman" w:hAnsi="Arial" w:cs="Arial"/>
          <w:color w:val="333333"/>
          <w:sz w:val="21"/>
          <w:szCs w:val="21"/>
          <w:bdr w:val="none" w:sz="0" w:space="0" w:color="auto" w:frame="1"/>
        </w:rPr>
        <w:t>  </w:t>
      </w:r>
      <w:r w:rsidRPr="000D5C41">
        <w:rPr>
          <w:rFonts w:ascii="Arial" w:eastAsia="Times New Roman" w:hAnsi="Arial" w:cs="Arial"/>
          <w:color w:val="333333"/>
          <w:sz w:val="21"/>
          <w:szCs w:val="21"/>
        </w:rPr>
        <w:t>The trend in classrooms around the world is to provide an information appliance to every learner and create learning environments that assume universal access to the technology. Whether the hardware involved is one laptop per child (OLPC), or – increasingly -- a net computer, smart phone, or the re-emergence of the </w:t>
      </w:r>
      <w:hyperlink r:id="rId7" w:history="1">
        <w:r w:rsidRPr="000D5C41">
          <w:rPr>
            <w:rFonts w:ascii="Arial" w:eastAsia="Times New Roman" w:hAnsi="Arial" w:cs="Arial"/>
            <w:color w:val="0071BC"/>
            <w:sz w:val="21"/>
            <w:szCs w:val="21"/>
            <w:u w:val="single"/>
            <w:bdr w:val="none" w:sz="0" w:space="0" w:color="auto" w:frame="1"/>
          </w:rPr>
          <w:t>tablet</w:t>
        </w:r>
      </w:hyperlink>
      <w:r w:rsidRPr="000D5C41">
        <w:rPr>
          <w:rFonts w:ascii="Arial" w:eastAsia="Times New Roman" w:hAnsi="Arial" w:cs="Arial"/>
          <w:color w:val="333333"/>
          <w:sz w:val="21"/>
          <w:szCs w:val="21"/>
        </w:rPr>
        <w:t>, classrooms should prepare for the universal availability of personal learning devices.</w:t>
      </w:r>
    </w:p>
    <w:p w:rsidR="000D5C41" w:rsidRPr="000D5C41" w:rsidRDefault="000D5C41" w:rsidP="000D5C41">
      <w:pPr>
        <w:shd w:val="clear" w:color="auto" w:fill="FFFFFF"/>
        <w:spacing w:after="150" w:line="240" w:lineRule="auto"/>
        <w:textAlignment w:val="baseline"/>
        <w:rPr>
          <w:rFonts w:ascii="Arial" w:eastAsia="Times New Roman" w:hAnsi="Arial" w:cs="Arial"/>
          <w:color w:val="333333"/>
          <w:sz w:val="21"/>
          <w:szCs w:val="21"/>
        </w:rPr>
      </w:pPr>
      <w:r w:rsidRPr="000D5C41">
        <w:rPr>
          <w:rFonts w:ascii="Arial" w:eastAsia="Times New Roman" w:hAnsi="Arial" w:cs="Arial"/>
          <w:color w:val="333333"/>
          <w:sz w:val="21"/>
          <w:szCs w:val="21"/>
        </w:rPr>
        <w:t> </w:t>
      </w:r>
    </w:p>
    <w:p w:rsidR="000D5C41" w:rsidRPr="000D5C41" w:rsidRDefault="000D5C41" w:rsidP="000D5C41">
      <w:pPr>
        <w:numPr>
          <w:ilvl w:val="0"/>
          <w:numId w:val="4"/>
        </w:numPr>
        <w:shd w:val="clear" w:color="auto" w:fill="FFFFFF"/>
        <w:spacing w:after="0" w:line="240" w:lineRule="auto"/>
        <w:ind w:left="300"/>
        <w:textAlignment w:val="baseline"/>
        <w:rPr>
          <w:rFonts w:ascii="Arial" w:eastAsia="Times New Roman" w:hAnsi="Arial" w:cs="Arial"/>
          <w:color w:val="333333"/>
          <w:sz w:val="21"/>
          <w:szCs w:val="21"/>
        </w:rPr>
      </w:pPr>
      <w:r w:rsidRPr="000D5C41">
        <w:rPr>
          <w:rFonts w:ascii="inherit" w:eastAsia="Times New Roman" w:hAnsi="inherit" w:cs="Arial"/>
          <w:b/>
          <w:bCs/>
          <w:color w:val="333333"/>
          <w:sz w:val="21"/>
          <w:szCs w:val="21"/>
          <w:bdr w:val="none" w:sz="0" w:space="0" w:color="auto" w:frame="1"/>
        </w:rPr>
        <w:t>Ubiquitous learning</w:t>
      </w:r>
      <w:r w:rsidRPr="000D5C41">
        <w:rPr>
          <w:rFonts w:ascii="Arial" w:eastAsia="Times New Roman" w:hAnsi="Arial" w:cs="Arial"/>
          <w:color w:val="333333"/>
          <w:sz w:val="21"/>
          <w:szCs w:val="21"/>
        </w:rPr>
        <w:t>. With the emergence of increasingly robust connectivity infrastructure and cheaper computers, school systems around the world are developing the ability to provide learning opportunities to students “anytime, anywhere”. </w:t>
      </w:r>
      <w:r w:rsidRPr="000D5C41">
        <w:rPr>
          <w:rFonts w:ascii="Arial" w:eastAsia="Times New Roman" w:hAnsi="Arial" w:cs="Arial"/>
          <w:color w:val="333333"/>
          <w:sz w:val="21"/>
          <w:szCs w:val="21"/>
          <w:bdr w:val="none" w:sz="0" w:space="0" w:color="auto" w:frame="1"/>
        </w:rPr>
        <w:t> </w:t>
      </w:r>
      <w:r w:rsidRPr="000D5C41">
        <w:rPr>
          <w:rFonts w:ascii="Arial" w:eastAsia="Times New Roman" w:hAnsi="Arial" w:cs="Arial"/>
          <w:color w:val="333333"/>
          <w:sz w:val="21"/>
          <w:szCs w:val="21"/>
        </w:rPr>
        <w:t xml:space="preserve">This trend requires a rethinking of the traditional </w:t>
      </w:r>
      <w:proofErr w:type="gramStart"/>
      <w:r w:rsidRPr="000D5C41">
        <w:rPr>
          <w:rFonts w:ascii="Arial" w:eastAsia="Times New Roman" w:hAnsi="Arial" w:cs="Arial"/>
          <w:color w:val="333333"/>
          <w:sz w:val="21"/>
          <w:szCs w:val="21"/>
        </w:rPr>
        <w:t>40 minute</w:t>
      </w:r>
      <w:proofErr w:type="gramEnd"/>
      <w:r w:rsidRPr="000D5C41">
        <w:rPr>
          <w:rFonts w:ascii="Arial" w:eastAsia="Times New Roman" w:hAnsi="Arial" w:cs="Arial"/>
          <w:color w:val="333333"/>
          <w:sz w:val="21"/>
          <w:szCs w:val="21"/>
        </w:rPr>
        <w:t xml:space="preserve"> lesson.</w:t>
      </w:r>
      <w:r w:rsidRPr="000D5C41">
        <w:rPr>
          <w:rFonts w:ascii="Arial" w:eastAsia="Times New Roman" w:hAnsi="Arial" w:cs="Arial"/>
          <w:color w:val="333333"/>
          <w:sz w:val="21"/>
          <w:szCs w:val="21"/>
          <w:bdr w:val="none" w:sz="0" w:space="0" w:color="auto" w:frame="1"/>
        </w:rPr>
        <w:t>  </w:t>
      </w:r>
      <w:r w:rsidRPr="000D5C41">
        <w:rPr>
          <w:rFonts w:ascii="Arial" w:eastAsia="Times New Roman" w:hAnsi="Arial" w:cs="Arial"/>
          <w:color w:val="333333"/>
          <w:sz w:val="21"/>
          <w:szCs w:val="21"/>
        </w:rPr>
        <w:t>In addition to hardware and Internet access, it requires the availability of virtual mentors or teachers, and/or opportunities for peer to peer and self-paced, deeper learning.</w:t>
      </w:r>
    </w:p>
    <w:p w:rsidR="000D5C41" w:rsidRPr="000D5C41" w:rsidRDefault="000D5C41" w:rsidP="000D5C41">
      <w:pPr>
        <w:shd w:val="clear" w:color="auto" w:fill="FFFFFF"/>
        <w:spacing w:after="150" w:line="240" w:lineRule="auto"/>
        <w:textAlignment w:val="baseline"/>
        <w:rPr>
          <w:rFonts w:ascii="Arial" w:eastAsia="Times New Roman" w:hAnsi="Arial" w:cs="Arial"/>
          <w:color w:val="333333"/>
          <w:sz w:val="21"/>
          <w:szCs w:val="21"/>
        </w:rPr>
      </w:pPr>
      <w:r w:rsidRPr="000D5C41">
        <w:rPr>
          <w:rFonts w:ascii="Arial" w:eastAsia="Times New Roman" w:hAnsi="Arial" w:cs="Arial"/>
          <w:color w:val="333333"/>
          <w:sz w:val="21"/>
          <w:szCs w:val="21"/>
        </w:rPr>
        <w:t> </w:t>
      </w:r>
    </w:p>
    <w:p w:rsidR="000D5C41" w:rsidRPr="000D5C41" w:rsidRDefault="000D5C41" w:rsidP="000D5C41">
      <w:pPr>
        <w:numPr>
          <w:ilvl w:val="0"/>
          <w:numId w:val="5"/>
        </w:numPr>
        <w:shd w:val="clear" w:color="auto" w:fill="FFFFFF"/>
        <w:spacing w:after="0" w:line="240" w:lineRule="auto"/>
        <w:ind w:left="300"/>
        <w:textAlignment w:val="baseline"/>
        <w:rPr>
          <w:rFonts w:ascii="Arial" w:eastAsia="Times New Roman" w:hAnsi="Arial" w:cs="Arial"/>
          <w:color w:val="333333"/>
          <w:sz w:val="21"/>
          <w:szCs w:val="21"/>
        </w:rPr>
      </w:pPr>
      <w:r w:rsidRPr="000D5C41">
        <w:rPr>
          <w:rFonts w:ascii="inherit" w:eastAsia="Times New Roman" w:hAnsi="inherit" w:cs="Arial"/>
          <w:b/>
          <w:bCs/>
          <w:color w:val="333333"/>
          <w:sz w:val="21"/>
          <w:szCs w:val="21"/>
          <w:bdr w:val="none" w:sz="0" w:space="0" w:color="auto" w:frame="1"/>
        </w:rPr>
        <w:t>Gaming</w:t>
      </w:r>
      <w:r w:rsidRPr="000D5C41">
        <w:rPr>
          <w:rFonts w:ascii="Arial" w:eastAsia="Times New Roman" w:hAnsi="Arial" w:cs="Arial"/>
          <w:color w:val="333333"/>
          <w:sz w:val="21"/>
          <w:szCs w:val="21"/>
        </w:rPr>
        <w:t>.</w:t>
      </w:r>
      <w:hyperlink r:id="rId8" w:history="1">
        <w:r w:rsidRPr="000D5C41">
          <w:rPr>
            <w:rFonts w:ascii="Arial" w:eastAsia="Times New Roman" w:hAnsi="Arial" w:cs="Arial"/>
            <w:color w:val="0071BC"/>
            <w:sz w:val="21"/>
            <w:szCs w:val="21"/>
            <w:u w:val="single"/>
            <w:bdr w:val="none" w:sz="0" w:space="0" w:color="auto" w:frame="1"/>
          </w:rPr>
          <w:t> A recent survey by the Pew Internet and American Life Project</w:t>
        </w:r>
      </w:hyperlink>
      <w:r w:rsidRPr="000D5C41">
        <w:rPr>
          <w:rFonts w:ascii="Arial" w:eastAsia="Times New Roman" w:hAnsi="Arial" w:cs="Arial"/>
          <w:color w:val="333333"/>
          <w:sz w:val="21"/>
          <w:szCs w:val="21"/>
        </w:rPr>
        <w:t> per the Horizon Report found that massively multiplayer and other online game experience is extremely common among young people and that games offer an opportunity for increased social interaction and civic engagement among youth. The phenomenal success of games with a focus on active participation, built in incentives and interaction suggests that current educational methods are not falling short and that educational games could more effectively attract the interest and attention of learners.</w:t>
      </w:r>
    </w:p>
    <w:p w:rsidR="000D5C41" w:rsidRPr="000D5C41" w:rsidRDefault="000D5C41" w:rsidP="000D5C41">
      <w:pPr>
        <w:shd w:val="clear" w:color="auto" w:fill="FFFFFF"/>
        <w:spacing w:after="150" w:line="240" w:lineRule="auto"/>
        <w:textAlignment w:val="baseline"/>
        <w:rPr>
          <w:rFonts w:ascii="Arial" w:eastAsia="Times New Roman" w:hAnsi="Arial" w:cs="Arial"/>
          <w:color w:val="333333"/>
          <w:sz w:val="21"/>
          <w:szCs w:val="21"/>
        </w:rPr>
      </w:pPr>
      <w:r w:rsidRPr="000D5C41">
        <w:rPr>
          <w:rFonts w:ascii="Arial" w:eastAsia="Times New Roman" w:hAnsi="Arial" w:cs="Arial"/>
          <w:color w:val="333333"/>
          <w:sz w:val="21"/>
          <w:szCs w:val="21"/>
        </w:rPr>
        <w:t> </w:t>
      </w:r>
    </w:p>
    <w:p w:rsidR="000D5C41" w:rsidRPr="000D5C41" w:rsidRDefault="000D5C41" w:rsidP="000D5C41">
      <w:pPr>
        <w:numPr>
          <w:ilvl w:val="0"/>
          <w:numId w:val="6"/>
        </w:numPr>
        <w:shd w:val="clear" w:color="auto" w:fill="FFFFFF"/>
        <w:spacing w:after="0" w:line="240" w:lineRule="auto"/>
        <w:ind w:left="300"/>
        <w:textAlignment w:val="baseline"/>
        <w:rPr>
          <w:rFonts w:ascii="Arial" w:eastAsia="Times New Roman" w:hAnsi="Arial" w:cs="Arial"/>
          <w:color w:val="333333"/>
          <w:sz w:val="21"/>
          <w:szCs w:val="21"/>
        </w:rPr>
      </w:pPr>
      <w:r w:rsidRPr="000D5C41">
        <w:rPr>
          <w:rFonts w:ascii="inherit" w:eastAsia="Times New Roman" w:hAnsi="inherit" w:cs="Arial"/>
          <w:b/>
          <w:bCs/>
          <w:color w:val="333333"/>
          <w:sz w:val="21"/>
          <w:szCs w:val="21"/>
          <w:bdr w:val="none" w:sz="0" w:space="0" w:color="auto" w:frame="1"/>
        </w:rPr>
        <w:t>Personalized learning</w:t>
      </w:r>
      <w:r w:rsidRPr="000D5C41">
        <w:rPr>
          <w:rFonts w:ascii="Arial" w:eastAsia="Times New Roman" w:hAnsi="Arial" w:cs="Arial"/>
          <w:color w:val="333333"/>
          <w:sz w:val="21"/>
          <w:szCs w:val="21"/>
        </w:rPr>
        <w:t>. Education systems are increasingly investigating the use of technology to better understand a student’s knowledge base from prior learning and to tailor teaching to both address learning gaps as well as learning styles. This focus transforms a classroom from one that teaches to the middle to one that adjusts content and pedagogy based on individual student needs – both strong and weak.</w:t>
      </w:r>
    </w:p>
    <w:p w:rsidR="000D5C41" w:rsidRPr="000D5C41" w:rsidRDefault="000D5C41" w:rsidP="000D5C41">
      <w:pPr>
        <w:shd w:val="clear" w:color="auto" w:fill="FFFFFF"/>
        <w:spacing w:after="150" w:line="240" w:lineRule="auto"/>
        <w:textAlignment w:val="baseline"/>
        <w:rPr>
          <w:rFonts w:ascii="Arial" w:eastAsia="Times New Roman" w:hAnsi="Arial" w:cs="Arial"/>
          <w:color w:val="333333"/>
          <w:sz w:val="21"/>
          <w:szCs w:val="21"/>
        </w:rPr>
      </w:pPr>
      <w:r w:rsidRPr="000D5C41">
        <w:rPr>
          <w:rFonts w:ascii="Arial" w:eastAsia="Times New Roman" w:hAnsi="Arial" w:cs="Arial"/>
          <w:color w:val="333333"/>
          <w:sz w:val="21"/>
          <w:szCs w:val="21"/>
        </w:rPr>
        <w:t> </w:t>
      </w:r>
    </w:p>
    <w:p w:rsidR="000D5C41" w:rsidRPr="000D5C41" w:rsidRDefault="000D5C41" w:rsidP="000D5C41">
      <w:pPr>
        <w:numPr>
          <w:ilvl w:val="0"/>
          <w:numId w:val="7"/>
        </w:numPr>
        <w:shd w:val="clear" w:color="auto" w:fill="FFFFFF"/>
        <w:spacing w:after="0" w:line="240" w:lineRule="auto"/>
        <w:ind w:left="300"/>
        <w:textAlignment w:val="baseline"/>
        <w:rPr>
          <w:rFonts w:ascii="Arial" w:eastAsia="Times New Roman" w:hAnsi="Arial" w:cs="Arial"/>
          <w:color w:val="333333"/>
          <w:sz w:val="21"/>
          <w:szCs w:val="21"/>
        </w:rPr>
      </w:pPr>
      <w:r w:rsidRPr="000D5C41">
        <w:rPr>
          <w:rFonts w:ascii="inherit" w:eastAsia="Times New Roman" w:hAnsi="inherit" w:cs="Arial"/>
          <w:b/>
          <w:bCs/>
          <w:color w:val="333333"/>
          <w:sz w:val="21"/>
          <w:szCs w:val="21"/>
          <w:bdr w:val="none" w:sz="0" w:space="0" w:color="auto" w:frame="1"/>
        </w:rPr>
        <w:t>Redefinition of learning spaces</w:t>
      </w:r>
      <w:r w:rsidRPr="000D5C41">
        <w:rPr>
          <w:rFonts w:ascii="Arial" w:eastAsia="Times New Roman" w:hAnsi="Arial" w:cs="Arial"/>
          <w:color w:val="333333"/>
          <w:sz w:val="21"/>
          <w:szCs w:val="21"/>
        </w:rPr>
        <w:t>. The ordered classroom of 30 desks in rows of 5 may quickly become a relic of the industrial age as schools around the world are re-thinking the most appropriate learning environments to foster collaborative, cross-disciplinary, students centered learning. Concepts such as greater use of light, colors, circular tables, individual spaces for students and teachers, and smaller open learning spaces for project-based learning are increasingly emphasized.</w:t>
      </w:r>
    </w:p>
    <w:p w:rsidR="000D5C41" w:rsidRPr="000D5C41" w:rsidRDefault="000D5C41" w:rsidP="000D5C41">
      <w:pPr>
        <w:shd w:val="clear" w:color="auto" w:fill="FFFFFF"/>
        <w:spacing w:after="150" w:line="240" w:lineRule="auto"/>
        <w:textAlignment w:val="baseline"/>
        <w:rPr>
          <w:rFonts w:ascii="Arial" w:eastAsia="Times New Roman" w:hAnsi="Arial" w:cs="Arial"/>
          <w:color w:val="333333"/>
          <w:sz w:val="21"/>
          <w:szCs w:val="21"/>
        </w:rPr>
      </w:pPr>
      <w:r w:rsidRPr="000D5C41">
        <w:rPr>
          <w:rFonts w:ascii="Arial" w:eastAsia="Times New Roman" w:hAnsi="Arial" w:cs="Arial"/>
          <w:color w:val="333333"/>
          <w:sz w:val="21"/>
          <w:szCs w:val="21"/>
        </w:rPr>
        <w:t> </w:t>
      </w:r>
    </w:p>
    <w:p w:rsidR="000D5C41" w:rsidRPr="000D5C41" w:rsidRDefault="000D5C41" w:rsidP="000D5C41">
      <w:pPr>
        <w:numPr>
          <w:ilvl w:val="0"/>
          <w:numId w:val="8"/>
        </w:numPr>
        <w:shd w:val="clear" w:color="auto" w:fill="FFFFFF"/>
        <w:spacing w:after="0" w:line="240" w:lineRule="auto"/>
        <w:ind w:left="300"/>
        <w:textAlignment w:val="baseline"/>
        <w:rPr>
          <w:rFonts w:ascii="Arial" w:eastAsia="Times New Roman" w:hAnsi="Arial" w:cs="Arial"/>
          <w:color w:val="333333"/>
          <w:sz w:val="21"/>
          <w:szCs w:val="21"/>
        </w:rPr>
      </w:pPr>
      <w:r w:rsidRPr="000D5C41">
        <w:rPr>
          <w:rFonts w:ascii="inherit" w:eastAsia="Times New Roman" w:hAnsi="inherit" w:cs="Arial"/>
          <w:b/>
          <w:bCs/>
          <w:color w:val="333333"/>
          <w:sz w:val="21"/>
          <w:szCs w:val="21"/>
          <w:bdr w:val="none" w:sz="0" w:space="0" w:color="auto" w:frame="1"/>
        </w:rPr>
        <w:t>Teacher-generated open content</w:t>
      </w:r>
      <w:r w:rsidRPr="000D5C41">
        <w:rPr>
          <w:rFonts w:ascii="Arial" w:eastAsia="Times New Roman" w:hAnsi="Arial" w:cs="Arial"/>
          <w:color w:val="333333"/>
          <w:sz w:val="21"/>
          <w:szCs w:val="21"/>
        </w:rPr>
        <w:t xml:space="preserve">. OECD school systems are increasingly empowering teachers and networks of teachers to both identify and create the learning resources that they find most effective in the classroom. Many online texts allow teachers to edit, add to, or otherwise </w:t>
      </w:r>
      <w:bookmarkStart w:id="0" w:name="_GoBack"/>
      <w:bookmarkEnd w:id="0"/>
      <w:r w:rsidRPr="000D5C41">
        <w:rPr>
          <w:rFonts w:ascii="Arial" w:eastAsia="Times New Roman" w:hAnsi="Arial" w:cs="Arial"/>
          <w:color w:val="333333"/>
          <w:sz w:val="21"/>
          <w:szCs w:val="21"/>
        </w:rPr>
        <w:lastRenderedPageBreak/>
        <w:t>customize material for their own purposes, so that their students receive a tailored copy that exactly suits the style and pace of the course. These resources in many cases complement the official textbook and may, in the years to come, supplant the textbook as the primary learning source for students. Such activities often challenge traditional notions of intellectual property and copyright.</w:t>
      </w:r>
    </w:p>
    <w:p w:rsidR="000D5C41" w:rsidRPr="000D5C41" w:rsidRDefault="000D5C41" w:rsidP="000D5C41">
      <w:pPr>
        <w:shd w:val="clear" w:color="auto" w:fill="FFFFFF"/>
        <w:spacing w:after="150" w:line="240" w:lineRule="auto"/>
        <w:textAlignment w:val="baseline"/>
        <w:rPr>
          <w:rFonts w:ascii="Arial" w:eastAsia="Times New Roman" w:hAnsi="Arial" w:cs="Arial"/>
          <w:color w:val="333333"/>
          <w:sz w:val="21"/>
          <w:szCs w:val="21"/>
        </w:rPr>
      </w:pPr>
      <w:r w:rsidRPr="000D5C41">
        <w:rPr>
          <w:rFonts w:ascii="Arial" w:eastAsia="Times New Roman" w:hAnsi="Arial" w:cs="Arial"/>
          <w:color w:val="333333"/>
          <w:sz w:val="21"/>
          <w:szCs w:val="21"/>
        </w:rPr>
        <w:t> </w:t>
      </w:r>
    </w:p>
    <w:p w:rsidR="000D5C41" w:rsidRPr="000D5C41" w:rsidRDefault="000D5C41" w:rsidP="000D5C41">
      <w:pPr>
        <w:numPr>
          <w:ilvl w:val="0"/>
          <w:numId w:val="9"/>
        </w:numPr>
        <w:shd w:val="clear" w:color="auto" w:fill="FFFFFF"/>
        <w:spacing w:after="0" w:line="240" w:lineRule="auto"/>
        <w:ind w:left="300"/>
        <w:textAlignment w:val="baseline"/>
        <w:rPr>
          <w:rFonts w:ascii="Arial" w:eastAsia="Times New Roman" w:hAnsi="Arial" w:cs="Arial"/>
          <w:color w:val="333333"/>
          <w:sz w:val="21"/>
          <w:szCs w:val="21"/>
        </w:rPr>
      </w:pPr>
      <w:r w:rsidRPr="000D5C41">
        <w:rPr>
          <w:rFonts w:ascii="inherit" w:eastAsia="Times New Roman" w:hAnsi="inherit" w:cs="Arial"/>
          <w:b/>
          <w:bCs/>
          <w:color w:val="333333"/>
          <w:sz w:val="21"/>
          <w:szCs w:val="21"/>
          <w:bdr w:val="none" w:sz="0" w:space="0" w:color="auto" w:frame="1"/>
        </w:rPr>
        <w:t>Smart portfolio assessment</w:t>
      </w:r>
      <w:r w:rsidRPr="000D5C41">
        <w:rPr>
          <w:rFonts w:ascii="Arial" w:eastAsia="Times New Roman" w:hAnsi="Arial" w:cs="Arial"/>
          <w:color w:val="333333"/>
          <w:sz w:val="21"/>
          <w:szCs w:val="21"/>
        </w:rPr>
        <w:t>. The collection, management, sorting, and retrieving of data related to learning will help teachers to better understand learning gaps and customize content and pedagogical approaches. Also, assessment is increasingly moving toward frequent formative assessments which lend itself to real-time data and less on high-pressure exams as the mark of excellence. </w:t>
      </w:r>
      <w:r w:rsidRPr="000D5C41">
        <w:rPr>
          <w:rFonts w:ascii="Arial" w:eastAsia="Times New Roman" w:hAnsi="Arial" w:cs="Arial"/>
          <w:color w:val="333333"/>
          <w:sz w:val="21"/>
          <w:szCs w:val="21"/>
          <w:bdr w:val="none" w:sz="0" w:space="0" w:color="auto" w:frame="1"/>
        </w:rPr>
        <w:t> </w:t>
      </w:r>
      <w:r w:rsidRPr="000D5C41">
        <w:rPr>
          <w:rFonts w:ascii="Arial" w:eastAsia="Times New Roman" w:hAnsi="Arial" w:cs="Arial"/>
          <w:color w:val="333333"/>
          <w:sz w:val="21"/>
          <w:szCs w:val="21"/>
        </w:rPr>
        <w:t>Tools are increasingly available to students to gather their work together in a kind of online portfolio; whenever they add a tweet, blog post, or photo to any online service, it will appear in their personal portfolio which can be both peer and teacher assessed.</w:t>
      </w:r>
    </w:p>
    <w:p w:rsidR="000D5C41" w:rsidRPr="000D5C41" w:rsidRDefault="000D5C41" w:rsidP="000D5C41">
      <w:pPr>
        <w:shd w:val="clear" w:color="auto" w:fill="FFFFFF"/>
        <w:spacing w:after="0" w:line="240" w:lineRule="auto"/>
        <w:textAlignment w:val="baseline"/>
        <w:rPr>
          <w:rFonts w:ascii="Arial" w:eastAsia="Times New Roman" w:hAnsi="Arial" w:cs="Arial"/>
          <w:color w:val="333333"/>
          <w:sz w:val="21"/>
          <w:szCs w:val="21"/>
        </w:rPr>
      </w:pPr>
      <w:r w:rsidRPr="000D5C41">
        <w:rPr>
          <w:rFonts w:ascii="Arial" w:eastAsia="Times New Roman" w:hAnsi="Arial" w:cs="Arial"/>
          <w:color w:val="333333"/>
          <w:sz w:val="21"/>
          <w:szCs w:val="21"/>
          <w:bdr w:val="none" w:sz="0" w:space="0" w:color="auto" w:frame="1"/>
        </w:rPr>
        <w:t> </w:t>
      </w:r>
    </w:p>
    <w:p w:rsidR="000D5C41" w:rsidRPr="000D5C41" w:rsidRDefault="000D5C41" w:rsidP="000D5C41">
      <w:pPr>
        <w:numPr>
          <w:ilvl w:val="0"/>
          <w:numId w:val="10"/>
        </w:numPr>
        <w:shd w:val="clear" w:color="auto" w:fill="FFFFFF"/>
        <w:spacing w:after="0" w:line="240" w:lineRule="auto"/>
        <w:ind w:left="300"/>
        <w:textAlignment w:val="baseline"/>
        <w:rPr>
          <w:rFonts w:ascii="Arial" w:eastAsia="Times New Roman" w:hAnsi="Arial" w:cs="Arial"/>
          <w:color w:val="333333"/>
          <w:sz w:val="21"/>
          <w:szCs w:val="21"/>
        </w:rPr>
      </w:pPr>
      <w:r w:rsidRPr="000D5C41">
        <w:rPr>
          <w:rFonts w:ascii="inherit" w:eastAsia="Times New Roman" w:hAnsi="inherit" w:cs="Arial"/>
          <w:b/>
          <w:bCs/>
          <w:color w:val="333333"/>
          <w:sz w:val="21"/>
          <w:szCs w:val="21"/>
          <w:bdr w:val="none" w:sz="0" w:space="0" w:color="auto" w:frame="1"/>
        </w:rPr>
        <w:t>Teacher managers/mentors</w:t>
      </w:r>
      <w:r w:rsidRPr="000D5C41">
        <w:rPr>
          <w:rFonts w:ascii="Arial" w:eastAsia="Times New Roman" w:hAnsi="Arial" w:cs="Arial"/>
          <w:color w:val="333333"/>
          <w:sz w:val="21"/>
          <w:szCs w:val="21"/>
        </w:rPr>
        <w:t xml:space="preserve">. The role of the teacher in the classroom is being transformed from that of the font of knowledge to an instructional manager helping to guide students through individualized learning pathways, identifying relevant learning resources, creating collaborative learning opportunities, and providing insight and support both during formal class time and outside of the designated </w:t>
      </w:r>
      <w:proofErr w:type="gramStart"/>
      <w:r w:rsidRPr="000D5C41">
        <w:rPr>
          <w:rFonts w:ascii="Arial" w:eastAsia="Times New Roman" w:hAnsi="Arial" w:cs="Arial"/>
          <w:color w:val="333333"/>
          <w:sz w:val="21"/>
          <w:szCs w:val="21"/>
        </w:rPr>
        <w:t>40 minute</w:t>
      </w:r>
      <w:proofErr w:type="gramEnd"/>
      <w:r w:rsidRPr="000D5C41">
        <w:rPr>
          <w:rFonts w:ascii="Arial" w:eastAsia="Times New Roman" w:hAnsi="Arial" w:cs="Arial"/>
          <w:color w:val="333333"/>
          <w:sz w:val="21"/>
          <w:szCs w:val="21"/>
        </w:rPr>
        <w:t xml:space="preserve"> instruction period.</w:t>
      </w:r>
      <w:r w:rsidRPr="000D5C41">
        <w:rPr>
          <w:rFonts w:ascii="Arial" w:eastAsia="Times New Roman" w:hAnsi="Arial" w:cs="Arial"/>
          <w:color w:val="333333"/>
          <w:sz w:val="21"/>
          <w:szCs w:val="21"/>
          <w:bdr w:val="none" w:sz="0" w:space="0" w:color="auto" w:frame="1"/>
        </w:rPr>
        <w:t>  </w:t>
      </w:r>
      <w:r w:rsidRPr="000D5C41">
        <w:rPr>
          <w:rFonts w:ascii="Arial" w:eastAsia="Times New Roman" w:hAnsi="Arial" w:cs="Arial"/>
          <w:color w:val="333333"/>
          <w:sz w:val="21"/>
          <w:szCs w:val="21"/>
        </w:rPr>
        <w:t>This shift is easier said than done and ultimately the success or failure of technology projects in the classroom hinge on the human factor and the willingness of a teacher to step into unchartered territory.</w:t>
      </w:r>
      <w:r w:rsidRPr="000D5C41">
        <w:rPr>
          <w:rFonts w:ascii="Arial" w:eastAsia="Times New Roman" w:hAnsi="Arial" w:cs="Arial"/>
          <w:color w:val="333333"/>
          <w:sz w:val="21"/>
          <w:szCs w:val="21"/>
          <w:bdr w:val="none" w:sz="0" w:space="0" w:color="auto" w:frame="1"/>
        </w:rPr>
        <w:t> </w:t>
      </w:r>
    </w:p>
    <w:p w:rsidR="00750C7F" w:rsidRDefault="00750C7F"/>
    <w:sectPr w:rsidR="00750C7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0916" w:rsidRDefault="00C00916" w:rsidP="000105EC">
      <w:pPr>
        <w:spacing w:after="0" w:line="240" w:lineRule="auto"/>
      </w:pPr>
      <w:r>
        <w:separator/>
      </w:r>
    </w:p>
  </w:endnote>
  <w:endnote w:type="continuationSeparator" w:id="0">
    <w:p w:rsidR="00C00916" w:rsidRDefault="00C00916" w:rsidP="00010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0916" w:rsidRDefault="00C00916" w:rsidP="000105EC">
      <w:pPr>
        <w:spacing w:after="0" w:line="240" w:lineRule="auto"/>
      </w:pPr>
      <w:r>
        <w:separator/>
      </w:r>
    </w:p>
  </w:footnote>
  <w:footnote w:type="continuationSeparator" w:id="0">
    <w:p w:rsidR="00C00916" w:rsidRDefault="00C00916" w:rsidP="000105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36C46"/>
    <w:multiLevelType w:val="multilevel"/>
    <w:tmpl w:val="0568B6F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5D7B4B"/>
    <w:multiLevelType w:val="multilevel"/>
    <w:tmpl w:val="8208F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95263B"/>
    <w:multiLevelType w:val="multilevel"/>
    <w:tmpl w:val="D092108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5957B2"/>
    <w:multiLevelType w:val="multilevel"/>
    <w:tmpl w:val="0EFC24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3E5942"/>
    <w:multiLevelType w:val="multilevel"/>
    <w:tmpl w:val="138409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114F77"/>
    <w:multiLevelType w:val="multilevel"/>
    <w:tmpl w:val="A88229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076F7F"/>
    <w:multiLevelType w:val="multilevel"/>
    <w:tmpl w:val="3F3405A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A17454"/>
    <w:multiLevelType w:val="multilevel"/>
    <w:tmpl w:val="0FC8F1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321678"/>
    <w:multiLevelType w:val="multilevel"/>
    <w:tmpl w:val="6D3298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612961"/>
    <w:multiLevelType w:val="multilevel"/>
    <w:tmpl w:val="53A0A96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8"/>
  </w:num>
  <w:num w:numId="4">
    <w:abstractNumId w:val="5"/>
  </w:num>
  <w:num w:numId="5">
    <w:abstractNumId w:val="3"/>
  </w:num>
  <w:num w:numId="6">
    <w:abstractNumId w:val="4"/>
  </w:num>
  <w:num w:numId="7">
    <w:abstractNumId w:val="9"/>
  </w:num>
  <w:num w:numId="8">
    <w:abstractNumId w:val="6"/>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C41"/>
    <w:rsid w:val="000105EC"/>
    <w:rsid w:val="000D5C41"/>
    <w:rsid w:val="006B6CC7"/>
    <w:rsid w:val="00750C7F"/>
    <w:rsid w:val="00AC5294"/>
    <w:rsid w:val="00C00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40D17"/>
  <w15:chartTrackingRefBased/>
  <w15:docId w15:val="{D2F61066-D3BF-4D97-8913-EEDF36077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D5C41"/>
    <w:rPr>
      <w:color w:val="0000FF"/>
      <w:u w:val="single"/>
    </w:rPr>
  </w:style>
  <w:style w:type="paragraph" w:styleId="Header">
    <w:name w:val="header"/>
    <w:basedOn w:val="Normal"/>
    <w:link w:val="HeaderChar"/>
    <w:uiPriority w:val="99"/>
    <w:unhideWhenUsed/>
    <w:rsid w:val="000105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5EC"/>
  </w:style>
  <w:style w:type="paragraph" w:styleId="Footer">
    <w:name w:val="footer"/>
    <w:basedOn w:val="Normal"/>
    <w:link w:val="FooterChar"/>
    <w:uiPriority w:val="99"/>
    <w:unhideWhenUsed/>
    <w:rsid w:val="000105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5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6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winternet.org/" TargetMode="External"/><Relationship Id="rId3" Type="http://schemas.openxmlformats.org/officeDocument/2006/relationships/settings" Target="settings.xml"/><Relationship Id="rId7" Type="http://schemas.openxmlformats.org/officeDocument/2006/relationships/hyperlink" Target="http://www.nytimes.com/2010/01/09/technology/personaltech/09reader.html?ref=technolo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2018-10-11T10:57:00Z</dcterms:created>
  <dcterms:modified xsi:type="dcterms:W3CDTF">2018-10-12T10:09:00Z</dcterms:modified>
</cp:coreProperties>
</file>