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2019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4,661,802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2021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4,987,370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Age,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2,554,191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2,777,802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2,107,611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2,209,568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54,212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44,411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440,599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439,631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258,290 (6.6%)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297,835 (7.0%)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3,166,343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3,479,069 (82%)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742,358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726,424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742,358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726,424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3,919,444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4,260,946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education or greater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1,912,907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1,975,581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graduation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638,763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715,513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2,110,131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2,296,277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Has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Has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4,501,000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4,840,375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160,802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146,995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1,532,391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1,542,853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Medicaid, with 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254,956 (5.5%)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246,461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32,495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53,338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Medicare, with 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69,793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83,685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86,010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89,779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2,525,354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2,811,946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Uninsured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160,802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146,995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Medicare, dual-eligible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12,313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Household income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8,723 (0, 47,737)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7,875 (0, 45,760)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245 (0, 984)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300 (1, 1,300)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Mean (SD); n (%); Median (Q1, Q3)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2026-03-31T20:47:34Z</dcterms:created>
  <dcterms:modified xsi:type="dcterms:W3CDTF">2026-03-31T20:47:34Z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