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2,554,191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2,777,802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2,107,611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2,209,568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54,212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440,599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439,631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258,290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297,835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3,166,343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3,479,069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742,358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726,424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742,358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726,424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3,919,444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4,260,946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1,912,907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1,975,581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638,763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715,513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2,110,131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2,296,277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4,501,000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4,840,375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1,532,391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1,542,853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254,956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246,461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32,495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53,338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69,793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83,685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86,010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89,779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2,525,354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2,811,946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dual-eligible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12,313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(18+ years)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41,514 (13,768, 67,814)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34,601 (11,000, 64,002)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2,145,531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2,028,904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(0, 984)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(1, 1,300)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2026-03-31T21:36:47Z</dcterms:created>
  <dcterms:modified xsi:type="dcterms:W3CDTF">2026-03-31T21:36:47Z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