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3,294,689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3,895,417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Child (&lt;18 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1,607,714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1,600,934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Adult (18+ 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1,686,975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2,294,483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Age-sex subgroup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Child,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1,031,338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1,058,660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Child,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576,376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542,275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Adult,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787,764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1,002,164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Adult,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899,211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1,292,319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2,327,977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2,818,480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318,823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270,620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40,888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41,552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130,130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269,956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476,871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494,808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2,817,818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3,400,609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education or greater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1,223,092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1,585,392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graduation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468,700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501,185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3,203,581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3,783,553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91,109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111,863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1,208,461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1,148,479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159,109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192,749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60,496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70,373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1,764,826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2,348,252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Uninsured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91,109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111,863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Household (18+ years) income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46,404 (13,768-70,379)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40,121 (13,494-68,000)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out-of-pocket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(3-984)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394 (52-1,362)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(%); Median (Q1-Q3)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2026-04-28T20:41:32Z</dcterms:created>
  <dcterms:modified xsi:type="dcterms:W3CDTF">2026-04-28T20:41:32Z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