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67A1" w14:textId="77777777" w:rsidR="00670CD7" w:rsidRPr="00670CD7" w:rsidRDefault="00670CD7" w:rsidP="00670CD7">
      <w:pPr>
        <w:rPr>
          <w:sz w:val="28"/>
          <w:szCs w:val="28"/>
        </w:rPr>
      </w:pPr>
      <w:r w:rsidRPr="00670CD7">
        <w:rPr>
          <w:b/>
          <w:bCs/>
          <w:sz w:val="28"/>
          <w:szCs w:val="28"/>
        </w:rPr>
        <w:t>Changes in ADHD Medication Utilization Among U.S. Adults Following COVID-19 Telehealth Expansion: A Population-Based Analysis</w:t>
      </w:r>
    </w:p>
    <w:p w14:paraId="2C2B85B3" w14:textId="77777777" w:rsidR="00670CD7" w:rsidRPr="00670CD7" w:rsidRDefault="00670CD7" w:rsidP="00670CD7"/>
    <w:p w14:paraId="1CB4E152" w14:textId="77777777" w:rsidR="00670CD7" w:rsidRPr="00670CD7" w:rsidRDefault="00670CD7" w:rsidP="00670CD7">
      <w:r w:rsidRPr="00670CD7">
        <w:t>Brian T Ruan</w:t>
      </w:r>
      <w:r w:rsidRPr="00670CD7">
        <w:rPr>
          <w:vertAlign w:val="superscript"/>
        </w:rPr>
        <w:t>1</w:t>
      </w:r>
      <w:r w:rsidRPr="00670CD7">
        <w:t>, Simran Rajpal</w:t>
      </w:r>
      <w:r w:rsidRPr="00670CD7">
        <w:rPr>
          <w:vertAlign w:val="superscript"/>
        </w:rPr>
        <w:t>1</w:t>
      </w:r>
      <w:r w:rsidRPr="00670CD7">
        <w:t>, Katrina Hannett</w:t>
      </w:r>
      <w:r w:rsidRPr="00670CD7">
        <w:rPr>
          <w:vertAlign w:val="superscript"/>
        </w:rPr>
        <w:t>1</w:t>
      </w:r>
      <w:r w:rsidRPr="00670CD7">
        <w:t>, Nitya Koduri</w:t>
      </w:r>
      <w:r w:rsidRPr="00670CD7">
        <w:rPr>
          <w:vertAlign w:val="superscript"/>
        </w:rPr>
        <w:t>1</w:t>
      </w:r>
      <w:r w:rsidRPr="00670CD7">
        <w:t>, Shikhar Shrestha</w:t>
      </w:r>
      <w:r w:rsidRPr="00670CD7">
        <w:rPr>
          <w:vertAlign w:val="superscript"/>
        </w:rPr>
        <w:t>2</w:t>
      </w:r>
    </w:p>
    <w:p w14:paraId="6234D097" w14:textId="77777777" w:rsidR="00670CD7" w:rsidRPr="00670CD7" w:rsidRDefault="00670CD7" w:rsidP="00670CD7"/>
    <w:p w14:paraId="1F332DD7" w14:textId="77777777" w:rsidR="00670CD7" w:rsidRPr="00670CD7" w:rsidRDefault="00670CD7" w:rsidP="00670CD7">
      <w:r w:rsidRPr="00670CD7">
        <w:rPr>
          <w:vertAlign w:val="superscript"/>
        </w:rPr>
        <w:t>1</w:t>
      </w:r>
      <w:r w:rsidRPr="00670CD7">
        <w:t xml:space="preserve"> Tufts University School of Medicine, Boston, MA, USA</w:t>
      </w:r>
    </w:p>
    <w:p w14:paraId="1D54C414" w14:textId="097243B0" w:rsidR="00D731FD" w:rsidRDefault="00670CD7" w:rsidP="00670CD7">
      <w:r w:rsidRPr="00670CD7">
        <w:rPr>
          <w:vertAlign w:val="superscript"/>
        </w:rPr>
        <w:t>2</w:t>
      </w:r>
      <w:r w:rsidRPr="00670CD7">
        <w:t xml:space="preserve"> Department of Public Health and Community Medicine, Tufts University School of Medicine, Boston, MA, USA</w:t>
      </w:r>
    </w:p>
    <w:p w14:paraId="291A6123" w14:textId="77777777" w:rsidR="00670CD7" w:rsidRDefault="00670CD7" w:rsidP="00670CD7"/>
    <w:p w14:paraId="323CFB64" w14:textId="77777777" w:rsidR="00670CD7" w:rsidRPr="00670CD7" w:rsidRDefault="00670CD7" w:rsidP="00670CD7">
      <w:pPr>
        <w:rPr>
          <w:b/>
          <w:bCs/>
          <w:sz w:val="28"/>
          <w:szCs w:val="28"/>
        </w:rPr>
      </w:pPr>
      <w:r w:rsidRPr="00670CD7">
        <w:rPr>
          <w:b/>
          <w:bCs/>
          <w:sz w:val="28"/>
          <w:szCs w:val="28"/>
        </w:rPr>
        <w:t>Abstract</w:t>
      </w:r>
    </w:p>
    <w:p w14:paraId="6884EE50" w14:textId="77777777" w:rsidR="00670CD7" w:rsidRPr="00670CD7" w:rsidRDefault="00670CD7" w:rsidP="00670CD7">
      <w:pPr>
        <w:rPr>
          <w:b/>
          <w:bCs/>
        </w:rPr>
      </w:pPr>
      <w:r w:rsidRPr="00670CD7">
        <w:rPr>
          <w:b/>
          <w:bCs/>
        </w:rPr>
        <w:t>Background</w:t>
      </w:r>
    </w:p>
    <w:p w14:paraId="4EB75BBD" w14:textId="77777777" w:rsidR="00670CD7" w:rsidRPr="00670CD7" w:rsidRDefault="00670CD7" w:rsidP="00670CD7">
      <w:r w:rsidRPr="00670CD7">
        <w:t>Attention-deficit hyperactivity disorder (ADHD) affects approximately 11% of U.S. children and 6% of U.S. adults and is associated with substantial healthcare and economic burden. The COVID-19 pandemic introduced major shifts in care delivery, including expanded telehealth prescribing, yet population-level data on whether these changes affected ADHD medication utilization patterns are limited.</w:t>
      </w:r>
    </w:p>
    <w:p w14:paraId="6B4731FB" w14:textId="77777777" w:rsidR="00670CD7" w:rsidRPr="00670CD7" w:rsidRDefault="00670CD7" w:rsidP="00670CD7"/>
    <w:p w14:paraId="25555F99" w14:textId="77777777" w:rsidR="00670CD7" w:rsidRPr="00670CD7" w:rsidRDefault="00670CD7" w:rsidP="00670CD7">
      <w:pPr>
        <w:rPr>
          <w:b/>
          <w:bCs/>
        </w:rPr>
      </w:pPr>
      <w:r w:rsidRPr="00670CD7">
        <w:rPr>
          <w:b/>
          <w:bCs/>
        </w:rPr>
        <w:t>Methods</w:t>
      </w:r>
    </w:p>
    <w:p w14:paraId="57413C55" w14:textId="60EFE28A" w:rsidR="00670CD7" w:rsidRPr="00670CD7" w:rsidRDefault="00670CD7" w:rsidP="00670CD7">
      <w:r>
        <w:t xml:space="preserve">We conducted an interrupted time series analysis </w:t>
      </w:r>
      <w:r w:rsidRPr="00670CD7">
        <w:t xml:space="preserve">using nationally representative Medical Expenditure Panel Survey (MEPS) data from </w:t>
      </w:r>
      <w:r>
        <w:t>2017 through 2023</w:t>
      </w:r>
      <w:r w:rsidRPr="00670CD7">
        <w:t xml:space="preserve">. The study sample included non-Medicare beneficiaries aged ≤65 years with a documented ADHD diagnosis (unweighted N = </w:t>
      </w:r>
      <w:r w:rsidRPr="00670CD7">
        <w:rPr>
          <w:highlight w:val="yellow"/>
        </w:rPr>
        <w:t>INSERT_UNWEIGHTED</w:t>
      </w:r>
      <w:r w:rsidRPr="00670CD7">
        <w:t xml:space="preserve">; weighted N = </w:t>
      </w:r>
      <w:r w:rsidRPr="00670CD7">
        <w:rPr>
          <w:highlight w:val="yellow"/>
        </w:rPr>
        <w:t>INSERT_WEIGHTED</w:t>
      </w:r>
      <w:r w:rsidRPr="00670CD7">
        <w:t xml:space="preserve">). </w:t>
      </w:r>
      <w:r>
        <w:t xml:space="preserve">We examined the annual changes of ADHD-related expenditures per person-year, aggregated at the year-by-individual level. The primary interruption points were defined as the </w:t>
      </w:r>
      <w:r w:rsidRPr="00670CD7">
        <w:rPr>
          <w:highlight w:val="yellow"/>
        </w:rPr>
        <w:t>declared start of the COVID-19 pandemic</w:t>
      </w:r>
      <w:r>
        <w:t xml:space="preserve"> and the </w:t>
      </w:r>
      <w:r w:rsidRPr="00670CD7">
        <w:rPr>
          <w:highlight w:val="yellow"/>
        </w:rPr>
        <w:t>first announcement of the ADHD prescription medication shortage</w:t>
      </w:r>
      <w:r>
        <w:t xml:space="preserve">. Survey-weighted segmented regression models with </w:t>
      </w:r>
      <w:r w:rsidRPr="00670CD7">
        <w:rPr>
          <w:highlight w:val="yellow"/>
        </w:rPr>
        <w:t>MODEL_TYPE</w:t>
      </w:r>
      <w:r>
        <w:t xml:space="preserve"> links for counts and </w:t>
      </w:r>
      <w:r w:rsidRPr="00670CD7">
        <w:rPr>
          <w:highlight w:val="yellow"/>
        </w:rPr>
        <w:t>MODEL_TYPE</w:t>
      </w:r>
      <w:r>
        <w:t xml:space="preserve"> models for </w:t>
      </w:r>
      <w:r w:rsidRPr="00670CD7">
        <w:rPr>
          <w:highlight w:val="yellow"/>
        </w:rPr>
        <w:t>continuous outcomes</w:t>
      </w:r>
      <w:r>
        <w:t xml:space="preserve"> were used to estimate changes in level and trend in ADHD medication utilization and associated spending, adjusting for prespecified sociodemographic </w:t>
      </w:r>
      <w:r w:rsidRPr="00670CD7">
        <w:t xml:space="preserve">covariates </w:t>
      </w:r>
      <w:r>
        <w:t>like</w:t>
      </w:r>
      <w:r w:rsidRPr="00670CD7">
        <w:t xml:space="preserve"> age, sex, race, insurance type, and income.</w:t>
      </w:r>
    </w:p>
    <w:p w14:paraId="7CB47B37" w14:textId="77777777" w:rsidR="00670CD7" w:rsidRPr="00670CD7" w:rsidRDefault="00670CD7" w:rsidP="00670CD7"/>
    <w:p w14:paraId="32E7F43A" w14:textId="77777777" w:rsidR="00670CD7" w:rsidRPr="00670CD7" w:rsidRDefault="00670CD7" w:rsidP="00670CD7">
      <w:pPr>
        <w:rPr>
          <w:b/>
          <w:bCs/>
        </w:rPr>
      </w:pPr>
      <w:r w:rsidRPr="00670CD7">
        <w:rPr>
          <w:b/>
          <w:bCs/>
        </w:rPr>
        <w:t>Results</w:t>
      </w:r>
    </w:p>
    <w:p w14:paraId="079129AB" w14:textId="640FAF45" w:rsidR="00670CD7" w:rsidRPr="00670CD7" w:rsidRDefault="00670CD7" w:rsidP="00670CD7">
      <w:r w:rsidRPr="00670CD7">
        <w:rPr>
          <w:highlight w:val="yellow"/>
        </w:rPr>
        <w:t>NEW_RESULTS</w:t>
      </w:r>
    </w:p>
    <w:p w14:paraId="66F83B5E" w14:textId="77777777" w:rsidR="00670CD7" w:rsidRPr="00670CD7" w:rsidRDefault="00670CD7" w:rsidP="00670CD7"/>
    <w:p w14:paraId="5C0A7278" w14:textId="77777777" w:rsidR="00670CD7" w:rsidRPr="00670CD7" w:rsidRDefault="00670CD7" w:rsidP="00670CD7">
      <w:pPr>
        <w:rPr>
          <w:b/>
          <w:bCs/>
        </w:rPr>
      </w:pPr>
      <w:r w:rsidRPr="00670CD7">
        <w:rPr>
          <w:b/>
          <w:bCs/>
        </w:rPr>
        <w:t>Conclusions</w:t>
      </w:r>
    </w:p>
    <w:p w14:paraId="17D63FF6" w14:textId="7C41728A" w:rsidR="00670CD7" w:rsidRPr="00670CD7" w:rsidRDefault="00670CD7" w:rsidP="00670CD7">
      <w:r w:rsidRPr="00670CD7">
        <w:rPr>
          <w:highlight w:val="yellow"/>
        </w:rPr>
        <w:t>NEW_CONCLUSIONS</w:t>
      </w:r>
    </w:p>
    <w:p w14:paraId="11607618" w14:textId="77777777" w:rsidR="00670CD7" w:rsidRPr="00670CD7" w:rsidRDefault="00670CD7" w:rsidP="00670CD7"/>
    <w:p w14:paraId="71824ADE" w14:textId="77777777" w:rsidR="00670CD7" w:rsidRPr="00670CD7" w:rsidRDefault="00670CD7" w:rsidP="00670CD7">
      <w:pPr>
        <w:rPr>
          <w:b/>
          <w:bCs/>
          <w:sz w:val="28"/>
          <w:szCs w:val="28"/>
        </w:rPr>
      </w:pPr>
      <w:r w:rsidRPr="00670CD7">
        <w:rPr>
          <w:b/>
          <w:bCs/>
          <w:sz w:val="28"/>
          <w:szCs w:val="28"/>
        </w:rPr>
        <w:t>Introduction</w:t>
      </w:r>
    </w:p>
    <w:p w14:paraId="2E7F2A99" w14:textId="77777777" w:rsidR="00670CD7" w:rsidRPr="00670CD7" w:rsidRDefault="00670CD7" w:rsidP="00670CD7">
      <w:r w:rsidRPr="00670CD7">
        <w:t>Attention-deficit hyperactivity disorder (ADHD) affects an estimated 11% of children and 6% of adults in the United States and is associated with substantial clinical and economic burden, including increased healthcare utilization, pharmaceutical expenditures, and reduced productivity. Over the past decade, improved diagnostic awareness and evolving clinical practices have contributed to rising prevalence estimates; however, national trends in treatment patterns and their downstream economic implications remain incompletely characterized.</w:t>
      </w:r>
    </w:p>
    <w:p w14:paraId="5F920479" w14:textId="77777777" w:rsidR="00670CD7" w:rsidRPr="00670CD7" w:rsidRDefault="00670CD7" w:rsidP="00670CD7"/>
    <w:p w14:paraId="7FC28E70" w14:textId="77777777" w:rsidR="00670CD7" w:rsidRPr="00670CD7" w:rsidRDefault="00670CD7" w:rsidP="00670CD7">
      <w:r w:rsidRPr="00670CD7">
        <w:t xml:space="preserve">The COVID-19 pandemic introduced a major structural shift in healthcare delivery, including the rapid expansion of telehealth and the temporary relaxation of prescribing regulations for controlled substances. In March 2020, the Drug Enforcement Administration (DEA), in coordination with the </w:t>
      </w:r>
      <w:r w:rsidRPr="00670CD7">
        <w:lastRenderedPageBreak/>
        <w:t>Department of Health and Human Services (HHS), temporarily waived the Ryan Haight Act requirement for an initial in-person evaluation prior to prescribing Schedule II–V controlled substances via telemedicine during the Public Health Emergency. These policy changes may have reduced barriers to ADHD diagnosis and treatment by enabling remote evaluation and prescribing. </w:t>
      </w:r>
    </w:p>
    <w:p w14:paraId="65DF61E3" w14:textId="77777777" w:rsidR="00670CD7" w:rsidRPr="00670CD7" w:rsidRDefault="00670CD7" w:rsidP="00670CD7"/>
    <w:p w14:paraId="45BB1D67" w14:textId="77777777" w:rsidR="00670CD7" w:rsidRPr="00670CD7" w:rsidRDefault="00670CD7" w:rsidP="00670CD7">
      <w:r w:rsidRPr="00670CD7">
        <w:t>ADHD represents a particularly important condition in the context of telehealth expansion because first-line stimulant medications are classified as Schedule II controlled substances and historically required in-person evaluation prior to prescribing under the Ryan Haight Act. The rapid shift to remote ADHD evaluation and prescribing generated both optimism regarding improved access to care and concern regarding potential overprescribing, misuse, and diversion, particularly among young adults. At the same time, broader pandemic-related disruptions, such as shifts in healthcare-seeking behavior, mental health demand, and medication supply variability, may have independently influenced ADHD care patterns, making the net of telehealth expansion on medication utilization difficult to isolate. Despite the prominence of ADHD in policy discussions surrounding telehealth prescribing, population-level evidence evaluating changes in ADHD medication utilization following these regulatory shifts remains limited.</w:t>
      </w:r>
    </w:p>
    <w:p w14:paraId="3663CD63" w14:textId="77777777" w:rsidR="00670CD7" w:rsidRPr="00670CD7" w:rsidRDefault="00670CD7" w:rsidP="00670CD7"/>
    <w:p w14:paraId="2DCB280E" w14:textId="77777777" w:rsidR="00670CD7" w:rsidRPr="00670CD7" w:rsidRDefault="00670CD7" w:rsidP="00670CD7">
      <w:r w:rsidRPr="00670CD7">
        <w:t>Existing literature on telehealth expansion has largely focused on pediatric populations, private insurance datasets, or general mental health services, leaving a gap in nationally representative analyses that span the age spectrum and capture diverse payer sources. Additionally, current literature on evaluating COVID-era telehealth expansion on mental health has primarily focused on opioid prescribing and opioid use disorder treatment, as well as broader trends in depression and anxiety care. These studies generally suggest that telehealth policies helped preserve continuity of mental health treatment during the pandemic. However, there remains limited nationally representative research examining how these policy changes affected ADHD populations specifically, particularly with respect to stimulant medication utilization, treatment continuity, and access to care across diverse sociodemographic groups. Understanding how ADHD medication utilization changed following COVID-era telehealth expansion is critical for informing prescribing policy, improving access to care, and identifying persistent disparities across sociodemographic groups.</w:t>
      </w:r>
    </w:p>
    <w:p w14:paraId="65CC79CD" w14:textId="77777777" w:rsidR="00670CD7" w:rsidRPr="00670CD7" w:rsidRDefault="00670CD7" w:rsidP="00670CD7"/>
    <w:p w14:paraId="706989B5" w14:textId="3EF989B3" w:rsidR="00670CD7" w:rsidRPr="00670CD7" w:rsidRDefault="00670CD7" w:rsidP="00670CD7">
      <w:r w:rsidRPr="00670CD7">
        <w:rPr>
          <w:highlight w:val="yellow"/>
        </w:rPr>
        <w:t>Using nationally representative data from the Medical Expenditure Panel Survey (MEPS), we evaluated changes in ADHD medication utilization and spending among U.S. individuals aged ≤65 years before (2019) and after (2021) COVID-era telehealth expansion. We hypothesized that medication utilization increased in the post-COVID period and that changes varied by sociodemographic and access-related factors.</w:t>
      </w:r>
      <w:r>
        <w:t xml:space="preserve"> NEEDS_UPDATE_TO_LONGITUDINAL</w:t>
      </w:r>
    </w:p>
    <w:p w14:paraId="1BD4D599" w14:textId="77777777" w:rsidR="00670CD7" w:rsidRPr="00670CD7" w:rsidRDefault="00670CD7" w:rsidP="00670CD7"/>
    <w:p w14:paraId="21E1F477" w14:textId="77777777" w:rsidR="00670CD7" w:rsidRPr="00670CD7" w:rsidRDefault="00670CD7" w:rsidP="00670CD7">
      <w:pPr>
        <w:rPr>
          <w:b/>
          <w:bCs/>
          <w:sz w:val="28"/>
          <w:szCs w:val="28"/>
        </w:rPr>
      </w:pPr>
      <w:r w:rsidRPr="00670CD7">
        <w:rPr>
          <w:b/>
          <w:bCs/>
          <w:sz w:val="28"/>
          <w:szCs w:val="28"/>
        </w:rPr>
        <w:t>Methods</w:t>
      </w:r>
    </w:p>
    <w:p w14:paraId="746C44D5" w14:textId="77777777" w:rsidR="00670CD7" w:rsidRPr="00670CD7" w:rsidRDefault="00670CD7" w:rsidP="00670CD7">
      <w:r w:rsidRPr="00670CD7">
        <w:rPr>
          <w:b/>
          <w:bCs/>
          <w:i/>
          <w:iCs/>
        </w:rPr>
        <w:t>Study design and data source.</w:t>
      </w:r>
      <w:r w:rsidRPr="00670CD7">
        <w:t xml:space="preserve"> We conducted a retrospective repeated cross-sectional analysis using data from the Medical Expenditure Panel Survey (MEPS), a nationally representative survey of the U.S. civilian noninstitutionalized population administered by the Agency for Healthcare Research and Quality (AHRQ). MEPS collects detailed information on healthcare utilization, expenditures, prescription medications, insurance coverage, and sociodemographic characteristics through repeated household interviews supplemented by medical provider and pharmacy verification. Because MEPS incorporates a complex multistage probability sampling design, analyses can generate nationally representative estimates when survey weights are applied.</w:t>
      </w:r>
    </w:p>
    <w:p w14:paraId="789983C8" w14:textId="77777777" w:rsidR="00670CD7" w:rsidRPr="00670CD7" w:rsidRDefault="00670CD7" w:rsidP="00670CD7">
      <w:r w:rsidRPr="00670CD7">
        <w:lastRenderedPageBreak/>
        <w:t>Four MEPS component files were used for each study year: the Household Component Full-Year Consolidated file (FYC), Medical Conditions file (COND), Prescribed Medicines Event file (RX), and Condition-Event Link file (CLNK). Variables extracted from the FYC file are listed in Supplemental Table 1; all variables from the COND, RX, and CLNK files were evaluated for cohort construction and medication linkage.</w:t>
      </w:r>
    </w:p>
    <w:p w14:paraId="346178C8" w14:textId="77777777" w:rsidR="00670CD7" w:rsidRPr="00670CD7" w:rsidRDefault="00670CD7" w:rsidP="00670CD7"/>
    <w:p w14:paraId="4DB0BDF6" w14:textId="77777777" w:rsidR="00670CD7" w:rsidRPr="00670CD7" w:rsidRDefault="00670CD7" w:rsidP="00670CD7">
      <w:r w:rsidRPr="00670CD7">
        <w:rPr>
          <w:b/>
          <w:bCs/>
          <w:i/>
          <w:iCs/>
        </w:rPr>
        <w:t>Inclusion and exclusion criteria.</w:t>
      </w:r>
      <w:r w:rsidRPr="00670CD7">
        <w:t xml:space="preserve"> The study sample included individuals aged ≤65 years who were not Medicare beneficiaries and had a documented diagnosis of ADHD, identified using International Classification of Diseases, 10th Revision, Clinical Modification (ICD-10-CM) code F90. Medicare beneficiaries were excluded due to insufficient sample size to support reliable survey-weighted estimates in this subgroup. Stimulant and non-stimulant medications approved by the U.S. Food and Drug Administration (FDA) for the treatment of ADHD were identified using National Drug Codes (NDCs; see Supplemental File 1). The CLNK file was used to link prescribed medications in the RX file to an ADHD diagnosis in the COND file, ensuring that only medications prescribed for the indication of ADHD were included. The sample selection process is summarized in </w:t>
      </w:r>
      <w:r w:rsidRPr="00670CD7">
        <w:rPr>
          <w:b/>
          <w:bCs/>
        </w:rPr>
        <w:t>Figure 1</w:t>
      </w:r>
      <w:r w:rsidRPr="00670CD7">
        <w:t>.</w:t>
      </w:r>
    </w:p>
    <w:p w14:paraId="107476B0" w14:textId="77777777" w:rsidR="00670CD7" w:rsidRPr="00670CD7" w:rsidRDefault="00670CD7" w:rsidP="00670CD7"/>
    <w:p w14:paraId="1E221FBD" w14:textId="77777777" w:rsidR="00670CD7" w:rsidRPr="00670CD7" w:rsidRDefault="00670CD7" w:rsidP="00670CD7">
      <w:r w:rsidRPr="00670CD7">
        <w:rPr>
          <w:b/>
          <w:bCs/>
          <w:i/>
          <w:iCs/>
        </w:rPr>
        <w:t>Independent Variables.</w:t>
      </w:r>
      <w:r w:rsidRPr="00670CD7">
        <w:rPr>
          <w:i/>
          <w:iCs/>
        </w:rPr>
        <w:t xml:space="preserve"> </w:t>
      </w:r>
      <w:r w:rsidRPr="00670CD7">
        <w:t>Independent variables were selected based on previous studies of economic outcomes with ADHD and were recorded to ensure adequate stratum sizes. Educational attainment was dichotomized as high school graduation or less versus some college or higher education to improve interpretability and reduce sparse subgroup counts. Poverty categories were derived from MEPS poverty status variables, and the “poor/negative” and “near-poor” categories were combined into a single “very low income” category due to similar socioeconomic characteristics and limited sample sizes. Insurance status was categorized as private insurance only, public insurance only, dual public and private coverage, or uninsured based on MEPS full-year insurance variables. Medicare beneficiaries were excluded from analysis; therefore, public insurance primarily reflected Medicaid or other non-Medicare public coverage.</w:t>
      </w:r>
    </w:p>
    <w:p w14:paraId="1E285607" w14:textId="77777777" w:rsidR="00670CD7" w:rsidRPr="00670CD7" w:rsidRDefault="00670CD7" w:rsidP="00670CD7"/>
    <w:p w14:paraId="0C78FF25" w14:textId="638F9B6B" w:rsidR="00670CD7" w:rsidRPr="00670CD7" w:rsidRDefault="00670CD7" w:rsidP="00670CD7">
      <w:r w:rsidRPr="00670CD7">
        <w:rPr>
          <w:b/>
          <w:bCs/>
          <w:i/>
          <w:iCs/>
        </w:rPr>
        <w:t xml:space="preserve">Exposure and outcome. </w:t>
      </w:r>
      <w:r w:rsidRPr="00670CD7">
        <w:rPr>
          <w:highlight w:val="yellow"/>
        </w:rPr>
        <w:t>NEEDS_UPDATE</w:t>
      </w:r>
    </w:p>
    <w:p w14:paraId="3BA9BC03" w14:textId="0DF6967C" w:rsidR="00670CD7" w:rsidRDefault="00670CD7" w:rsidP="00670CD7">
      <w:r w:rsidRPr="00670CD7">
        <w:br/>
      </w:r>
      <w:r w:rsidRPr="00670CD7">
        <w:rPr>
          <w:b/>
          <w:bCs/>
          <w:i/>
          <w:iCs/>
        </w:rPr>
        <w:t>Covariates.</w:t>
      </w:r>
      <w:r w:rsidRPr="00670CD7">
        <w:t xml:space="preserve"> Covariates were informed by prior literature and conceptual relationships</w:t>
      </w:r>
      <w:r>
        <w:t xml:space="preserve">. </w:t>
      </w:r>
      <w:r w:rsidRPr="00670CD7">
        <w:t>The primary adjustment set included age, sex, race, ethnicity, educational attainment, and socioeconomic status. Access to care and healthcare utilization were conceptualized as mediators of the relationship between COVID-era policy changes and prescription fills and were therefore excluded from the primary adjustment set to avoid overadjustment bias.</w:t>
      </w:r>
    </w:p>
    <w:p w14:paraId="56134733" w14:textId="77777777" w:rsidR="000C3F57" w:rsidRDefault="000C3F57" w:rsidP="00670CD7"/>
    <w:p w14:paraId="6A421362" w14:textId="77777777" w:rsidR="000C3F57" w:rsidRPr="000C3F57" w:rsidRDefault="000C3F57" w:rsidP="000C3F57">
      <w:r w:rsidRPr="000C3F57">
        <w:rPr>
          <w:b/>
          <w:bCs/>
          <w:i/>
          <w:iCs/>
        </w:rPr>
        <w:t>Statistical analysis.</w:t>
      </w:r>
      <w:r w:rsidRPr="000C3F57">
        <w:t xml:space="preserve"> Summary statistics are presented as means with standard deviations for continuous variables and counts with proportions for categorical variables. Differences between the pre- and post-COVID periods were assessed using Rao-Scott adjusted Pearson chi-squared tests for categorical variables and design-based Kruskal-Wallis tests for continuous variables.</w:t>
      </w:r>
    </w:p>
    <w:p w14:paraId="03EE8CEB" w14:textId="77777777" w:rsidR="000C3F57" w:rsidRPr="000C3F57" w:rsidRDefault="000C3F57" w:rsidP="000C3F57"/>
    <w:p w14:paraId="71A0BF93" w14:textId="77777777" w:rsidR="000C3F57" w:rsidRPr="000C3F57" w:rsidRDefault="000C3F57" w:rsidP="000C3F57">
      <w:r w:rsidRPr="000C3F57">
        <w:t xml:space="preserve">Because the primary outcome is a count variable with expected overdispersion, survey-weighted quasi-Poisson regression was used to estimate the association between COVID period and ADHD prescription fills. A series of nested models with sequential covariate adjustment were constructed, and results are reported as incidence rate ratios (IRRs) with 95% confidence intervals. All analyses incorporated MEPS survey design elements, including person-level weights (PERWTXXF; XX = 19 or 21), variance strata (VARSTR), and primary sampling units (VARPSU), to produce nationally representative estimates and appropriately account for the complex survey </w:t>
      </w:r>
      <w:r w:rsidRPr="000C3F57">
        <w:lastRenderedPageBreak/>
        <w:t>design. Statistical significance was defined as a two-sided p-value 0.05. All analyses were performed using R Statistical Software (version 4.5.3; R Core Team, 2021).</w:t>
      </w:r>
    </w:p>
    <w:p w14:paraId="3EE2710D" w14:textId="77777777" w:rsidR="000C3F57" w:rsidRPr="000C3F57" w:rsidRDefault="000C3F57" w:rsidP="000C3F57"/>
    <w:p w14:paraId="1017C2F0" w14:textId="77777777" w:rsidR="000C3F57" w:rsidRPr="000C3F57" w:rsidRDefault="000C3F57" w:rsidP="000C3F57">
      <w:r w:rsidRPr="000C3F57">
        <w:t xml:space="preserve">Diagnostic evaluation of the survey-weighted quasi-Poisson regression models demonstrated acceptable overall model fit. Residual-versus-fitted plots for both the primary model (Model 8) and sensitivity analysis (Model 9) showed no major systematic patterns or evidence of substantial heteroscedasticity. Q-Q plots of deviance residuals demonstrated approximate linearity through the central quantiles, with mild deviations in the tails consistent with </w:t>
      </w:r>
      <w:proofErr w:type="spellStart"/>
      <w:r w:rsidRPr="000C3F57">
        <w:t>overdispersed</w:t>
      </w:r>
      <w:proofErr w:type="spellEnd"/>
      <w:r w:rsidRPr="000C3F57">
        <w:t xml:space="preserve"> count data. These findings support the appropriateness of the quasi-Poisson modeling approach for the observed outcome distribution.</w:t>
      </w:r>
    </w:p>
    <w:p w14:paraId="7A9E220A" w14:textId="77777777" w:rsidR="000C3F57" w:rsidRPr="000C3F57" w:rsidRDefault="000C3F57" w:rsidP="000C3F57"/>
    <w:p w14:paraId="4594EF68" w14:textId="77777777" w:rsidR="000C3F57" w:rsidRDefault="000C3F57" w:rsidP="00670CD7"/>
    <w:sectPr w:rsidR="000C3F57" w:rsidSect="00F75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defaultTabStop w:val="720"/>
  <w:evenAndOddHeaders/>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D7"/>
    <w:rsid w:val="00004E93"/>
    <w:rsid w:val="00011759"/>
    <w:rsid w:val="00012BC1"/>
    <w:rsid w:val="00024607"/>
    <w:rsid w:val="00025163"/>
    <w:rsid w:val="000255C5"/>
    <w:rsid w:val="000314C7"/>
    <w:rsid w:val="00033513"/>
    <w:rsid w:val="00035BB5"/>
    <w:rsid w:val="000438A9"/>
    <w:rsid w:val="00047559"/>
    <w:rsid w:val="00047D81"/>
    <w:rsid w:val="00056BE5"/>
    <w:rsid w:val="0006410A"/>
    <w:rsid w:val="00065730"/>
    <w:rsid w:val="000729D2"/>
    <w:rsid w:val="000861D1"/>
    <w:rsid w:val="00091958"/>
    <w:rsid w:val="000A0039"/>
    <w:rsid w:val="000A0460"/>
    <w:rsid w:val="000A6B72"/>
    <w:rsid w:val="000B0EAB"/>
    <w:rsid w:val="000B7695"/>
    <w:rsid w:val="000C06E3"/>
    <w:rsid w:val="000C3F57"/>
    <w:rsid w:val="000C624F"/>
    <w:rsid w:val="000C7EAD"/>
    <w:rsid w:val="000D4308"/>
    <w:rsid w:val="000D7866"/>
    <w:rsid w:val="000E43D8"/>
    <w:rsid w:val="00112D10"/>
    <w:rsid w:val="00125BA6"/>
    <w:rsid w:val="001265EA"/>
    <w:rsid w:val="0013092A"/>
    <w:rsid w:val="00140EA0"/>
    <w:rsid w:val="001463B2"/>
    <w:rsid w:val="001555DC"/>
    <w:rsid w:val="00181C66"/>
    <w:rsid w:val="001B1580"/>
    <w:rsid w:val="001B343A"/>
    <w:rsid w:val="001B7D02"/>
    <w:rsid w:val="001C4C0E"/>
    <w:rsid w:val="001C702E"/>
    <w:rsid w:val="001D6D8B"/>
    <w:rsid w:val="001D7492"/>
    <w:rsid w:val="001E6CE1"/>
    <w:rsid w:val="001F40D2"/>
    <w:rsid w:val="001F5284"/>
    <w:rsid w:val="001F58D3"/>
    <w:rsid w:val="0020536E"/>
    <w:rsid w:val="0020762E"/>
    <w:rsid w:val="00214427"/>
    <w:rsid w:val="00216399"/>
    <w:rsid w:val="00221843"/>
    <w:rsid w:val="002233C6"/>
    <w:rsid w:val="00224A95"/>
    <w:rsid w:val="002434BE"/>
    <w:rsid w:val="002442EB"/>
    <w:rsid w:val="00245123"/>
    <w:rsid w:val="00245A7C"/>
    <w:rsid w:val="00253EF8"/>
    <w:rsid w:val="0025570D"/>
    <w:rsid w:val="00270D3D"/>
    <w:rsid w:val="00271223"/>
    <w:rsid w:val="0028191A"/>
    <w:rsid w:val="0028372C"/>
    <w:rsid w:val="00287994"/>
    <w:rsid w:val="00296CA8"/>
    <w:rsid w:val="002B5E08"/>
    <w:rsid w:val="002C3EC6"/>
    <w:rsid w:val="002D7090"/>
    <w:rsid w:val="002E3EAA"/>
    <w:rsid w:val="002F1144"/>
    <w:rsid w:val="002F7892"/>
    <w:rsid w:val="00301550"/>
    <w:rsid w:val="003022A9"/>
    <w:rsid w:val="0030429B"/>
    <w:rsid w:val="003061C4"/>
    <w:rsid w:val="00306A94"/>
    <w:rsid w:val="00316210"/>
    <w:rsid w:val="00321D12"/>
    <w:rsid w:val="00326CC0"/>
    <w:rsid w:val="003412DE"/>
    <w:rsid w:val="00341D92"/>
    <w:rsid w:val="00344668"/>
    <w:rsid w:val="003808DA"/>
    <w:rsid w:val="003842DC"/>
    <w:rsid w:val="00386B1E"/>
    <w:rsid w:val="00392E1E"/>
    <w:rsid w:val="00396809"/>
    <w:rsid w:val="003B7E8B"/>
    <w:rsid w:val="003C04D4"/>
    <w:rsid w:val="003D10BE"/>
    <w:rsid w:val="003D6D5B"/>
    <w:rsid w:val="003E4AFE"/>
    <w:rsid w:val="003F00B8"/>
    <w:rsid w:val="003F1EA9"/>
    <w:rsid w:val="003F4189"/>
    <w:rsid w:val="003F5EDB"/>
    <w:rsid w:val="00400E3C"/>
    <w:rsid w:val="004036C3"/>
    <w:rsid w:val="00403D39"/>
    <w:rsid w:val="00405E47"/>
    <w:rsid w:val="00411958"/>
    <w:rsid w:val="004178EB"/>
    <w:rsid w:val="004202EB"/>
    <w:rsid w:val="0043001C"/>
    <w:rsid w:val="004338D0"/>
    <w:rsid w:val="00434844"/>
    <w:rsid w:val="00441500"/>
    <w:rsid w:val="0045192D"/>
    <w:rsid w:val="00453E4C"/>
    <w:rsid w:val="0045706C"/>
    <w:rsid w:val="00461336"/>
    <w:rsid w:val="00467DB5"/>
    <w:rsid w:val="004717F0"/>
    <w:rsid w:val="00471F74"/>
    <w:rsid w:val="004725D4"/>
    <w:rsid w:val="00475488"/>
    <w:rsid w:val="004778EF"/>
    <w:rsid w:val="00481321"/>
    <w:rsid w:val="00485589"/>
    <w:rsid w:val="00485DD3"/>
    <w:rsid w:val="00491E59"/>
    <w:rsid w:val="00492A7F"/>
    <w:rsid w:val="004A50B6"/>
    <w:rsid w:val="004C3A38"/>
    <w:rsid w:val="004C5F58"/>
    <w:rsid w:val="004C706D"/>
    <w:rsid w:val="004D1F28"/>
    <w:rsid w:val="004D2153"/>
    <w:rsid w:val="004D7050"/>
    <w:rsid w:val="004E251C"/>
    <w:rsid w:val="00511521"/>
    <w:rsid w:val="00525B8C"/>
    <w:rsid w:val="00537706"/>
    <w:rsid w:val="00540896"/>
    <w:rsid w:val="005431BF"/>
    <w:rsid w:val="00551BA1"/>
    <w:rsid w:val="0055244F"/>
    <w:rsid w:val="00555060"/>
    <w:rsid w:val="00560795"/>
    <w:rsid w:val="005625F2"/>
    <w:rsid w:val="00565F90"/>
    <w:rsid w:val="00567EC5"/>
    <w:rsid w:val="00570C01"/>
    <w:rsid w:val="00571772"/>
    <w:rsid w:val="005804C7"/>
    <w:rsid w:val="005835A4"/>
    <w:rsid w:val="005904D4"/>
    <w:rsid w:val="00593150"/>
    <w:rsid w:val="005A00A8"/>
    <w:rsid w:val="005A5596"/>
    <w:rsid w:val="005A6B37"/>
    <w:rsid w:val="005B14C3"/>
    <w:rsid w:val="005B5B4F"/>
    <w:rsid w:val="005B602E"/>
    <w:rsid w:val="005B72B9"/>
    <w:rsid w:val="005C030A"/>
    <w:rsid w:val="005D09A1"/>
    <w:rsid w:val="005E052D"/>
    <w:rsid w:val="005E51F3"/>
    <w:rsid w:val="005F503D"/>
    <w:rsid w:val="005F62A2"/>
    <w:rsid w:val="00604520"/>
    <w:rsid w:val="00606EFA"/>
    <w:rsid w:val="00607931"/>
    <w:rsid w:val="00614D93"/>
    <w:rsid w:val="00617188"/>
    <w:rsid w:val="0062136A"/>
    <w:rsid w:val="00621FBA"/>
    <w:rsid w:val="0063134B"/>
    <w:rsid w:val="00637C7A"/>
    <w:rsid w:val="00643A10"/>
    <w:rsid w:val="006529FE"/>
    <w:rsid w:val="00662D73"/>
    <w:rsid w:val="006631E6"/>
    <w:rsid w:val="00664DD2"/>
    <w:rsid w:val="006655FB"/>
    <w:rsid w:val="006673AE"/>
    <w:rsid w:val="00667F4D"/>
    <w:rsid w:val="00670CD7"/>
    <w:rsid w:val="00675E6C"/>
    <w:rsid w:val="00686126"/>
    <w:rsid w:val="0069271C"/>
    <w:rsid w:val="00697494"/>
    <w:rsid w:val="006A3601"/>
    <w:rsid w:val="006A3A91"/>
    <w:rsid w:val="006C03EE"/>
    <w:rsid w:val="006C74F1"/>
    <w:rsid w:val="006D1381"/>
    <w:rsid w:val="006D3528"/>
    <w:rsid w:val="006D6ED7"/>
    <w:rsid w:val="006E320D"/>
    <w:rsid w:val="006E7CD5"/>
    <w:rsid w:val="006F1049"/>
    <w:rsid w:val="006F1E0C"/>
    <w:rsid w:val="0070282C"/>
    <w:rsid w:val="00707650"/>
    <w:rsid w:val="0071245F"/>
    <w:rsid w:val="007151BC"/>
    <w:rsid w:val="00716298"/>
    <w:rsid w:val="00717C31"/>
    <w:rsid w:val="0072383C"/>
    <w:rsid w:val="007258AE"/>
    <w:rsid w:val="00731D1B"/>
    <w:rsid w:val="0075175D"/>
    <w:rsid w:val="007617DD"/>
    <w:rsid w:val="00762A9F"/>
    <w:rsid w:val="007658C7"/>
    <w:rsid w:val="00795857"/>
    <w:rsid w:val="007B2A5D"/>
    <w:rsid w:val="007B387C"/>
    <w:rsid w:val="007B495F"/>
    <w:rsid w:val="007C0A80"/>
    <w:rsid w:val="007C5F5E"/>
    <w:rsid w:val="007C7128"/>
    <w:rsid w:val="007D7223"/>
    <w:rsid w:val="007E0B4B"/>
    <w:rsid w:val="007E5BA4"/>
    <w:rsid w:val="00804004"/>
    <w:rsid w:val="008123AF"/>
    <w:rsid w:val="00813F3F"/>
    <w:rsid w:val="00826FEB"/>
    <w:rsid w:val="00842750"/>
    <w:rsid w:val="00846BD8"/>
    <w:rsid w:val="00850151"/>
    <w:rsid w:val="00855FE2"/>
    <w:rsid w:val="00857C55"/>
    <w:rsid w:val="00860C31"/>
    <w:rsid w:val="00881B40"/>
    <w:rsid w:val="0088607E"/>
    <w:rsid w:val="00891FDE"/>
    <w:rsid w:val="00895DA4"/>
    <w:rsid w:val="008975B1"/>
    <w:rsid w:val="008A1910"/>
    <w:rsid w:val="008A5425"/>
    <w:rsid w:val="008B022C"/>
    <w:rsid w:val="008B4A1E"/>
    <w:rsid w:val="008B7E31"/>
    <w:rsid w:val="008D3A50"/>
    <w:rsid w:val="008E0D39"/>
    <w:rsid w:val="008E50D6"/>
    <w:rsid w:val="008E7DC1"/>
    <w:rsid w:val="008F11B1"/>
    <w:rsid w:val="008F3A8F"/>
    <w:rsid w:val="008F5345"/>
    <w:rsid w:val="008F7890"/>
    <w:rsid w:val="009007F2"/>
    <w:rsid w:val="009041EC"/>
    <w:rsid w:val="00917BA6"/>
    <w:rsid w:val="009231A6"/>
    <w:rsid w:val="00931269"/>
    <w:rsid w:val="00935BD0"/>
    <w:rsid w:val="00936243"/>
    <w:rsid w:val="009372C0"/>
    <w:rsid w:val="00943991"/>
    <w:rsid w:val="00961A3D"/>
    <w:rsid w:val="009671CA"/>
    <w:rsid w:val="00967356"/>
    <w:rsid w:val="009902D6"/>
    <w:rsid w:val="009A1581"/>
    <w:rsid w:val="009A5956"/>
    <w:rsid w:val="009B20EA"/>
    <w:rsid w:val="009C4F8D"/>
    <w:rsid w:val="009C534B"/>
    <w:rsid w:val="009D09AE"/>
    <w:rsid w:val="009D0F67"/>
    <w:rsid w:val="009E2086"/>
    <w:rsid w:val="009E307D"/>
    <w:rsid w:val="009F30A3"/>
    <w:rsid w:val="009F64B5"/>
    <w:rsid w:val="00A060C5"/>
    <w:rsid w:val="00A15B8E"/>
    <w:rsid w:val="00A26AA5"/>
    <w:rsid w:val="00A27A6F"/>
    <w:rsid w:val="00A43ADB"/>
    <w:rsid w:val="00A44C40"/>
    <w:rsid w:val="00A46D24"/>
    <w:rsid w:val="00A4730E"/>
    <w:rsid w:val="00A55CA7"/>
    <w:rsid w:val="00A70713"/>
    <w:rsid w:val="00A7077C"/>
    <w:rsid w:val="00A80668"/>
    <w:rsid w:val="00A97840"/>
    <w:rsid w:val="00AA2194"/>
    <w:rsid w:val="00AA71A4"/>
    <w:rsid w:val="00AB5195"/>
    <w:rsid w:val="00AC25A2"/>
    <w:rsid w:val="00AC589B"/>
    <w:rsid w:val="00B22307"/>
    <w:rsid w:val="00B24770"/>
    <w:rsid w:val="00B25504"/>
    <w:rsid w:val="00B2607C"/>
    <w:rsid w:val="00B27E53"/>
    <w:rsid w:val="00B44754"/>
    <w:rsid w:val="00B513DC"/>
    <w:rsid w:val="00B55241"/>
    <w:rsid w:val="00B668D1"/>
    <w:rsid w:val="00B677E3"/>
    <w:rsid w:val="00B76BC6"/>
    <w:rsid w:val="00B83214"/>
    <w:rsid w:val="00B86915"/>
    <w:rsid w:val="00BA27E5"/>
    <w:rsid w:val="00BA4595"/>
    <w:rsid w:val="00BA5A25"/>
    <w:rsid w:val="00BA6997"/>
    <w:rsid w:val="00BB5205"/>
    <w:rsid w:val="00BB64CB"/>
    <w:rsid w:val="00BB74C4"/>
    <w:rsid w:val="00BC1C05"/>
    <w:rsid w:val="00BD7224"/>
    <w:rsid w:val="00BE2548"/>
    <w:rsid w:val="00BF0FCB"/>
    <w:rsid w:val="00BF1AD0"/>
    <w:rsid w:val="00BF388B"/>
    <w:rsid w:val="00C05B31"/>
    <w:rsid w:val="00C151D5"/>
    <w:rsid w:val="00C2304D"/>
    <w:rsid w:val="00C30E4E"/>
    <w:rsid w:val="00C315D4"/>
    <w:rsid w:val="00C34EF7"/>
    <w:rsid w:val="00C778D6"/>
    <w:rsid w:val="00C80FDC"/>
    <w:rsid w:val="00C8217D"/>
    <w:rsid w:val="00C8371E"/>
    <w:rsid w:val="00C94E7E"/>
    <w:rsid w:val="00C96BE1"/>
    <w:rsid w:val="00CA103A"/>
    <w:rsid w:val="00CA2174"/>
    <w:rsid w:val="00CB6D18"/>
    <w:rsid w:val="00CC05C5"/>
    <w:rsid w:val="00CC2CAF"/>
    <w:rsid w:val="00CD424B"/>
    <w:rsid w:val="00CD7BB1"/>
    <w:rsid w:val="00CE2FE8"/>
    <w:rsid w:val="00CE646B"/>
    <w:rsid w:val="00CF1F01"/>
    <w:rsid w:val="00D06F10"/>
    <w:rsid w:val="00D10594"/>
    <w:rsid w:val="00D15675"/>
    <w:rsid w:val="00D1711F"/>
    <w:rsid w:val="00D20892"/>
    <w:rsid w:val="00D25C35"/>
    <w:rsid w:val="00D25CE6"/>
    <w:rsid w:val="00D262CB"/>
    <w:rsid w:val="00D34691"/>
    <w:rsid w:val="00D35E75"/>
    <w:rsid w:val="00D51209"/>
    <w:rsid w:val="00D53203"/>
    <w:rsid w:val="00D54AA3"/>
    <w:rsid w:val="00D56596"/>
    <w:rsid w:val="00D731FD"/>
    <w:rsid w:val="00D81EBB"/>
    <w:rsid w:val="00D83127"/>
    <w:rsid w:val="00D83438"/>
    <w:rsid w:val="00D83F9D"/>
    <w:rsid w:val="00D8440F"/>
    <w:rsid w:val="00D876DD"/>
    <w:rsid w:val="00D93959"/>
    <w:rsid w:val="00D955C7"/>
    <w:rsid w:val="00D970FA"/>
    <w:rsid w:val="00DA4A66"/>
    <w:rsid w:val="00DB05AF"/>
    <w:rsid w:val="00DB3446"/>
    <w:rsid w:val="00DB3A81"/>
    <w:rsid w:val="00DB4BD5"/>
    <w:rsid w:val="00DB4EF8"/>
    <w:rsid w:val="00DB76E4"/>
    <w:rsid w:val="00DD1EE9"/>
    <w:rsid w:val="00DD5B6B"/>
    <w:rsid w:val="00DF745D"/>
    <w:rsid w:val="00E04157"/>
    <w:rsid w:val="00E102E6"/>
    <w:rsid w:val="00E105B8"/>
    <w:rsid w:val="00E10E6B"/>
    <w:rsid w:val="00E10F54"/>
    <w:rsid w:val="00E12EC5"/>
    <w:rsid w:val="00E12F0F"/>
    <w:rsid w:val="00E13FBD"/>
    <w:rsid w:val="00E16914"/>
    <w:rsid w:val="00E20B16"/>
    <w:rsid w:val="00E21688"/>
    <w:rsid w:val="00E30DE8"/>
    <w:rsid w:val="00E35486"/>
    <w:rsid w:val="00E432B7"/>
    <w:rsid w:val="00E515BA"/>
    <w:rsid w:val="00E55F57"/>
    <w:rsid w:val="00E57F28"/>
    <w:rsid w:val="00E600E7"/>
    <w:rsid w:val="00E624C0"/>
    <w:rsid w:val="00E62FFD"/>
    <w:rsid w:val="00E66BBB"/>
    <w:rsid w:val="00E83405"/>
    <w:rsid w:val="00E85045"/>
    <w:rsid w:val="00E85FB5"/>
    <w:rsid w:val="00E91732"/>
    <w:rsid w:val="00E97A12"/>
    <w:rsid w:val="00EB752E"/>
    <w:rsid w:val="00EF54D8"/>
    <w:rsid w:val="00EF5F2F"/>
    <w:rsid w:val="00F015D1"/>
    <w:rsid w:val="00F020B4"/>
    <w:rsid w:val="00F02900"/>
    <w:rsid w:val="00F06E3D"/>
    <w:rsid w:val="00F1178D"/>
    <w:rsid w:val="00F1235F"/>
    <w:rsid w:val="00F1312F"/>
    <w:rsid w:val="00F214AF"/>
    <w:rsid w:val="00F24F37"/>
    <w:rsid w:val="00F32BFA"/>
    <w:rsid w:val="00F46A9F"/>
    <w:rsid w:val="00F51D40"/>
    <w:rsid w:val="00F51E4D"/>
    <w:rsid w:val="00F60D20"/>
    <w:rsid w:val="00F62382"/>
    <w:rsid w:val="00F74689"/>
    <w:rsid w:val="00F75DBC"/>
    <w:rsid w:val="00F77101"/>
    <w:rsid w:val="00F82E56"/>
    <w:rsid w:val="00FA05DD"/>
    <w:rsid w:val="00FA22DA"/>
    <w:rsid w:val="00FA74CF"/>
    <w:rsid w:val="00FB06C6"/>
    <w:rsid w:val="00FB18DD"/>
    <w:rsid w:val="00FD0EF5"/>
    <w:rsid w:val="00FE4050"/>
    <w:rsid w:val="00FF5375"/>
    <w:rsid w:val="00FF606F"/>
    <w:rsid w:val="00FF7A44"/>
    <w:rsid w:val="00FF7C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30A080B"/>
  <w15:chartTrackingRefBased/>
  <w15:docId w15:val="{44537C03-DFA6-D741-A708-ADB6B380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link w:val="Heading1Char"/>
    <w:uiPriority w:val="9"/>
    <w:qFormat/>
    <w:rsid w:val="00670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C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C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C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C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C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670C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670C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70C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70C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70CD7"/>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670C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C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C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0CD7"/>
    <w:rPr>
      <w:i/>
      <w:iCs/>
      <w:color w:val="404040" w:themeColor="text1" w:themeTint="BF"/>
      <w:sz w:val="22"/>
    </w:rPr>
  </w:style>
  <w:style w:type="paragraph" w:styleId="ListParagraph">
    <w:name w:val="List Paragraph"/>
    <w:basedOn w:val="Normal"/>
    <w:uiPriority w:val="34"/>
    <w:qFormat/>
    <w:rsid w:val="00670CD7"/>
    <w:pPr>
      <w:ind w:left="720"/>
      <w:contextualSpacing/>
    </w:pPr>
  </w:style>
  <w:style w:type="character" w:styleId="IntenseEmphasis">
    <w:name w:val="Intense Emphasis"/>
    <w:basedOn w:val="DefaultParagraphFont"/>
    <w:uiPriority w:val="21"/>
    <w:qFormat/>
    <w:rsid w:val="00670CD7"/>
    <w:rPr>
      <w:i/>
      <w:iCs/>
      <w:color w:val="0F4761" w:themeColor="accent1" w:themeShade="BF"/>
    </w:rPr>
  </w:style>
  <w:style w:type="paragraph" w:styleId="IntenseQuote">
    <w:name w:val="Intense Quote"/>
    <w:basedOn w:val="Normal"/>
    <w:next w:val="Normal"/>
    <w:link w:val="IntenseQuoteChar"/>
    <w:uiPriority w:val="30"/>
    <w:qFormat/>
    <w:rsid w:val="00670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CD7"/>
    <w:rPr>
      <w:i/>
      <w:iCs/>
      <w:color w:val="0F4761" w:themeColor="accent1" w:themeShade="BF"/>
      <w:sz w:val="22"/>
    </w:rPr>
  </w:style>
  <w:style w:type="character" w:styleId="IntenseReference">
    <w:name w:val="Intense Reference"/>
    <w:basedOn w:val="DefaultParagraphFont"/>
    <w:uiPriority w:val="32"/>
    <w:qFormat/>
    <w:rsid w:val="00670C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1614</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 Brian T</dc:creator>
  <cp:keywords/>
  <dc:description/>
  <cp:lastModifiedBy>Ruan, Brian T</cp:lastModifiedBy>
  <cp:revision>1</cp:revision>
  <dcterms:created xsi:type="dcterms:W3CDTF">2026-05-29T00:45:00Z</dcterms:created>
  <dcterms:modified xsi:type="dcterms:W3CDTF">2026-05-29T01:31:00Z</dcterms:modified>
</cp:coreProperties>
</file>