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554E6C">
      <w:pPr>
        <w:spacing w:before="0" w:after="200"/>
        <w:jc w:val="center"/>
        <w:rPr>
          <w:color w:val="000000" w:themeColor="text1"/>
          <w14:textFill>
            <w14:solidFill>
              <w14:schemeClr w14:val="tx1"/>
            </w14:solidFill>
          </w14:textFill>
        </w:rPr>
      </w:pPr>
      <w:r>
        <w:rPr>
          <w:rFonts w:ascii="Arial" w:hAnsi="Arial" w:eastAsia="Arial" w:cs="Arial"/>
          <w:b/>
          <w:bCs/>
          <w:color w:val="000000" w:themeColor="text1"/>
          <w:sz w:val="52"/>
          <w:szCs w:val="52"/>
          <w14:textFill>
            <w14:solidFill>
              <w14:schemeClr w14:val="tx1"/>
            </w14:solidFill>
          </w14:textFill>
        </w:rPr>
        <w:t>ENTERPRISE-GRADE SECURE CLOUD PLATFORM</w:t>
      </w:r>
    </w:p>
    <w:p w14:paraId="6B79F5F0">
      <w:pPr>
        <w:spacing w:before="0" w:after="600"/>
        <w:jc w:val="center"/>
        <w:rPr>
          <w:rFonts w:hint="default" w:ascii="Arial" w:hAnsi="Arial" w:cs="Arial"/>
          <w:b w:val="0"/>
          <w:bCs w:val="0"/>
          <w:color w:val="000000" w:themeColor="text1"/>
          <w14:textFill>
            <w14:solidFill>
              <w14:schemeClr w14:val="tx1"/>
            </w14:solidFill>
          </w14:textFill>
        </w:rPr>
      </w:pPr>
      <w:r>
        <w:rPr>
          <w:rFonts w:hint="default" w:ascii="Arial" w:hAnsi="Arial" w:eastAsia="Arial" w:cs="Arial"/>
          <w:b w:val="0"/>
          <w:bCs w:val="0"/>
          <w:color w:val="000000" w:themeColor="text1"/>
          <w:sz w:val="28"/>
          <w:szCs w:val="28"/>
          <w14:textFill>
            <w14:solidFill>
              <w14:schemeClr w14:val="tx1"/>
            </w14:solidFill>
          </w14:textFill>
        </w:rPr>
        <w:t>Multi-Account, Zero-Trust, Fully Automated AWS Security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0C9830A1">
        <w:tc>
          <w:tcPr>
            <w:tcW w:w="2340"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58C999AA">
            <w:pPr>
              <w:spacing w:before="0" w:after="0"/>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Field</w:t>
            </w:r>
          </w:p>
        </w:tc>
        <w:tc>
          <w:tcPr>
            <w:tcW w:w="7020"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0F82764E">
            <w:pPr>
              <w:spacing w:before="0" w:after="0"/>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Details</w:t>
            </w:r>
          </w:p>
        </w:tc>
      </w:tr>
      <w:tr w14:paraId="7850D1A1">
        <w:tc>
          <w:tcPr>
            <w:tcW w:w="2340"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470B8C18">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Organisation</w:t>
            </w:r>
          </w:p>
        </w:tc>
        <w:tc>
          <w:tcPr>
            <w:tcW w:w="7020"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5240FA1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Nairobi-based Fintech</w:t>
            </w:r>
            <w:r>
              <w:rPr>
                <w:rFonts w:cs="Arial"/>
                <w:b w:val="0"/>
                <w:bCs w:val="0"/>
                <w:color w:val="000000" w:themeColor="text1"/>
                <w:sz w:val="20"/>
                <w:szCs w:val="20"/>
                <w:lang w:val="en-US"/>
                <w14:textFill>
                  <w14:solidFill>
                    <w14:schemeClr w14:val="tx1"/>
                  </w14:solidFill>
                </w14:textFill>
              </w:rPr>
              <w:t xml:space="preserve"> </w:t>
            </w:r>
          </w:p>
        </w:tc>
      </w:tr>
      <w:tr w14:paraId="21F54193">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57031150">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Role</w:t>
            </w:r>
          </w:p>
        </w:tc>
        <w:tc>
          <w:tcPr>
            <w:tcW w:w="70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0B494429">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Lead DevOps Engineer</w:t>
            </w:r>
          </w:p>
        </w:tc>
      </w:tr>
      <w:tr w14:paraId="15EA44E5">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64CBF281">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Platform</w:t>
            </w:r>
          </w:p>
        </w:tc>
        <w:tc>
          <w:tcPr>
            <w:tcW w:w="702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01640DD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Amazon Web Services (us-east-1)</w:t>
            </w:r>
          </w:p>
        </w:tc>
      </w:tr>
      <w:tr w14:paraId="0DD234B4">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07D20CE8">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IaC Tool</w:t>
            </w:r>
          </w:p>
        </w:tc>
        <w:tc>
          <w:tcPr>
            <w:tcW w:w="70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4B27C703">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Terraform 1.7</w:t>
            </w:r>
            <w:r>
              <w:rPr>
                <w:rFonts w:cs="Arial"/>
                <w:b w:val="0"/>
                <w:bCs w:val="0"/>
                <w:color w:val="000000" w:themeColor="text1"/>
                <w:sz w:val="20"/>
                <w:szCs w:val="20"/>
                <w:lang w:val="en-US"/>
                <w14:textFill>
                  <w14:solidFill>
                    <w14:schemeClr w14:val="tx1"/>
                  </w14:solidFill>
                </w14:textFill>
              </w:rPr>
              <w:t xml:space="preserve"> - </w:t>
            </w:r>
            <w:r>
              <w:rPr>
                <w:rFonts w:ascii="Arial" w:hAnsi="Arial" w:eastAsia="Arial" w:cs="Arial"/>
                <w:b w:val="0"/>
                <w:bCs w:val="0"/>
                <w:color w:val="000000" w:themeColor="text1"/>
                <w:sz w:val="20"/>
                <w:szCs w:val="20"/>
                <w14:textFill>
                  <w14:solidFill>
                    <w14:schemeClr w14:val="tx1"/>
                  </w14:solidFill>
                </w14:textFill>
              </w:rPr>
              <w:t>single apply, all resources</w:t>
            </w:r>
          </w:p>
        </w:tc>
      </w:tr>
      <w:tr w14:paraId="0F3D8DB5">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615CCFF7">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Date</w:t>
            </w:r>
          </w:p>
        </w:tc>
        <w:tc>
          <w:tcPr>
            <w:tcW w:w="702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6D2D7907">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May 2026</w:t>
            </w:r>
          </w:p>
        </w:tc>
      </w:tr>
      <w:tr w14:paraId="33AF9C1A">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09E1EAD1">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Classification</w:t>
            </w:r>
          </w:p>
        </w:tc>
        <w:tc>
          <w:tcPr>
            <w:tcW w:w="70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6E031751">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Confidential</w:t>
            </w:r>
            <w:r>
              <w:rPr>
                <w:rFonts w:cs="Arial"/>
                <w:b w:val="0"/>
                <w:bCs w:val="0"/>
                <w:color w:val="000000" w:themeColor="text1"/>
                <w:sz w:val="20"/>
                <w:szCs w:val="20"/>
                <w:lang w:val="en-US"/>
                <w14:textFill>
                  <w14:solidFill>
                    <w14:schemeClr w14:val="tx1"/>
                  </w14:solidFill>
                </w14:textFill>
              </w:rPr>
              <w:t xml:space="preserve"> - </w:t>
            </w:r>
            <w:r>
              <w:rPr>
                <w:rFonts w:ascii="Arial" w:hAnsi="Arial" w:eastAsia="Arial" w:cs="Arial"/>
                <w:b w:val="0"/>
                <w:bCs w:val="0"/>
                <w:color w:val="000000" w:themeColor="text1"/>
                <w:sz w:val="20"/>
                <w:szCs w:val="20"/>
                <w14:textFill>
                  <w14:solidFill>
                    <w14:schemeClr w14:val="tx1"/>
                  </w14:solidFill>
                </w14:textFill>
              </w:rPr>
              <w:t>Security Architecture Documentation</w:t>
            </w:r>
          </w:p>
        </w:tc>
      </w:tr>
    </w:tbl>
    <w:p w14:paraId="16737114">
      <w:pPr>
        <w:rPr>
          <w:color w:val="000000" w:themeColor="text1"/>
          <w14:textFill>
            <w14:solidFill>
              <w14:schemeClr w14:val="tx1"/>
            </w14:solidFill>
          </w14:textFill>
        </w:rPr>
      </w:pPr>
    </w:p>
    <w:p w14:paraId="427D4EB9">
      <w:pPr>
        <w:pStyle w:val="2"/>
        <w:pBdr>
          <w:bottom w:val="single" w:color="2E75B6" w:sz="10" w:space="4"/>
        </w:pBdr>
        <w:spacing w:before="400" w:after="160"/>
        <w:rPr>
          <w:color w:val="000000" w:themeColor="text1"/>
          <w14:textFill>
            <w14:solidFill>
              <w14:schemeClr w14:val="tx1"/>
            </w14:solidFill>
          </w14:textFill>
        </w:rPr>
      </w:pPr>
      <w:r>
        <w:rPr>
          <w:rFonts w:ascii="Arial" w:hAnsi="Arial" w:eastAsia="Arial" w:cs="Arial"/>
          <w:b/>
          <w:bCs/>
          <w:color w:val="000000" w:themeColor="text1"/>
          <w:sz w:val="34"/>
          <w:szCs w:val="34"/>
          <w14:textFill>
            <w14:solidFill>
              <w14:schemeClr w14:val="tx1"/>
            </w14:solidFill>
          </w14:textFill>
        </w:rPr>
        <w:t>Executive Summary</w:t>
      </w:r>
    </w:p>
    <w:p w14:paraId="33F7E057">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This report documents the design, deployment, and validation of a multi-account, zero-trust security platform built on AWS for a Central Bank of Kenya regulated fintech company. The platform migrates mission-critical workloads from on-premises infrastructure to AWS while satisfying regulatory requirements and AWS Well-Architected best practices.</w:t>
      </w:r>
    </w:p>
    <w:p w14:paraId="2C716CA2">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All security controls are implemented as code using Terraform and triggered programmatically. No manual remediation steps exist in the production workflow. The platform was validated through four attack simulations covering S3 misconfiguration, network threat response, CI/CD abuse, and application-layer attacks.</w:t>
      </w:r>
    </w:p>
    <w:p w14:paraId="3D508C5C">
      <w:pPr>
        <w:pStyle w:val="2"/>
        <w:numPr>
          <w:ilvl w:val="0"/>
          <w:numId w:val="1"/>
        </w:numPr>
        <w:pBdr>
          <w:bottom w:val="single" w:color="2E75B6" w:sz="10" w:space="4"/>
        </w:pBdr>
        <w:spacing w:before="400" w:after="160"/>
        <w:ind w:left="425" w:leftChars="0" w:hanging="425" w:firstLineChars="0"/>
        <w:rPr>
          <w:color w:val="000000" w:themeColor="text1"/>
          <w14:textFill>
            <w14:solidFill>
              <w14:schemeClr w14:val="tx1"/>
            </w14:solidFill>
          </w14:textFill>
        </w:rPr>
      </w:pPr>
      <w:r>
        <w:rPr>
          <w:rFonts w:ascii="Arial" w:hAnsi="Arial" w:eastAsia="Arial" w:cs="Arial"/>
          <w:b/>
          <w:bCs/>
          <w:color w:val="000000" w:themeColor="text1"/>
          <w:sz w:val="34"/>
          <w:szCs w:val="34"/>
          <w14:textFill>
            <w14:solidFill>
              <w14:schemeClr w14:val="tx1"/>
            </w14:solidFill>
          </w14:textFill>
        </w:rPr>
        <w:t>Architecture Explanation</w:t>
      </w:r>
    </w:p>
    <w:p w14:paraId="3D774999">
      <w:pPr>
        <w:pStyle w:val="3"/>
        <w:bidi w:val="0"/>
        <w:rPr>
          <w:color w:val="000000" w:themeColor="text1"/>
          <w14:textFill>
            <w14:solidFill>
              <w14:schemeClr w14:val="tx1"/>
            </w14:solidFill>
          </w14:textFill>
        </w:rPr>
      </w:pPr>
      <w:r>
        <w:rPr>
          <w:color w:val="000000" w:themeColor="text1"/>
          <w14:textFill>
            <w14:solidFill>
              <w14:schemeClr w14:val="tx1"/>
            </w14:solidFill>
          </w14:textFill>
        </w:rPr>
        <w:t>1.1 Multi-Account Foundation</w:t>
      </w:r>
    </w:p>
    <w:p w14:paraId="1F23FC75">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AWS Organizations is enabled with All Features, creating a governance hierarchy: Root </w:t>
      </w:r>
      <w:r>
        <w:rPr>
          <w:rFonts w:cs="Arial"/>
          <w:color w:val="000000" w:themeColor="text1"/>
          <w:sz w:val="22"/>
          <w:szCs w:val="22"/>
          <w:lang w:val="en-US"/>
          <w14:textFill>
            <w14:solidFill>
              <w14:schemeClr w14:val="tx1"/>
            </w14:solidFill>
          </w14:textFill>
        </w:rPr>
        <w:t>-&gt;</w:t>
      </w:r>
      <w:r>
        <w:rPr>
          <w:rFonts w:ascii="Arial" w:hAnsi="Arial" w:eastAsia="Arial" w:cs="Arial"/>
          <w:color w:val="000000" w:themeColor="text1"/>
          <w:sz w:val="22"/>
          <w:szCs w:val="22"/>
          <w14:textFill>
            <w14:solidFill>
              <w14:schemeClr w14:val="tx1"/>
            </w14:solidFill>
          </w14:textFill>
        </w:rPr>
        <w:t xml:space="preserve"> Security OU </w:t>
      </w:r>
      <w:r>
        <w:rPr>
          <w:rFonts w:cs="Arial"/>
          <w:color w:val="000000" w:themeColor="text1"/>
          <w:sz w:val="22"/>
          <w:szCs w:val="22"/>
          <w:lang w:val="en-US"/>
          <w14:textFill>
            <w14:solidFill>
              <w14:schemeClr w14:val="tx1"/>
            </w14:solidFill>
          </w14:textFill>
        </w:rPr>
        <w:t>-&gt;</w:t>
      </w:r>
      <w:r>
        <w:rPr>
          <w:rFonts w:ascii="Arial" w:hAnsi="Arial" w:eastAsia="Arial" w:cs="Arial"/>
          <w:color w:val="000000" w:themeColor="text1"/>
          <w:sz w:val="22"/>
          <w:szCs w:val="22"/>
          <w14:textFill>
            <w14:solidFill>
              <w14:schemeClr w14:val="tx1"/>
            </w14:solidFill>
          </w14:textFill>
        </w:rPr>
        <w:t xml:space="preserve"> Production OU </w:t>
      </w:r>
      <w:r>
        <w:rPr>
          <w:rFonts w:cs="Arial"/>
          <w:color w:val="000000" w:themeColor="text1"/>
          <w:sz w:val="22"/>
          <w:szCs w:val="22"/>
          <w:lang w:val="en-US"/>
          <w14:textFill>
            <w14:solidFill>
              <w14:schemeClr w14:val="tx1"/>
            </w14:solidFill>
          </w14:textFill>
        </w:rPr>
        <w:t>-&gt;</w:t>
      </w:r>
      <w:r>
        <w:rPr>
          <w:rFonts w:ascii="Arial" w:hAnsi="Arial" w:eastAsia="Arial" w:cs="Arial"/>
          <w:color w:val="000000" w:themeColor="text1"/>
          <w:sz w:val="22"/>
          <w:szCs w:val="22"/>
          <w14:textFill>
            <w14:solidFill>
              <w14:schemeClr w14:val="tx1"/>
            </w14:solidFill>
          </w14:textFill>
        </w:rPr>
        <w:t xml:space="preserve"> Development OU. Each OU represents a trust boundary with distinct security controls.</w:t>
      </w:r>
    </w:p>
    <w:p w14:paraId="0AD83097">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Service Control Policy (SCP) is attached to the Production OU, denying ec2:TerminateInstances and cloudtrail:StopLogging at the account level. SCPs are evaluated before IAM policies</w:t>
      </w:r>
      <w:r>
        <w:rPr>
          <w:rFonts w:cs="Arial"/>
          <w:color w:val="000000" w:themeColor="text1"/>
          <w:sz w:val="22"/>
          <w:szCs w:val="22"/>
          <w:lang w:val="en-US"/>
          <w14:textFill>
            <w14:solidFill>
              <w14:schemeClr w14:val="tx1"/>
            </w14:solidFill>
          </w14:textFill>
        </w:rPr>
        <w:t xml:space="preserve"> - </w:t>
      </w:r>
      <w:r>
        <w:rPr>
          <w:rFonts w:ascii="Arial" w:hAnsi="Arial" w:eastAsia="Arial" w:cs="Arial"/>
          <w:color w:val="000000" w:themeColor="text1"/>
          <w:sz w:val="22"/>
          <w:szCs w:val="22"/>
          <w14:textFill>
            <w14:solidFill>
              <w14:schemeClr w14:val="tx1"/>
            </w14:solidFill>
          </w14:textFill>
        </w:rPr>
        <w:t>even an account Administrator cannot override them. This protects production infrastructure from both accidental and malicious destruction.</w:t>
      </w:r>
    </w:p>
    <w:p w14:paraId="5051288F">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An organisation-wide CloudTrail delivers logs from all regions and all accounts to a centralised S3 bucket with log file validation enabled. This creates a tamper-resistant audit trail that cannot be disabled by any account-level principal.</w:t>
      </w:r>
    </w:p>
    <w:p w14:paraId="3481EC41">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1.2 Identity and Access (Zero-Trust Layer)</w:t>
      </w:r>
    </w:p>
    <w:p w14:paraId="0876633E">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DevOpsBoundary permission boundary is attached to all DevOps roles. It acts as a hard ceiling</w:t>
      </w:r>
      <w:r>
        <w:rPr>
          <w:rFonts w:cs="Arial"/>
          <w:color w:val="000000" w:themeColor="text1"/>
          <w:sz w:val="22"/>
          <w:szCs w:val="22"/>
          <w:lang w:val="en-US"/>
          <w14:textFill>
            <w14:solidFill>
              <w14:schemeClr w14:val="tx1"/>
            </w14:solidFill>
          </w14:textFill>
        </w:rPr>
        <w:t xml:space="preserve"> - </w:t>
      </w:r>
      <w:r>
        <w:rPr>
          <w:rFonts w:ascii="Arial" w:hAnsi="Arial" w:eastAsia="Arial" w:cs="Arial"/>
          <w:color w:val="000000" w:themeColor="text1"/>
          <w:sz w:val="22"/>
          <w:szCs w:val="22"/>
          <w14:textFill>
            <w14:solidFill>
              <w14:schemeClr w14:val="tx1"/>
            </w14:solidFill>
          </w14:textFill>
        </w:rPr>
        <w:t>even if a role policy grants s3:DeleteBucket, the boundary blocks it. This prevents privilege escalation through IAM role creation.</w:t>
      </w:r>
    </w:p>
    <w:p w14:paraId="1DE34AB7">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GitHub Actions uses OIDC federation instead of static credentials. When a workflow runs, GitHub issues a signed JWT token that AWS STS validates against the registered OIDC provider. The trust policy restricts access to a specific repository and branch using the sub claim condition. Temporary credentials expire within 15 minutes and cannot be reused.</w:t>
      </w:r>
    </w:p>
    <w:p w14:paraId="35AA668C">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1.3 Incident Response Pipeline</w:t>
      </w:r>
    </w:p>
    <w:p w14:paraId="6BC32F54">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incident response pipeline is fully event-driven and completes in under 90 seconds end-to-end:</w:t>
      </w:r>
    </w:p>
    <w:p w14:paraId="165535F8">
      <w:pPr>
        <w:pStyle w:val="16"/>
        <w:numPr>
          <w:ilvl w:val="0"/>
          <w:numId w:val="2"/>
        </w:numPr>
        <w:spacing w:before="4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GuardDuty analyses VPC flow logs, DNS queries, and CloudTrail events for threats</w:t>
      </w:r>
    </w:p>
    <w:p w14:paraId="3CD6A11B">
      <w:pPr>
        <w:pStyle w:val="16"/>
        <w:numPr>
          <w:ilvl w:val="0"/>
          <w:numId w:val="2"/>
        </w:numPr>
        <w:spacing w:before="4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EventBridge rule matches findings with severity &gt;= 7 (HIGH or CRITICAL)</w:t>
      </w:r>
    </w:p>
    <w:p w14:paraId="6CB1C40E">
      <w:pPr>
        <w:pStyle w:val="16"/>
        <w:numPr>
          <w:ilvl w:val="0"/>
          <w:numId w:val="2"/>
        </w:numPr>
        <w:spacing w:before="4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Step Functions state machine orchestrates the response with retry logic and Catch blocks</w:t>
      </w:r>
    </w:p>
    <w:p w14:paraId="4EE5EE75">
      <w:pPr>
        <w:pStyle w:val="16"/>
        <w:numPr>
          <w:ilvl w:val="0"/>
          <w:numId w:val="2"/>
        </w:numPr>
        <w:spacing w:before="4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Lambda validates the finding, replaces EC2 security groups with a quarantine-sg, tags the instance, and logs the finding JSON to S3</w:t>
      </w:r>
    </w:p>
    <w:p w14:paraId="71A58477">
      <w:pPr>
        <w:pStyle w:val="16"/>
        <w:numPr>
          <w:ilvl w:val="0"/>
          <w:numId w:val="2"/>
        </w:numPr>
        <w:spacing w:before="4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SNS publishes a structured alert email to the security team</w:t>
      </w:r>
    </w:p>
    <w:p w14:paraId="3C391F46">
      <w:pPr>
        <w:spacing w:before="60" w:after="0"/>
        <w:rPr>
          <w:color w:val="000000" w:themeColor="text1"/>
          <w14:textFill>
            <w14:solidFill>
              <w14:schemeClr w14:val="tx1"/>
            </w14:solidFill>
          </w14:textFill>
        </w:rPr>
      </w:pPr>
    </w:p>
    <w:p w14:paraId="145F8300">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1.4 Continuous Compliance</w:t>
      </w:r>
    </w:p>
    <w:p w14:paraId="2F96629F">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AWS Config records all resource configuration changes with a rule evaluating S3 bucket encryption. When a non-compliant bucket is detected, SSM Automation document AWS-EnableS3BucketEncryption runs automatically, applying AES256 encryption. The bucket flips from NON_COMPLIANT to COMPLIANT with zero human intervention.</w:t>
      </w:r>
    </w:p>
    <w:p w14:paraId="0BBC6129">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Security Hub aggregates findings from GuardDuty, Config, and Inspector under the AWS Foundational Security Best Practices (FSBP) standard. An EventBridge rule routes HIGH and CRITICAL findings to SNS for immediate notification.</w:t>
      </w:r>
    </w:p>
    <w:p w14:paraId="77D87F76">
      <w:pPr>
        <w:pStyle w:val="3"/>
        <w:bidi w:val="0"/>
        <w:rPr>
          <w:color w:val="000000" w:themeColor="text1"/>
          <w14:textFill>
            <w14:solidFill>
              <w14:schemeClr w14:val="tx1"/>
            </w14:solidFill>
          </w14:textFill>
        </w:rPr>
      </w:pPr>
      <w:r>
        <w:rPr>
          <w:color w:val="000000" w:themeColor="text1"/>
          <w14:textFill>
            <w14:solidFill>
              <w14:schemeClr w14:val="tx1"/>
            </w14:solidFill>
          </w14:textFill>
        </w:rPr>
        <w:t>1.5 Application Edge Protection</w:t>
      </w:r>
    </w:p>
    <w:p w14:paraId="7204053F">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sample application runs on ECS Fargate behind an Application Load Balancer. A WAF Web ACL is associated with the ALB and enforces three rule layers: a rate-based rule (100 requests/5 minutes/IP), AWSManagedRulesCommonRuleSet (OWASP Top 10), and AWSManagedRulesSQLiRuleSet. WAF logs are delivered to CloudWatch with 90-day retention.</w:t>
      </w:r>
    </w:p>
    <w:p w14:paraId="2E668C7D">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1.6 Encryption</w:t>
      </w:r>
    </w:p>
    <w:p w14:paraId="4D4AD072">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Customer Managed Key (CMK) with automatic annual rotation encrypts the application data S3 bucket using aws:kms. Secrets Manager stores database credentials encrypted with the same CMK. CloudTrail and Config logs use AES-256 encryption.</w:t>
      </w:r>
    </w:p>
    <w:p w14:paraId="51E01CE4">
      <w:pPr>
        <w:rPr>
          <w:color w:val="000000" w:themeColor="text1"/>
          <w14:textFill>
            <w14:solidFill>
              <w14:schemeClr w14:val="tx1"/>
            </w14:solidFill>
          </w14:textFill>
        </w:rPr>
      </w:pPr>
    </w:p>
    <w:p w14:paraId="6BF4ED73">
      <w:pPr>
        <w:pStyle w:val="2"/>
        <w:numPr>
          <w:ilvl w:val="0"/>
          <w:numId w:val="1"/>
        </w:numPr>
        <w:pBdr>
          <w:bottom w:val="single" w:color="2E75B6" w:sz="10" w:space="4"/>
        </w:pBdr>
        <w:spacing w:before="400" w:after="160"/>
        <w:ind w:left="425" w:leftChars="0" w:hanging="425" w:firstLineChars="0"/>
        <w:rPr>
          <w:rFonts w:ascii="Arial" w:hAnsi="Arial" w:eastAsia="Arial" w:cs="Arial"/>
          <w:b/>
          <w:bCs/>
          <w:color w:val="000000" w:themeColor="text1"/>
          <w:sz w:val="34"/>
          <w:szCs w:val="34"/>
          <w14:textFill>
            <w14:solidFill>
              <w14:schemeClr w14:val="tx1"/>
            </w14:solidFill>
          </w14:textFill>
        </w:rPr>
      </w:pPr>
      <w:r>
        <w:rPr>
          <w:rFonts w:ascii="Arial" w:hAnsi="Arial" w:eastAsia="Arial" w:cs="Arial"/>
          <w:b/>
          <w:bCs/>
          <w:color w:val="000000" w:themeColor="text1"/>
          <w:sz w:val="34"/>
          <w:szCs w:val="34"/>
          <w14:textFill>
            <w14:solidFill>
              <w14:schemeClr w14:val="tx1"/>
            </w14:solidFill>
          </w14:textFill>
        </w:rPr>
        <w:t>Why These Services Were Chosen</w:t>
      </w:r>
    </w:p>
    <w:tbl>
      <w:tblPr>
        <w:tblStyle w:val="9"/>
        <w:tblpPr w:leftFromText="180" w:rightFromText="180" w:vertAnchor="text" w:horzAnchor="page" w:tblpX="1226" w:tblpY="248"/>
        <w:tblOverlap w:val="never"/>
        <w:tblW w:w="91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43"/>
        <w:gridCol w:w="2180"/>
        <w:gridCol w:w="4020"/>
      </w:tblGrid>
      <w:tr w14:paraId="38D03FCB">
        <w:trPr>
          <w:trHeight w:val="514" w:hRule="atLeast"/>
        </w:trPr>
        <w:tc>
          <w:tcPr>
            <w:tcW w:w="2943"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53E50CA5">
            <w:pPr>
              <w:spacing w:before="0" w:after="0"/>
              <w:rPr>
                <w:color w:val="FFFFFF"/>
              </w:rPr>
            </w:pPr>
            <w:r>
              <w:rPr>
                <w:rFonts w:ascii="Arial" w:hAnsi="Arial" w:eastAsia="Arial" w:cs="Arial"/>
                <w:b/>
                <w:bCs/>
                <w:color w:val="FFFFFF"/>
                <w:sz w:val="20"/>
                <w:szCs w:val="20"/>
              </w:rPr>
              <w:t>Service</w:t>
            </w:r>
          </w:p>
        </w:tc>
        <w:tc>
          <w:tcPr>
            <w:tcW w:w="2180"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7ADDC9D2">
            <w:pPr>
              <w:spacing w:before="0" w:after="0"/>
              <w:rPr>
                <w:color w:val="FFFFFF"/>
              </w:rPr>
            </w:pPr>
            <w:r>
              <w:rPr>
                <w:rFonts w:ascii="Arial" w:hAnsi="Arial" w:eastAsia="Arial" w:cs="Arial"/>
                <w:b/>
                <w:bCs/>
                <w:color w:val="FFFFFF"/>
                <w:sz w:val="20"/>
                <w:szCs w:val="20"/>
              </w:rPr>
              <w:t>Alternative Considered</w:t>
            </w:r>
          </w:p>
        </w:tc>
        <w:tc>
          <w:tcPr>
            <w:tcW w:w="4020"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7DB10DDB">
            <w:pPr>
              <w:spacing w:before="0" w:after="0"/>
              <w:rPr>
                <w:color w:val="FFFFFF"/>
              </w:rPr>
            </w:pPr>
            <w:r>
              <w:rPr>
                <w:rFonts w:ascii="Arial" w:hAnsi="Arial" w:eastAsia="Arial" w:cs="Arial"/>
                <w:b/>
                <w:bCs/>
                <w:color w:val="FFFFFF"/>
                <w:sz w:val="20"/>
                <w:szCs w:val="20"/>
              </w:rPr>
              <w:t>Why This Choice</w:t>
            </w:r>
          </w:p>
        </w:tc>
      </w:tr>
      <w:tr w14:paraId="2C93D5AB">
        <w:trPr>
          <w:trHeight w:val="675" w:hRule="atLeast"/>
        </w:trPr>
        <w:tc>
          <w:tcPr>
            <w:tcW w:w="2943"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4B00EAA8">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Step Functions</w:t>
            </w:r>
          </w:p>
        </w:tc>
        <w:tc>
          <w:tcPr>
            <w:tcW w:w="2180"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56B3CD8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Lambda direct invoke</w:t>
            </w:r>
          </w:p>
        </w:tc>
        <w:tc>
          <w:tcPr>
            <w:tcW w:w="4020"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07BCCFEA">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Built-in retry, Catch blocks, execution audit trail, parallel states</w:t>
            </w:r>
          </w:p>
        </w:tc>
      </w:tr>
      <w:tr w14:paraId="472C7619">
        <w:trPr>
          <w:trHeight w:val="835" w:hRule="atLeast"/>
        </w:trPr>
        <w:tc>
          <w:tcPr>
            <w:tcW w:w="2943"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1C3CB04E">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GuardDuty + EventBridge</w:t>
            </w:r>
          </w:p>
        </w:tc>
        <w:tc>
          <w:tcPr>
            <w:tcW w:w="218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36866C68">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Custom log analysis</w:t>
            </w:r>
          </w:p>
        </w:tc>
        <w:tc>
          <w:tcPr>
            <w:tcW w:w="40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2F4620FD">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Managed ML threat detection, zero operational overhead, native AWS integration</w:t>
            </w:r>
          </w:p>
        </w:tc>
      </w:tr>
      <w:tr w14:paraId="6C6D2F57">
        <w:trPr>
          <w:trHeight w:val="675" w:hRule="atLeast"/>
        </w:trPr>
        <w:tc>
          <w:tcPr>
            <w:tcW w:w="2943"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08D35629">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OIDC (GitHub Actions)</w:t>
            </w:r>
          </w:p>
        </w:tc>
        <w:tc>
          <w:tcPr>
            <w:tcW w:w="218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03185277">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IAM access keys</w:t>
            </w:r>
          </w:p>
        </w:tc>
        <w:tc>
          <w:tcPr>
            <w:tcW w:w="402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2420FFCA">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No secrets to store, rotate, or leak</w:t>
            </w:r>
            <w:r>
              <w:rPr>
                <w:rFonts w:cs="Arial"/>
                <w:b w:val="0"/>
                <w:bCs w:val="0"/>
                <w:color w:val="000000" w:themeColor="text1"/>
                <w:sz w:val="20"/>
                <w:szCs w:val="20"/>
                <w:lang w:val="en-US"/>
                <w14:textFill>
                  <w14:solidFill>
                    <w14:schemeClr w14:val="tx1"/>
                  </w14:solidFill>
                </w14:textFill>
              </w:rPr>
              <w:t xml:space="preserve"> - </w:t>
            </w:r>
            <w:r>
              <w:rPr>
                <w:rFonts w:ascii="Arial" w:hAnsi="Arial" w:eastAsia="Arial" w:cs="Arial"/>
                <w:b w:val="0"/>
                <w:bCs w:val="0"/>
                <w:color w:val="000000" w:themeColor="text1"/>
                <w:sz w:val="20"/>
                <w:szCs w:val="20"/>
                <w14:textFill>
                  <w14:solidFill>
                    <w14:schemeClr w14:val="tx1"/>
                  </w14:solidFill>
                </w14:textFill>
              </w:rPr>
              <w:t>credentials expire in minutes</w:t>
            </w:r>
          </w:p>
        </w:tc>
      </w:tr>
      <w:tr w14:paraId="38969C1C">
        <w:trPr>
          <w:trHeight w:val="675" w:hRule="atLeast"/>
        </w:trPr>
        <w:tc>
          <w:tcPr>
            <w:tcW w:w="2943"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4321BD59">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AWS Config + SSM</w:t>
            </w:r>
          </w:p>
        </w:tc>
        <w:tc>
          <w:tcPr>
            <w:tcW w:w="218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5CAD2920">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Custom compliance scripts</w:t>
            </w:r>
          </w:p>
        </w:tc>
        <w:tc>
          <w:tcPr>
            <w:tcW w:w="40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037BD366">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Pre-built remediation documents, native resource tracking, audit-ready</w:t>
            </w:r>
          </w:p>
        </w:tc>
      </w:tr>
      <w:tr w14:paraId="654751F9">
        <w:trPr>
          <w:trHeight w:val="675" w:hRule="atLeast"/>
        </w:trPr>
        <w:tc>
          <w:tcPr>
            <w:tcW w:w="2943"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2FA060CF">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Security Hub (FSBP)</w:t>
            </w:r>
          </w:p>
        </w:tc>
        <w:tc>
          <w:tcPr>
            <w:tcW w:w="218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5078FBA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Manual audit checklists</w:t>
            </w:r>
          </w:p>
        </w:tc>
        <w:tc>
          <w:tcPr>
            <w:tcW w:w="402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405D036F">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Continuous scoring, cross-service aggregation, CIS benchmark mapping</w:t>
            </w:r>
          </w:p>
        </w:tc>
      </w:tr>
      <w:tr w14:paraId="610AF8E8">
        <w:trPr>
          <w:trHeight w:val="675" w:hRule="atLeast"/>
        </w:trPr>
        <w:tc>
          <w:tcPr>
            <w:tcW w:w="2943"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4E08D283">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KMS CMK</w:t>
            </w:r>
          </w:p>
        </w:tc>
        <w:tc>
          <w:tcPr>
            <w:tcW w:w="218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2C73256E">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S3-managed keys (SSE-S3)</w:t>
            </w:r>
          </w:p>
        </w:tc>
        <w:tc>
          <w:tcPr>
            <w:tcW w:w="40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6420AB16">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Customer controls key policy, rotation schedule, and deletion window</w:t>
            </w:r>
          </w:p>
        </w:tc>
      </w:tr>
      <w:tr w14:paraId="5853B5BE">
        <w:trPr>
          <w:trHeight w:val="675" w:hRule="atLeast"/>
        </w:trPr>
        <w:tc>
          <w:tcPr>
            <w:tcW w:w="2943"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13DA9E76">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WAF at ALB</w:t>
            </w:r>
          </w:p>
        </w:tc>
        <w:tc>
          <w:tcPr>
            <w:tcW w:w="218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781B319B">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WAF at CloudFront</w:t>
            </w:r>
          </w:p>
        </w:tc>
        <w:tc>
          <w:tcPr>
            <w:tcW w:w="402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FF02A89">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Guaranteed inspection path, simpler log correlation, no bypass risk</w:t>
            </w:r>
          </w:p>
        </w:tc>
      </w:tr>
      <w:tr w14:paraId="32C5F636">
        <w:trPr>
          <w:trHeight w:val="686" w:hRule="atLeast"/>
        </w:trPr>
        <w:tc>
          <w:tcPr>
            <w:tcW w:w="2943"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1C202218">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ECS Fargate</w:t>
            </w:r>
          </w:p>
        </w:tc>
        <w:tc>
          <w:tcPr>
            <w:tcW w:w="218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7D892206">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EC2 containers</w:t>
            </w:r>
          </w:p>
        </w:tc>
        <w:tc>
          <w:tcPr>
            <w:tcW w:w="40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76C1036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No OS patching, no escape-to-host risk, per-task IAM roles</w:t>
            </w:r>
          </w:p>
        </w:tc>
      </w:tr>
    </w:tbl>
    <w:p w14:paraId="36C5816B">
      <w:pPr>
        <w:spacing w:before="60" w:after="0"/>
        <w:rPr>
          <w:color w:val="000000" w:themeColor="text1"/>
          <w14:textFill>
            <w14:solidFill>
              <w14:schemeClr w14:val="tx1"/>
            </w14:solidFill>
          </w14:textFill>
        </w:rPr>
      </w:pPr>
    </w:p>
    <w:p w14:paraId="59C8470C">
      <w:pPr>
        <w:rPr>
          <w:color w:val="000000" w:themeColor="text1"/>
          <w14:textFill>
            <w14:solidFill>
              <w14:schemeClr w14:val="tx1"/>
            </w14:solidFill>
          </w14:textFill>
        </w:rPr>
      </w:pPr>
    </w:p>
    <w:p w14:paraId="41E4CCD7">
      <w:pPr>
        <w:pStyle w:val="2"/>
        <w:numPr>
          <w:ilvl w:val="0"/>
          <w:numId w:val="1"/>
        </w:numPr>
        <w:pBdr>
          <w:bottom w:val="single" w:color="2E75B6" w:sz="10" w:space="4"/>
        </w:pBdr>
        <w:spacing w:before="400" w:after="160"/>
        <w:ind w:left="425" w:leftChars="0" w:hanging="425" w:firstLineChars="0"/>
        <w:rPr>
          <w:rFonts w:ascii="Arial" w:hAnsi="Arial" w:eastAsia="Arial" w:cs="Arial"/>
          <w:b/>
          <w:bCs/>
          <w:color w:val="000000" w:themeColor="text1"/>
          <w:sz w:val="34"/>
          <w:szCs w:val="34"/>
          <w14:textFill>
            <w14:solidFill>
              <w14:schemeClr w14:val="tx1"/>
            </w14:solidFill>
          </w14:textFill>
        </w:rPr>
      </w:pPr>
      <w:r>
        <w:rPr>
          <w:rFonts w:ascii="Arial" w:hAnsi="Arial" w:eastAsia="Arial" w:cs="Arial"/>
          <w:b/>
          <w:bCs/>
          <w:color w:val="000000" w:themeColor="text1"/>
          <w:sz w:val="34"/>
          <w:szCs w:val="34"/>
          <w14:textFill>
            <w14:solidFill>
              <w14:schemeClr w14:val="tx1"/>
            </w14:solidFill>
          </w14:textFill>
        </w:rPr>
        <w:t>Threat Model and Controls</w:t>
      </w:r>
    </w:p>
    <w:tbl>
      <w:tblPr>
        <w:tblStyle w:val="9"/>
        <w:tblpPr w:leftFromText="180" w:rightFromText="180" w:vertAnchor="text" w:horzAnchor="page" w:tblpX="1226" w:tblpY="226"/>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46"/>
        <w:gridCol w:w="1240"/>
        <w:gridCol w:w="1152"/>
        <w:gridCol w:w="4322"/>
      </w:tblGrid>
      <w:tr w14:paraId="2941C51D">
        <w:tc>
          <w:tcPr>
            <w:tcW w:w="2646"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32A28C8C">
            <w:pPr>
              <w:spacing w:before="0" w:after="0"/>
              <w:rPr>
                <w:color w:val="FFFFFF"/>
              </w:rPr>
            </w:pPr>
            <w:r>
              <w:rPr>
                <w:rFonts w:ascii="Arial" w:hAnsi="Arial" w:eastAsia="Arial" w:cs="Arial"/>
                <w:b/>
                <w:bCs/>
                <w:color w:val="FFFFFF"/>
                <w:sz w:val="20"/>
                <w:szCs w:val="20"/>
              </w:rPr>
              <w:t>Threat</w:t>
            </w:r>
          </w:p>
        </w:tc>
        <w:tc>
          <w:tcPr>
            <w:tcW w:w="1240"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1600ADC4">
            <w:pPr>
              <w:spacing w:before="0" w:after="0"/>
              <w:rPr>
                <w:color w:val="FFFFFF"/>
              </w:rPr>
            </w:pPr>
            <w:r>
              <w:rPr>
                <w:rFonts w:ascii="Arial" w:hAnsi="Arial" w:eastAsia="Arial" w:cs="Arial"/>
                <w:b/>
                <w:bCs/>
                <w:color w:val="FFFFFF"/>
                <w:sz w:val="20"/>
                <w:szCs w:val="20"/>
              </w:rPr>
              <w:t>Likelihood</w:t>
            </w:r>
          </w:p>
        </w:tc>
        <w:tc>
          <w:tcPr>
            <w:tcW w:w="1152"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216C6EC7">
            <w:pPr>
              <w:spacing w:before="0" w:after="0"/>
              <w:rPr>
                <w:color w:val="FFFFFF"/>
              </w:rPr>
            </w:pPr>
            <w:r>
              <w:rPr>
                <w:rFonts w:ascii="Arial" w:hAnsi="Arial" w:eastAsia="Arial" w:cs="Arial"/>
                <w:b/>
                <w:bCs/>
                <w:color w:val="FFFFFF"/>
                <w:sz w:val="20"/>
                <w:szCs w:val="20"/>
              </w:rPr>
              <w:t>Impact</w:t>
            </w:r>
          </w:p>
        </w:tc>
        <w:tc>
          <w:tcPr>
            <w:tcW w:w="4322"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739E8034">
            <w:pPr>
              <w:spacing w:before="0" w:after="0"/>
              <w:rPr>
                <w:color w:val="FFFFFF"/>
              </w:rPr>
            </w:pPr>
            <w:r>
              <w:rPr>
                <w:rFonts w:ascii="Arial" w:hAnsi="Arial" w:eastAsia="Arial" w:cs="Arial"/>
                <w:b/>
                <w:bCs/>
                <w:color w:val="FFFFFF"/>
                <w:sz w:val="20"/>
                <w:szCs w:val="20"/>
              </w:rPr>
              <w:t>Control</w:t>
            </w:r>
          </w:p>
        </w:tc>
      </w:tr>
      <w:tr w14:paraId="023E06E5">
        <w:tc>
          <w:tcPr>
            <w:tcW w:w="2646"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26F59564">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Compromised developer credentials</w:t>
            </w:r>
          </w:p>
        </w:tc>
        <w:tc>
          <w:tcPr>
            <w:tcW w:w="1240"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4CBE5FEE">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HIGH</w:t>
            </w:r>
          </w:p>
        </w:tc>
        <w:tc>
          <w:tcPr>
            <w:tcW w:w="1152"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3A68E2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CRITICAL</w:t>
            </w:r>
          </w:p>
        </w:tc>
        <w:tc>
          <w:tcPr>
            <w:tcW w:w="4322"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77E47A9A">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OIDC</w:t>
            </w:r>
            <w:r>
              <w:rPr>
                <w:rFonts w:cs="Arial"/>
                <w:b w:val="0"/>
                <w:bCs w:val="0"/>
                <w:color w:val="000000" w:themeColor="text1"/>
                <w:sz w:val="20"/>
                <w:szCs w:val="20"/>
                <w:lang w:val="en-US"/>
                <w14:textFill>
                  <w14:solidFill>
                    <w14:schemeClr w14:val="tx1"/>
                  </w14:solidFill>
                </w14:textFill>
              </w:rPr>
              <w:t xml:space="preserve"> - </w:t>
            </w:r>
            <w:r>
              <w:rPr>
                <w:rFonts w:ascii="Arial" w:hAnsi="Arial" w:eastAsia="Arial" w:cs="Arial"/>
                <w:b w:val="0"/>
                <w:bCs w:val="0"/>
                <w:color w:val="000000" w:themeColor="text1"/>
                <w:sz w:val="20"/>
                <w:szCs w:val="20"/>
                <w14:textFill>
                  <w14:solidFill>
                    <w14:schemeClr w14:val="tx1"/>
                  </w14:solidFill>
                </w14:textFill>
              </w:rPr>
              <w:t>no static keys exist to steal</w:t>
            </w:r>
          </w:p>
        </w:tc>
      </w:tr>
      <w:tr w14:paraId="41C72607">
        <w:tc>
          <w:tcPr>
            <w:tcW w:w="2646"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669FA731">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Insider S3 data deletion</w:t>
            </w:r>
          </w:p>
        </w:tc>
        <w:tc>
          <w:tcPr>
            <w:tcW w:w="12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5B38423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MEDIUM</w:t>
            </w:r>
          </w:p>
        </w:tc>
        <w:tc>
          <w:tcPr>
            <w:tcW w:w="1152"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076822F3">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CRITICAL</w:t>
            </w:r>
          </w:p>
        </w:tc>
        <w:tc>
          <w:tcPr>
            <w:tcW w:w="4322"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74E9C014">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Permission boundary blocks s3:DeleteBucket</w:t>
            </w:r>
          </w:p>
        </w:tc>
      </w:tr>
      <w:tr w14:paraId="1CB6319A">
        <w:tc>
          <w:tcPr>
            <w:tcW w:w="2646"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6C16369C">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EC2 compromise / C2 traffic</w:t>
            </w:r>
          </w:p>
        </w:tc>
        <w:tc>
          <w:tcPr>
            <w:tcW w:w="12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2424F257">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MEDIUM</w:t>
            </w:r>
          </w:p>
        </w:tc>
        <w:tc>
          <w:tcPr>
            <w:tcW w:w="1152"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C484FEF">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HIGH</w:t>
            </w:r>
          </w:p>
        </w:tc>
        <w:tc>
          <w:tcPr>
            <w:tcW w:w="4322"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687CD61E">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GuardDuty detects, Lambda isolates instance automatically</w:t>
            </w:r>
          </w:p>
        </w:tc>
      </w:tr>
      <w:tr w14:paraId="59E004EF">
        <w:tc>
          <w:tcPr>
            <w:tcW w:w="2646"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5873330F">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SQL injection / XSS</w:t>
            </w:r>
          </w:p>
        </w:tc>
        <w:tc>
          <w:tcPr>
            <w:tcW w:w="12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11BABEE0">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HIGH</w:t>
            </w:r>
          </w:p>
        </w:tc>
        <w:tc>
          <w:tcPr>
            <w:tcW w:w="1152"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7337DD51">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HIGH</w:t>
            </w:r>
          </w:p>
        </w:tc>
        <w:tc>
          <w:tcPr>
            <w:tcW w:w="4322"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1EC1CA51">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WAF SQLiRuleSet + CommonRuleSet blocks at ALB</w:t>
            </w:r>
          </w:p>
        </w:tc>
      </w:tr>
      <w:tr w14:paraId="5DCB9856">
        <w:tc>
          <w:tcPr>
            <w:tcW w:w="2646"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78D15D28">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DDoS / credential stuffing</w:t>
            </w:r>
          </w:p>
        </w:tc>
        <w:tc>
          <w:tcPr>
            <w:tcW w:w="12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6DBB669">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HIGH</w:t>
            </w:r>
          </w:p>
        </w:tc>
        <w:tc>
          <w:tcPr>
            <w:tcW w:w="1152"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794EB96D">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MEDIUM</w:t>
            </w:r>
          </w:p>
        </w:tc>
        <w:tc>
          <w:tcPr>
            <w:tcW w:w="4322"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47C0B5F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WAF rate-based rule: 100 req/5min/IP</w:t>
            </w:r>
          </w:p>
        </w:tc>
      </w:tr>
      <w:tr w14:paraId="4EE5BE9E">
        <w:tc>
          <w:tcPr>
            <w:tcW w:w="2646"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30F0D7F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CloudTrail tampering</w:t>
            </w:r>
          </w:p>
        </w:tc>
        <w:tc>
          <w:tcPr>
            <w:tcW w:w="12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01FC120F">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LOW</w:t>
            </w:r>
          </w:p>
        </w:tc>
        <w:tc>
          <w:tcPr>
            <w:tcW w:w="1152"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62978E4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CRITICAL</w:t>
            </w:r>
          </w:p>
        </w:tc>
        <w:tc>
          <w:tcPr>
            <w:tcW w:w="4322"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22FBA7FE">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SCP denies StopLogging</w:t>
            </w:r>
            <w:r>
              <w:rPr>
                <w:rFonts w:cs="Arial"/>
                <w:b w:val="0"/>
                <w:bCs w:val="0"/>
                <w:color w:val="000000" w:themeColor="text1"/>
                <w:sz w:val="20"/>
                <w:szCs w:val="20"/>
                <w:lang w:val="en-US"/>
                <w14:textFill>
                  <w14:solidFill>
                    <w14:schemeClr w14:val="tx1"/>
                  </w14:solidFill>
                </w14:textFill>
              </w:rPr>
              <w:t xml:space="preserve"> - </w:t>
            </w:r>
            <w:r>
              <w:rPr>
                <w:rFonts w:ascii="Arial" w:hAnsi="Arial" w:eastAsia="Arial" w:cs="Arial"/>
                <w:b w:val="0"/>
                <w:bCs w:val="0"/>
                <w:color w:val="000000" w:themeColor="text1"/>
                <w:sz w:val="20"/>
                <w:szCs w:val="20"/>
                <w14:textFill>
                  <w14:solidFill>
                    <w14:schemeClr w14:val="tx1"/>
                  </w14:solidFill>
                </w14:textFill>
              </w:rPr>
              <w:t>overrides all IAM</w:t>
            </w:r>
          </w:p>
        </w:tc>
      </w:tr>
      <w:tr w14:paraId="5B1FEB62">
        <w:tc>
          <w:tcPr>
            <w:tcW w:w="2646"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1678EF0A">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Unencrypted data at rest</w:t>
            </w:r>
          </w:p>
        </w:tc>
        <w:tc>
          <w:tcPr>
            <w:tcW w:w="12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18A51FF">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MEDIUM</w:t>
            </w:r>
          </w:p>
        </w:tc>
        <w:tc>
          <w:tcPr>
            <w:tcW w:w="1152"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7F6ADAA3">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HIGH</w:t>
            </w:r>
          </w:p>
        </w:tc>
        <w:tc>
          <w:tcPr>
            <w:tcW w:w="4322"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4EC70D0D">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Config auto-remediates, KMS CMK on all storage</w:t>
            </w:r>
          </w:p>
        </w:tc>
      </w:tr>
      <w:tr w14:paraId="3DFE4B2B">
        <w:tc>
          <w:tcPr>
            <w:tcW w:w="2646"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03B10603">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Unauthorised CI/CD deploy</w:t>
            </w:r>
          </w:p>
        </w:tc>
        <w:tc>
          <w:tcPr>
            <w:tcW w:w="12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2951FDFF">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MEDIUM</w:t>
            </w:r>
          </w:p>
        </w:tc>
        <w:tc>
          <w:tcPr>
            <w:tcW w:w="1152"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26B4C0BB">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HIGH</w:t>
            </w:r>
          </w:p>
        </w:tc>
        <w:tc>
          <w:tcPr>
            <w:tcW w:w="4322"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2D427FBA">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OIDC sub condition locks to repo + branch</w:t>
            </w:r>
          </w:p>
        </w:tc>
      </w:tr>
    </w:tbl>
    <w:p w14:paraId="3362FBAD">
      <w:pPr>
        <w:rPr>
          <w:color w:val="000000" w:themeColor="text1"/>
          <w14:textFill>
            <w14:solidFill>
              <w14:schemeClr w14:val="tx1"/>
            </w14:solidFill>
          </w14:textFill>
        </w:rPr>
      </w:pPr>
    </w:p>
    <w:p w14:paraId="2698CA30">
      <w:pPr>
        <w:pStyle w:val="2"/>
        <w:numPr>
          <w:ilvl w:val="0"/>
          <w:numId w:val="1"/>
        </w:numPr>
        <w:pBdr>
          <w:bottom w:val="single" w:color="2E75B6" w:sz="10" w:space="4"/>
        </w:pBdr>
        <w:spacing w:before="400" w:after="160"/>
        <w:ind w:left="425" w:leftChars="0" w:hanging="425" w:firstLineChars="0"/>
        <w:rPr>
          <w:rFonts w:ascii="Arial" w:hAnsi="Arial" w:eastAsia="Arial" w:cs="Arial"/>
          <w:b/>
          <w:bCs/>
          <w:color w:val="000000" w:themeColor="text1"/>
          <w:sz w:val="34"/>
          <w:szCs w:val="34"/>
          <w14:textFill>
            <w14:solidFill>
              <w14:schemeClr w14:val="tx1"/>
            </w14:solidFill>
          </w14:textFill>
        </w:rPr>
      </w:pPr>
      <w:r>
        <w:rPr>
          <w:rFonts w:ascii="Arial" w:hAnsi="Arial" w:eastAsia="Arial" w:cs="Arial"/>
          <w:b/>
          <w:bCs/>
          <w:color w:val="000000" w:themeColor="text1"/>
          <w:sz w:val="34"/>
          <w:szCs w:val="34"/>
          <w14:textFill>
            <w14:solidFill>
              <w14:schemeClr w14:val="tx1"/>
            </w14:solidFill>
          </w14:textFill>
        </w:rPr>
        <w:t>Attack Simulation Results</w:t>
      </w:r>
    </w:p>
    <w:p w14:paraId="266E341C">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Scenario 1</w:t>
      </w:r>
      <w:r>
        <w:rPr>
          <w:rFonts w:cs="Arial"/>
          <w:b/>
          <w:bCs/>
          <w:color w:val="000000" w:themeColor="text1"/>
          <w:sz w:val="26"/>
          <w:szCs w:val="26"/>
          <w:lang w:val="en-US"/>
          <w14:textFill>
            <w14:solidFill>
              <w14:schemeClr w14:val="tx1"/>
            </w14:solidFill>
          </w14:textFill>
        </w:rPr>
        <w:t xml:space="preserve"> - </w:t>
      </w:r>
      <w:r>
        <w:rPr>
          <w:rFonts w:ascii="Arial" w:hAnsi="Arial" w:eastAsia="Arial" w:cs="Arial"/>
          <w:b/>
          <w:bCs/>
          <w:color w:val="000000" w:themeColor="text1"/>
          <w:sz w:val="26"/>
          <w:szCs w:val="26"/>
          <w14:textFill>
            <w14:solidFill>
              <w14:schemeClr w14:val="tx1"/>
            </w14:solidFill>
          </w14:textFill>
        </w:rPr>
        <w:t>Misconfigured S3 Bucket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01ECFFD6">
        <w:tc>
          <w:tcPr>
            <w:tcW w:w="2340"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3B356D21">
            <w:pPr>
              <w:spacing w:before="0" w:after="0"/>
              <w:rPr>
                <w:color w:val="FFFFFF"/>
              </w:rPr>
            </w:pPr>
            <w:r>
              <w:rPr>
                <w:rFonts w:ascii="Arial" w:hAnsi="Arial" w:eastAsia="Arial" w:cs="Arial"/>
                <w:b/>
                <w:bCs/>
                <w:color w:val="FFFFFF"/>
                <w:sz w:val="20"/>
                <w:szCs w:val="20"/>
              </w:rPr>
              <w:t>Step</w:t>
            </w:r>
          </w:p>
        </w:tc>
        <w:tc>
          <w:tcPr>
            <w:tcW w:w="7020"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10D13E71">
            <w:pPr>
              <w:spacing w:before="0" w:after="0"/>
              <w:rPr>
                <w:color w:val="FFFFFF"/>
              </w:rPr>
            </w:pPr>
            <w:r>
              <w:rPr>
                <w:rFonts w:ascii="Arial" w:hAnsi="Arial" w:eastAsia="Arial" w:cs="Arial"/>
                <w:b/>
                <w:bCs/>
                <w:color w:val="FFFFFF"/>
                <w:sz w:val="20"/>
                <w:szCs w:val="20"/>
              </w:rPr>
              <w:t>Detail</w:t>
            </w:r>
          </w:p>
        </w:tc>
      </w:tr>
      <w:tr w14:paraId="0FA35571">
        <w:tc>
          <w:tcPr>
            <w:tcW w:w="2340"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2D7E4DB0">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Action</w:t>
            </w:r>
          </w:p>
        </w:tc>
        <w:tc>
          <w:tcPr>
            <w:tcW w:w="7020"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13DC73AA">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Created S3 bucket with no encryption configured</w:t>
            </w:r>
          </w:p>
        </w:tc>
      </w:tr>
      <w:tr w14:paraId="23C3FC24">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74AA45A0">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Detection</w:t>
            </w:r>
          </w:p>
        </w:tc>
        <w:tc>
          <w:tcPr>
            <w:tcW w:w="70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7AB82310">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AWS Config rule s3-bucket-server-side-encryption-enabled evaluated NON_COMPLIANT</w:t>
            </w:r>
          </w:p>
        </w:tc>
      </w:tr>
      <w:tr w14:paraId="20C22929">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03A98F1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Automation</w:t>
            </w:r>
          </w:p>
        </w:tc>
        <w:tc>
          <w:tcPr>
            <w:tcW w:w="702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53BA37A6">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SSM Automation AWS-EnableS3BucketEncryption triggered automatically</w:t>
            </w:r>
          </w:p>
        </w:tc>
      </w:tr>
      <w:tr w14:paraId="1EB5330F">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66EFCD6D">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Result</w:t>
            </w:r>
          </w:p>
        </w:tc>
        <w:tc>
          <w:tcPr>
            <w:tcW w:w="70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53AF9437">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Bucket encryption applied (AES256)</w:t>
            </w:r>
            <w:r>
              <w:rPr>
                <w:rFonts w:cs="Arial"/>
                <w:b w:val="0"/>
                <w:bCs w:val="0"/>
                <w:color w:val="000000" w:themeColor="text1"/>
                <w:sz w:val="20"/>
                <w:szCs w:val="20"/>
                <w:lang w:val="en-US"/>
                <w14:textFill>
                  <w14:solidFill>
                    <w14:schemeClr w14:val="tx1"/>
                  </w14:solidFill>
                </w14:textFill>
              </w:rPr>
              <w:t xml:space="preserve"> - </w:t>
            </w:r>
            <w:r>
              <w:rPr>
                <w:rFonts w:ascii="Arial" w:hAnsi="Arial" w:eastAsia="Arial" w:cs="Arial"/>
                <w:b w:val="0"/>
                <w:bCs w:val="0"/>
                <w:color w:val="000000" w:themeColor="text1"/>
                <w:sz w:val="20"/>
                <w:szCs w:val="20"/>
                <w14:textFill>
                  <w14:solidFill>
                    <w14:schemeClr w14:val="tx1"/>
                  </w14:solidFill>
                </w14:textFill>
              </w:rPr>
              <w:t>status flipped to COMPLIANT</w:t>
            </w:r>
          </w:p>
        </w:tc>
      </w:tr>
      <w:tr w14:paraId="319E6FF2">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7D73D6C4">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Time to remediate</w:t>
            </w:r>
          </w:p>
        </w:tc>
        <w:tc>
          <w:tcPr>
            <w:tcW w:w="702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26028A53">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Under 5 minutes from creation to compliant</w:t>
            </w:r>
          </w:p>
        </w:tc>
      </w:tr>
    </w:tbl>
    <w:p w14:paraId="43703B00">
      <w:pPr>
        <w:spacing w:before="120" w:after="0"/>
        <w:rPr>
          <w:color w:val="000000" w:themeColor="text1"/>
          <w14:textFill>
            <w14:solidFill>
              <w14:schemeClr w14:val="tx1"/>
            </w14:solidFill>
          </w14:textFill>
        </w:rPr>
      </w:pPr>
    </w:p>
    <w:p w14:paraId="4C084865">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Scenario 2</w:t>
      </w:r>
      <w:r>
        <w:rPr>
          <w:rFonts w:cs="Arial"/>
          <w:b/>
          <w:bCs/>
          <w:color w:val="000000" w:themeColor="text1"/>
          <w:sz w:val="26"/>
          <w:szCs w:val="26"/>
          <w:lang w:val="en-US"/>
          <w14:textFill>
            <w14:solidFill>
              <w14:schemeClr w14:val="tx1"/>
            </w14:solidFill>
          </w14:textFill>
        </w:rPr>
        <w:t xml:space="preserve"> - </w:t>
      </w:r>
      <w:r>
        <w:rPr>
          <w:rFonts w:ascii="Arial" w:hAnsi="Arial" w:eastAsia="Arial" w:cs="Arial"/>
          <w:b/>
          <w:bCs/>
          <w:color w:val="000000" w:themeColor="text1"/>
          <w:sz w:val="26"/>
          <w:szCs w:val="26"/>
          <w14:textFill>
            <w14:solidFill>
              <w14:schemeClr w14:val="tx1"/>
            </w14:solidFill>
          </w14:textFill>
        </w:rPr>
        <w:t>Malicious Network Activity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6F5506C9">
        <w:tc>
          <w:tcPr>
            <w:tcW w:w="2340"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272286DA">
            <w:pPr>
              <w:spacing w:before="0" w:after="0"/>
              <w:rPr>
                <w:color w:val="FFFFFF"/>
              </w:rPr>
            </w:pPr>
            <w:r>
              <w:rPr>
                <w:rFonts w:ascii="Arial" w:hAnsi="Arial" w:eastAsia="Arial" w:cs="Arial"/>
                <w:b/>
                <w:bCs/>
                <w:color w:val="FFFFFF"/>
                <w:sz w:val="20"/>
                <w:szCs w:val="20"/>
              </w:rPr>
              <w:t>Step</w:t>
            </w:r>
          </w:p>
        </w:tc>
        <w:tc>
          <w:tcPr>
            <w:tcW w:w="7020"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02BB1D75">
            <w:pPr>
              <w:spacing w:before="0" w:after="0"/>
              <w:rPr>
                <w:color w:val="FFFFFF"/>
              </w:rPr>
            </w:pPr>
            <w:r>
              <w:rPr>
                <w:rFonts w:ascii="Arial" w:hAnsi="Arial" w:eastAsia="Arial" w:cs="Arial"/>
                <w:b/>
                <w:bCs/>
                <w:color w:val="FFFFFF"/>
                <w:sz w:val="20"/>
                <w:szCs w:val="20"/>
              </w:rPr>
              <w:t>Detail</w:t>
            </w:r>
          </w:p>
        </w:tc>
      </w:tr>
      <w:tr w14:paraId="0088772C">
        <w:tc>
          <w:tcPr>
            <w:tcW w:w="2340"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45D8001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Action</w:t>
            </w:r>
          </w:p>
        </w:tc>
        <w:tc>
          <w:tcPr>
            <w:tcW w:w="7020"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78510C19">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aws guardduty create-sample-findings --finding-types UnauthorizedAccess:EC2/SSHBruteForce</w:t>
            </w:r>
          </w:p>
        </w:tc>
      </w:tr>
      <w:tr w14:paraId="67AC6CA3">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3512A7E3">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Detection</w:t>
            </w:r>
          </w:p>
        </w:tc>
        <w:tc>
          <w:tcPr>
            <w:tcW w:w="70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41354AC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GuardDuty generated HIGH severity finding (severity 8)</w:t>
            </w:r>
          </w:p>
        </w:tc>
      </w:tr>
      <w:tr w14:paraId="0A377F80">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E56E923">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Automation</w:t>
            </w:r>
          </w:p>
        </w:tc>
        <w:tc>
          <w:tcPr>
            <w:tcW w:w="702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4A6C24E">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 xml:space="preserve">EventBridge matched severity &gt;= 7 </w:t>
            </w:r>
            <w:r>
              <w:rPr>
                <w:rFonts w:cs="Arial"/>
                <w:b w:val="0"/>
                <w:bCs w:val="0"/>
                <w:color w:val="000000" w:themeColor="text1"/>
                <w:sz w:val="20"/>
                <w:szCs w:val="20"/>
                <w:lang w:val="en-US"/>
                <w14:textFill>
                  <w14:solidFill>
                    <w14:schemeClr w14:val="tx1"/>
                  </w14:solidFill>
                </w14:textFill>
              </w:rPr>
              <w:t>-&gt;</w:t>
            </w:r>
            <w:r>
              <w:rPr>
                <w:rFonts w:ascii="Arial" w:hAnsi="Arial" w:eastAsia="Arial" w:cs="Arial"/>
                <w:b w:val="0"/>
                <w:bCs w:val="0"/>
                <w:color w:val="000000" w:themeColor="text1"/>
                <w:sz w:val="20"/>
                <w:szCs w:val="20"/>
                <w14:textFill>
                  <w14:solidFill>
                    <w14:schemeClr w14:val="tx1"/>
                  </w14:solidFill>
                </w14:textFill>
              </w:rPr>
              <w:t xml:space="preserve"> triggered Step Functions</w:t>
            </w:r>
          </w:p>
        </w:tc>
      </w:tr>
      <w:tr w14:paraId="40FCC91F">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7F440199">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Lambda actions</w:t>
            </w:r>
          </w:p>
        </w:tc>
        <w:tc>
          <w:tcPr>
            <w:tcW w:w="70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0DFB9253">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EC2 quarantine-sg applied, instance tagged QUARANTINED, finding logged to S3</w:t>
            </w:r>
          </w:p>
        </w:tc>
      </w:tr>
      <w:tr w14:paraId="2AAA2CD3">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BF39109">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Notification</w:t>
            </w:r>
          </w:p>
        </w:tc>
        <w:tc>
          <w:tcPr>
            <w:tcW w:w="702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09D2A256">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SNS email delivered to security team within 90 seconds</w:t>
            </w:r>
          </w:p>
        </w:tc>
      </w:tr>
    </w:tbl>
    <w:p w14:paraId="51BF2DE9">
      <w:pPr>
        <w:spacing w:before="120" w:after="0"/>
        <w:rPr>
          <w:color w:val="000000" w:themeColor="text1"/>
          <w14:textFill>
            <w14:solidFill>
              <w14:schemeClr w14:val="tx1"/>
            </w14:solidFill>
          </w14:textFill>
        </w:rPr>
      </w:pPr>
    </w:p>
    <w:p w14:paraId="018C1AB5">
      <w:pPr>
        <w:pStyle w:val="3"/>
        <w:spacing w:before="280" w:after="120"/>
        <w:rPr>
          <w:rFonts w:ascii="Arial" w:hAnsi="Arial" w:eastAsia="Arial" w:cs="Arial"/>
          <w:b/>
          <w:bCs/>
          <w:color w:val="000000" w:themeColor="text1"/>
          <w:sz w:val="26"/>
          <w:szCs w:val="26"/>
          <w14:textFill>
            <w14:solidFill>
              <w14:schemeClr w14:val="tx1"/>
            </w14:solidFill>
          </w14:textFill>
        </w:rPr>
      </w:pPr>
    </w:p>
    <w:p w14:paraId="090B1832">
      <w:pPr>
        <w:pStyle w:val="3"/>
        <w:spacing w:before="280" w:after="120"/>
        <w:rPr>
          <w:rFonts w:ascii="Arial" w:hAnsi="Arial" w:eastAsia="Arial" w:cs="Arial"/>
          <w:b/>
          <w:bCs/>
          <w:color w:val="000000" w:themeColor="text1"/>
          <w:sz w:val="26"/>
          <w:szCs w:val="26"/>
          <w14:textFill>
            <w14:solidFill>
              <w14:schemeClr w14:val="tx1"/>
            </w14:solidFill>
          </w14:textFill>
        </w:rPr>
      </w:pPr>
    </w:p>
    <w:p w14:paraId="04891874">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Scenario 3</w:t>
      </w:r>
      <w:r>
        <w:rPr>
          <w:rFonts w:cs="Arial"/>
          <w:b/>
          <w:bCs/>
          <w:color w:val="000000" w:themeColor="text1"/>
          <w:sz w:val="26"/>
          <w:szCs w:val="26"/>
          <w:lang w:val="en-US"/>
          <w14:textFill>
            <w14:solidFill>
              <w14:schemeClr w14:val="tx1"/>
            </w14:solidFill>
          </w14:textFill>
        </w:rPr>
        <w:t xml:space="preserve"> - </w:t>
      </w:r>
      <w:r>
        <w:rPr>
          <w:rFonts w:ascii="Arial" w:hAnsi="Arial" w:eastAsia="Arial" w:cs="Arial"/>
          <w:b/>
          <w:bCs/>
          <w:color w:val="000000" w:themeColor="text1"/>
          <w:sz w:val="26"/>
          <w:szCs w:val="26"/>
          <w14:textFill>
            <w14:solidFill>
              <w14:schemeClr w14:val="tx1"/>
            </w14:solidFill>
          </w14:textFill>
        </w:rPr>
        <w:t>CI/CD Abuse Attempt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1AC741A2">
        <w:tc>
          <w:tcPr>
            <w:tcW w:w="2340"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7ADAA5C4">
            <w:pPr>
              <w:spacing w:before="0" w:after="0"/>
              <w:rPr>
                <w:color w:val="FFFFFF"/>
              </w:rPr>
            </w:pPr>
            <w:r>
              <w:rPr>
                <w:rFonts w:ascii="Arial" w:hAnsi="Arial" w:eastAsia="Arial" w:cs="Arial"/>
                <w:b/>
                <w:bCs/>
                <w:color w:val="FFFFFF"/>
                <w:sz w:val="20"/>
                <w:szCs w:val="20"/>
              </w:rPr>
              <w:t>Step</w:t>
            </w:r>
          </w:p>
        </w:tc>
        <w:tc>
          <w:tcPr>
            <w:tcW w:w="7020"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18C63530">
            <w:pPr>
              <w:spacing w:before="0" w:after="0"/>
              <w:rPr>
                <w:color w:val="FFFFFF"/>
              </w:rPr>
            </w:pPr>
            <w:r>
              <w:rPr>
                <w:rFonts w:ascii="Arial" w:hAnsi="Arial" w:eastAsia="Arial" w:cs="Arial"/>
                <w:b/>
                <w:bCs/>
                <w:color w:val="FFFFFF"/>
                <w:sz w:val="20"/>
                <w:szCs w:val="20"/>
              </w:rPr>
              <w:t>Detail</w:t>
            </w:r>
          </w:p>
        </w:tc>
      </w:tr>
      <w:tr w14:paraId="513715EB">
        <w:tc>
          <w:tcPr>
            <w:tcW w:w="2340"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AAB1AC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Action</w:t>
            </w:r>
          </w:p>
        </w:tc>
        <w:tc>
          <w:tcPr>
            <w:tcW w:w="7020"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1A023831">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Triggered GitHub Actions workflow from a forked repository</w:t>
            </w:r>
          </w:p>
        </w:tc>
      </w:tr>
      <w:tr w14:paraId="32025A6B">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664A95E9">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Detection</w:t>
            </w:r>
          </w:p>
        </w:tc>
        <w:tc>
          <w:tcPr>
            <w:tcW w:w="70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2DF4CD7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OIDC sub claim: repo:FORK/repo:... did not match trust policy condition</w:t>
            </w:r>
          </w:p>
        </w:tc>
      </w:tr>
      <w:tr w14:paraId="719BADF5">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636787A7">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Result</w:t>
            </w:r>
          </w:p>
        </w:tc>
        <w:tc>
          <w:tcPr>
            <w:tcW w:w="702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074C9B86">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Error: Not authorized to perform: sts:AssumeRoleWithWebIdentity</w:t>
            </w:r>
          </w:p>
        </w:tc>
      </w:tr>
      <w:tr w14:paraId="1D14B5E1">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49BDFFD0">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Credentials exposed</w:t>
            </w:r>
          </w:p>
        </w:tc>
        <w:tc>
          <w:tcPr>
            <w:tcW w:w="70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0AD0299E">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None</w:t>
            </w:r>
            <w:r>
              <w:rPr>
                <w:rFonts w:cs="Arial"/>
                <w:b w:val="0"/>
                <w:bCs w:val="0"/>
                <w:color w:val="000000" w:themeColor="text1"/>
                <w:sz w:val="20"/>
                <w:szCs w:val="20"/>
                <w:lang w:val="en-US"/>
                <w14:textFill>
                  <w14:solidFill>
                    <w14:schemeClr w14:val="tx1"/>
                  </w14:solidFill>
                </w14:textFill>
              </w:rPr>
              <w:t xml:space="preserve"> - </w:t>
            </w:r>
            <w:r>
              <w:rPr>
                <w:rFonts w:ascii="Arial" w:hAnsi="Arial" w:eastAsia="Arial" w:cs="Arial"/>
                <w:b w:val="0"/>
                <w:bCs w:val="0"/>
                <w:color w:val="000000" w:themeColor="text1"/>
                <w:sz w:val="20"/>
                <w:szCs w:val="20"/>
                <w14:textFill>
                  <w14:solidFill>
                    <w14:schemeClr w14:val="tx1"/>
                  </w14:solidFill>
                </w14:textFill>
              </w:rPr>
              <w:t>no static keys exist to steal</w:t>
            </w:r>
          </w:p>
        </w:tc>
      </w:tr>
    </w:tbl>
    <w:p w14:paraId="71B1F3D8">
      <w:pPr>
        <w:spacing w:before="120" w:after="0"/>
        <w:rPr>
          <w:color w:val="000000" w:themeColor="text1"/>
          <w14:textFill>
            <w14:solidFill>
              <w14:schemeClr w14:val="tx1"/>
            </w14:solidFill>
          </w14:textFill>
        </w:rPr>
      </w:pPr>
    </w:p>
    <w:p w14:paraId="48782DCB">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Scenario 4</w:t>
      </w:r>
      <w:r>
        <w:rPr>
          <w:rFonts w:cs="Arial"/>
          <w:b/>
          <w:bCs/>
          <w:color w:val="000000" w:themeColor="text1"/>
          <w:sz w:val="26"/>
          <w:szCs w:val="26"/>
          <w:lang w:val="en-US"/>
          <w14:textFill>
            <w14:solidFill>
              <w14:schemeClr w14:val="tx1"/>
            </w14:solidFill>
          </w14:textFill>
        </w:rPr>
        <w:t xml:space="preserve"> - </w:t>
      </w:r>
      <w:r>
        <w:rPr>
          <w:rFonts w:ascii="Arial" w:hAnsi="Arial" w:eastAsia="Arial" w:cs="Arial"/>
          <w:b/>
          <w:bCs/>
          <w:color w:val="000000" w:themeColor="text1"/>
          <w:sz w:val="26"/>
          <w:szCs w:val="26"/>
          <w14:textFill>
            <w14:solidFill>
              <w14:schemeClr w14:val="tx1"/>
            </w14:solidFill>
          </w14:textFill>
        </w:rPr>
        <w:t>Application Attacks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0"/>
        <w:gridCol w:w="2701"/>
        <w:gridCol w:w="3564"/>
        <w:gridCol w:w="1555"/>
      </w:tblGrid>
      <w:tr w14:paraId="45324111">
        <w:tc>
          <w:tcPr>
            <w:tcW w:w="1872"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3513ADEB">
            <w:pPr>
              <w:spacing w:before="0" w:after="0"/>
              <w:rPr>
                <w:color w:val="FFFFFF"/>
              </w:rPr>
            </w:pPr>
            <w:r>
              <w:rPr>
                <w:rFonts w:ascii="Arial" w:hAnsi="Arial" w:eastAsia="Arial" w:cs="Arial"/>
                <w:b/>
                <w:bCs/>
                <w:color w:val="FFFFFF"/>
                <w:sz w:val="20"/>
                <w:szCs w:val="20"/>
              </w:rPr>
              <w:t>Attack</w:t>
            </w:r>
          </w:p>
        </w:tc>
        <w:tc>
          <w:tcPr>
            <w:tcW w:w="2808"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1C42E678">
            <w:pPr>
              <w:spacing w:before="0" w:after="0"/>
              <w:rPr>
                <w:color w:val="FFFFFF"/>
              </w:rPr>
            </w:pPr>
            <w:r>
              <w:rPr>
                <w:rFonts w:ascii="Arial" w:hAnsi="Arial" w:eastAsia="Arial" w:cs="Arial"/>
                <w:b/>
                <w:bCs/>
                <w:color w:val="FFFFFF"/>
                <w:sz w:val="20"/>
                <w:szCs w:val="20"/>
              </w:rPr>
              <w:t>Payload</w:t>
            </w:r>
          </w:p>
        </w:tc>
        <w:tc>
          <w:tcPr>
            <w:tcW w:w="2808"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03EEAA8E">
            <w:pPr>
              <w:spacing w:before="0" w:after="0"/>
              <w:rPr>
                <w:color w:val="FFFFFF"/>
              </w:rPr>
            </w:pPr>
            <w:r>
              <w:rPr>
                <w:rFonts w:ascii="Arial" w:hAnsi="Arial" w:eastAsia="Arial" w:cs="Arial"/>
                <w:b/>
                <w:bCs/>
                <w:color w:val="FFFFFF"/>
                <w:sz w:val="20"/>
                <w:szCs w:val="20"/>
              </w:rPr>
              <w:t>WAF Rule</w:t>
            </w:r>
          </w:p>
        </w:tc>
        <w:tc>
          <w:tcPr>
            <w:tcW w:w="1872"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203BFEF0">
            <w:pPr>
              <w:spacing w:before="0" w:after="0"/>
              <w:rPr>
                <w:color w:val="FFFFFF"/>
              </w:rPr>
            </w:pPr>
            <w:r>
              <w:rPr>
                <w:rFonts w:ascii="Arial" w:hAnsi="Arial" w:eastAsia="Arial" w:cs="Arial"/>
                <w:b/>
                <w:bCs/>
                <w:color w:val="FFFFFF"/>
                <w:sz w:val="20"/>
                <w:szCs w:val="20"/>
              </w:rPr>
              <w:t>HTTP Response</w:t>
            </w:r>
          </w:p>
        </w:tc>
      </w:tr>
      <w:tr w14:paraId="4A576479">
        <w:tc>
          <w:tcPr>
            <w:tcW w:w="1872"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55C8C0FA">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Legitimate</w:t>
            </w:r>
          </w:p>
        </w:tc>
        <w:tc>
          <w:tcPr>
            <w:tcW w:w="2808"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78507E5D">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GET /</w:t>
            </w:r>
          </w:p>
        </w:tc>
        <w:tc>
          <w:tcPr>
            <w:tcW w:w="2808"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986BFA6">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Allow (default)</w:t>
            </w:r>
          </w:p>
        </w:tc>
        <w:tc>
          <w:tcPr>
            <w:tcW w:w="1872"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5CDA0398">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200 OK</w:t>
            </w:r>
          </w:p>
        </w:tc>
      </w:tr>
      <w:tr w14:paraId="62F26893">
        <w:tc>
          <w:tcPr>
            <w:tcW w:w="1872"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69C00E0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SQL Injection</w:t>
            </w:r>
          </w:p>
        </w:tc>
        <w:tc>
          <w:tcPr>
            <w:tcW w:w="2808"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2396FBC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?id=1' OR '1'='1</w:t>
            </w:r>
          </w:p>
        </w:tc>
        <w:tc>
          <w:tcPr>
            <w:tcW w:w="2808"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31AC1168">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AWSManagedRulesSQLiRuleSet</w:t>
            </w:r>
          </w:p>
        </w:tc>
        <w:tc>
          <w:tcPr>
            <w:tcW w:w="1872"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742A027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403 Forbidden</w:t>
            </w:r>
          </w:p>
        </w:tc>
      </w:tr>
      <w:tr w14:paraId="00B54FEB">
        <w:tc>
          <w:tcPr>
            <w:tcW w:w="1872"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5F2E5473">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XSS</w:t>
            </w:r>
          </w:p>
        </w:tc>
        <w:tc>
          <w:tcPr>
            <w:tcW w:w="2808"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0E3491E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?q=&lt;script&gt;alert(1)&lt;/script&gt;</w:t>
            </w:r>
          </w:p>
        </w:tc>
        <w:tc>
          <w:tcPr>
            <w:tcW w:w="2808"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5392B46F">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AWSManagedRulesCommonRuleSet</w:t>
            </w:r>
          </w:p>
        </w:tc>
        <w:tc>
          <w:tcPr>
            <w:tcW w:w="1872"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5C46F23A">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403 Forbidden</w:t>
            </w:r>
          </w:p>
        </w:tc>
      </w:tr>
      <w:tr w14:paraId="36088458">
        <w:tc>
          <w:tcPr>
            <w:tcW w:w="1872"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72A106C3">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Rate limit</w:t>
            </w:r>
          </w:p>
        </w:tc>
        <w:tc>
          <w:tcPr>
            <w:tcW w:w="2808"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0AB594D3">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110 requests in 60 seconds</w:t>
            </w:r>
          </w:p>
        </w:tc>
        <w:tc>
          <w:tcPr>
            <w:tcW w:w="2808"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55B144EA">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RateLimit (100/5min)</w:t>
            </w:r>
          </w:p>
        </w:tc>
        <w:tc>
          <w:tcPr>
            <w:tcW w:w="1872"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6639C9D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403 Forbidden</w:t>
            </w:r>
          </w:p>
        </w:tc>
      </w:tr>
    </w:tbl>
    <w:p w14:paraId="42E9CE33">
      <w:pPr>
        <w:rPr>
          <w:color w:val="000000" w:themeColor="text1"/>
          <w14:textFill>
            <w14:solidFill>
              <w14:schemeClr w14:val="tx1"/>
            </w14:solidFill>
          </w14:textFill>
        </w:rPr>
      </w:pPr>
    </w:p>
    <w:p w14:paraId="2AD343AF">
      <w:pPr>
        <w:pStyle w:val="2"/>
        <w:numPr>
          <w:ilvl w:val="0"/>
          <w:numId w:val="1"/>
        </w:numPr>
        <w:pBdr>
          <w:bottom w:val="single" w:color="2E75B6" w:sz="10" w:space="4"/>
        </w:pBdr>
        <w:spacing w:before="400" w:after="160"/>
        <w:ind w:left="425" w:leftChars="0" w:hanging="425" w:firstLineChars="0"/>
        <w:rPr>
          <w:rFonts w:ascii="Arial" w:hAnsi="Arial" w:eastAsia="Arial" w:cs="Arial"/>
          <w:b/>
          <w:bCs/>
          <w:color w:val="000000" w:themeColor="text1"/>
          <w:sz w:val="34"/>
          <w:szCs w:val="34"/>
          <w14:textFill>
            <w14:solidFill>
              <w14:schemeClr w14:val="tx1"/>
            </w14:solidFill>
          </w14:textFill>
        </w:rPr>
      </w:pPr>
      <w:r>
        <w:rPr>
          <w:rFonts w:ascii="Arial" w:hAnsi="Arial" w:eastAsia="Arial" w:cs="Arial"/>
          <w:b/>
          <w:bCs/>
          <w:color w:val="000000" w:themeColor="text1"/>
          <w:sz w:val="34"/>
          <w:szCs w:val="34"/>
          <w14:textFill>
            <w14:solidFill>
              <w14:schemeClr w14:val="tx1"/>
            </w14:solidFill>
          </w14:textFill>
        </w:rPr>
        <w:t>Exam-Style Architecture Reasoning</w:t>
      </w:r>
    </w:p>
    <w:p w14:paraId="1ABC6C8A">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Q1: How do SCPs and Permission Boundaries differ?</w:t>
      </w:r>
    </w:p>
    <w:p w14:paraId="1DA8AF7B">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SCPs and Permission Boundaries are both guardrails but operate at entirely different layers of AWS IAM evaluation.</w:t>
      </w:r>
    </w:p>
    <w:p w14:paraId="608D6032">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SCPs are attached to OUs or accounts within AWS Organizations. They define the maximum permissions available to every principal in that account</w:t>
      </w:r>
      <w:r>
        <w:rPr>
          <w:rFonts w:cs="Arial"/>
          <w:color w:val="000000" w:themeColor="text1"/>
          <w:sz w:val="22"/>
          <w:szCs w:val="22"/>
          <w:lang w:val="en-US"/>
          <w14:textFill>
            <w14:solidFill>
              <w14:schemeClr w14:val="tx1"/>
            </w14:solidFill>
          </w14:textFill>
        </w:rPr>
        <w:t xml:space="preserve"> - </w:t>
      </w:r>
      <w:r>
        <w:rPr>
          <w:rFonts w:ascii="Arial" w:hAnsi="Arial" w:eastAsia="Arial" w:cs="Arial"/>
          <w:color w:val="000000" w:themeColor="text1"/>
          <w:sz w:val="22"/>
          <w:szCs w:val="22"/>
          <w14:textFill>
            <w14:solidFill>
              <w14:schemeClr w14:val="tx1"/>
            </w14:solidFill>
          </w14:textFill>
        </w:rPr>
        <w:t>including the root user. They are evaluated by AWS before the request reaches IAM in the target account and cannot grant permissions, only restrict them. An SCP that denies ec2:TerminateInstances cannot be overridden by any IAM policy in that account, including AdministratorAccess.</w:t>
      </w:r>
    </w:p>
    <w:p w14:paraId="7948679C">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Permission Boundaries are an IAM-layer mechanism attached to individual roles or users. They define the ceiling of what that specific principal can be granted. A developer with permission to create IAM roles cannot create a role more powerful than their own boundary. However, a root user or a role without a boundary is unaffected by boundaries applied to other principals.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CA3378">
        <w:tc>
          <w:tcPr>
            <w:tcW w:w="9360" w:type="dxa"/>
            <w:tcBorders>
              <w:top w:val="nil"/>
              <w:left w:val="single" w:color="2E75B6" w:sz="24" w:space="0"/>
              <w:bottom w:val="nil"/>
              <w:right w:val="nil"/>
            </w:tcBorders>
            <w:shd w:val="clear" w:color="auto" w:fill="D6E4F7"/>
            <w:tcMar>
              <w:top w:w="100" w:type="dxa"/>
              <w:left w:w="200" w:type="dxa"/>
              <w:bottom w:w="100" w:type="dxa"/>
              <w:right w:w="120" w:type="dxa"/>
            </w:tcMar>
          </w:tcPr>
          <w:p w14:paraId="64E4790D">
            <w:pPr>
              <w:spacing w:before="0" w:after="0"/>
              <w:rPr>
                <w:color w:val="000000" w:themeColor="text1"/>
                <w14:textFill>
                  <w14:solidFill>
                    <w14:schemeClr w14:val="tx1"/>
                  </w14:solidFill>
                </w14:textFill>
              </w:rPr>
            </w:pPr>
            <w:r>
              <w:rPr>
                <w:rFonts w:ascii="Arial" w:hAnsi="Arial" w:eastAsia="Arial" w:cs="Arial"/>
                <w:i/>
                <w:iCs/>
                <w:color w:val="000000" w:themeColor="text1"/>
                <w:sz w:val="20"/>
                <w:szCs w:val="20"/>
                <w14:textFill>
                  <w14:solidFill>
                    <w14:schemeClr w14:val="tx1"/>
                  </w14:solidFill>
                </w14:textFill>
              </w:rPr>
              <w:t>Key distinction: SCPs protect at the account level against any principal including root. Permission Boundaries protect at the role level against privilege escalation within an account. Both are required for defence-in-depth</w:t>
            </w:r>
            <w:r>
              <w:rPr>
                <w:rFonts w:cs="Arial"/>
                <w:i/>
                <w:iCs/>
                <w:color w:val="000000" w:themeColor="text1"/>
                <w:sz w:val="20"/>
                <w:szCs w:val="20"/>
                <w:lang w:val="en-US"/>
                <w14:textFill>
                  <w14:solidFill>
                    <w14:schemeClr w14:val="tx1"/>
                  </w14:solidFill>
                </w14:textFill>
              </w:rPr>
              <w:t xml:space="preserve"> - </w:t>
            </w:r>
            <w:r>
              <w:rPr>
                <w:rFonts w:ascii="Arial" w:hAnsi="Arial" w:eastAsia="Arial" w:cs="Arial"/>
                <w:i/>
                <w:iCs/>
                <w:color w:val="000000" w:themeColor="text1"/>
                <w:sz w:val="20"/>
                <w:szCs w:val="20"/>
                <w14:textFill>
                  <w14:solidFill>
                    <w14:schemeClr w14:val="tx1"/>
                  </w14:solidFill>
                </w14:textFill>
              </w:rPr>
              <w:t>one does not replace the other.</w:t>
            </w:r>
          </w:p>
        </w:tc>
      </w:tr>
    </w:tbl>
    <w:p w14:paraId="6AA78CFE">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Q2: Why is OIDC preferred over long-lived credentials?</w:t>
      </w:r>
    </w:p>
    <w:p w14:paraId="649E82B2">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Long-lived IAM access keys are a persistent attack surface. They do not expire, can be accidentally committed to version control, must be manually rotated, and provide permanent access if stolen. Security incidents at major companies have resulted specifically from AWS credentials embedded in GitHub repositories.</w:t>
      </w:r>
    </w:p>
    <w:p w14:paraId="3DBD220B">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OIDC eliminates stored credentials entirely. When a GitHub Actions workflow runs, GitHub issues a signed short-lived JWT. AWS STS validates the token signature against the registered OIDC provider and returns temporary credentials valid for 15-60 minutes. The trust policy's StringLike condition on the sub claim means only the specific repository and branch can trigger credential issuance.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71BD67E">
        <w:tc>
          <w:tcPr>
            <w:tcW w:w="9360" w:type="dxa"/>
            <w:tcBorders>
              <w:top w:val="nil"/>
              <w:left w:val="single" w:color="2E75B6" w:sz="24" w:space="0"/>
              <w:bottom w:val="nil"/>
              <w:right w:val="nil"/>
            </w:tcBorders>
            <w:shd w:val="clear" w:color="auto" w:fill="D6E4F7"/>
            <w:tcMar>
              <w:top w:w="100" w:type="dxa"/>
              <w:left w:w="200" w:type="dxa"/>
              <w:bottom w:w="100" w:type="dxa"/>
              <w:right w:w="120" w:type="dxa"/>
            </w:tcMar>
          </w:tcPr>
          <w:p w14:paraId="61C29ED8">
            <w:pPr>
              <w:spacing w:before="0" w:after="0"/>
              <w:rPr>
                <w:color w:val="000000" w:themeColor="text1"/>
                <w14:textFill>
                  <w14:solidFill>
                    <w14:schemeClr w14:val="tx1"/>
                  </w14:solidFill>
                </w14:textFill>
              </w:rPr>
            </w:pPr>
            <w:r>
              <w:rPr>
                <w:rFonts w:ascii="Arial" w:hAnsi="Arial" w:eastAsia="Arial" w:cs="Arial"/>
                <w:i/>
                <w:iCs/>
                <w:color w:val="000000" w:themeColor="text1"/>
                <w:sz w:val="20"/>
                <w:szCs w:val="20"/>
                <w14:textFill>
                  <w14:solidFill>
                    <w14:schemeClr w14:val="tx1"/>
                  </w14:solidFill>
                </w14:textFill>
              </w:rPr>
              <w:t>The security improvement is categorical: there are no credentials to steal, rotate, audit, or revoke. An attacker who intercepts the STS response gets credentials that expire in minutes and cannot be refreshed without the OIDC token from GitHub.</w:t>
            </w:r>
          </w:p>
        </w:tc>
      </w:tr>
    </w:tbl>
    <w:p w14:paraId="630E8364">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Q3: How does Step Functions ensure consistent incident remediation?</w:t>
      </w:r>
    </w:p>
    <w:p w14:paraId="1D0C346A">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Lambda functions invoked directly are stateless and fire-and-forget. If a step fails, the workflow silently aborts with no retry, no audit trail, and no fallback notification. For security-critical workflows this is unacceptable.</w:t>
      </w:r>
    </w:p>
    <w:p w14:paraId="039AA0D0">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Step Functions provides durable, auditable orchestration. Each state is persisted before execution begins, so a Lambda timeout or AWS API throttle triggers the configured Retry policy (exponential backoff, configurable attempts) rather than failing silently. If retries are exhausted, the Catch block transitions to a FallbackNotify state that sends an SNS alert, ensuring the team knows the automation partially failed. Every state transition is logged with timestamps, inputs, outputs, and errors.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479818">
        <w:tc>
          <w:tcPr>
            <w:tcW w:w="9360" w:type="dxa"/>
            <w:tcBorders>
              <w:top w:val="nil"/>
              <w:left w:val="single" w:color="2E75B6" w:sz="24" w:space="0"/>
              <w:bottom w:val="nil"/>
              <w:right w:val="nil"/>
            </w:tcBorders>
            <w:shd w:val="clear" w:color="auto" w:fill="D6E4F7"/>
            <w:tcMar>
              <w:top w:w="100" w:type="dxa"/>
              <w:left w:w="200" w:type="dxa"/>
              <w:bottom w:w="100" w:type="dxa"/>
              <w:right w:w="120" w:type="dxa"/>
            </w:tcMar>
          </w:tcPr>
          <w:p w14:paraId="682BC098">
            <w:pPr>
              <w:spacing w:before="0" w:after="0"/>
              <w:rPr>
                <w:color w:val="000000" w:themeColor="text1"/>
                <w14:textFill>
                  <w14:solidFill>
                    <w14:schemeClr w14:val="tx1"/>
                  </w14:solidFill>
                </w14:textFill>
              </w:rPr>
            </w:pPr>
            <w:r>
              <w:rPr>
                <w:rFonts w:ascii="Arial" w:hAnsi="Arial" w:eastAsia="Arial" w:cs="Arial"/>
                <w:i/>
                <w:iCs/>
                <w:color w:val="000000" w:themeColor="text1"/>
                <w:sz w:val="20"/>
                <w:szCs w:val="20"/>
                <w14:textFill>
                  <w14:solidFill>
                    <w14:schemeClr w14:val="tx1"/>
                  </w14:solidFill>
                </w14:textFill>
              </w:rPr>
              <w:t>In this platform: if IsolateInstance fails after 3 retries, Step Functions still executes NotifyFailure</w:t>
            </w:r>
            <w:r>
              <w:rPr>
                <w:rFonts w:cs="Arial"/>
                <w:i/>
                <w:iCs/>
                <w:color w:val="000000" w:themeColor="text1"/>
                <w:sz w:val="20"/>
                <w:szCs w:val="20"/>
                <w:lang w:val="en-US"/>
                <w14:textFill>
                  <w14:solidFill>
                    <w14:schemeClr w14:val="tx1"/>
                  </w14:solidFill>
                </w14:textFill>
              </w:rPr>
              <w:t xml:space="preserve"> - </w:t>
            </w:r>
            <w:r>
              <w:rPr>
                <w:rFonts w:ascii="Arial" w:hAnsi="Arial" w:eastAsia="Arial" w:cs="Arial"/>
                <w:i/>
                <w:iCs/>
                <w:color w:val="000000" w:themeColor="text1"/>
                <w:sz w:val="20"/>
                <w:szCs w:val="20"/>
                <w14:textFill>
                  <w14:solidFill>
                    <w14:schemeClr w14:val="tx1"/>
                  </w14:solidFill>
                </w14:textFill>
              </w:rPr>
              <w:t>the team is alerted even when automation breaks. Without Step Functions, that failure would be invisible and the instance would remain unquarantined.</w:t>
            </w:r>
          </w:p>
        </w:tc>
      </w:tr>
    </w:tbl>
    <w:p w14:paraId="5FF72036">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Q4: Why should WAF be attached at the ALB rather than CloudFront?</w:t>
      </w:r>
    </w:p>
    <w:p w14:paraId="4B2B4FB8">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Both are valid WAF attachment points but the choice depends on the architecture and threat model. For this fintech platform, attaching WAF at the ALB is correct for three reasons.</w:t>
      </w:r>
    </w:p>
    <w:p w14:paraId="116EC18A">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First, the application serves authenticated API clients with dynamic, personalised responses</w:t>
      </w:r>
      <w:r>
        <w:rPr>
          <w:rFonts w:cs="Arial"/>
          <w:color w:val="000000" w:themeColor="text1"/>
          <w:sz w:val="22"/>
          <w:szCs w:val="22"/>
          <w:lang w:val="en-US"/>
          <w14:textFill>
            <w14:solidFill>
              <w14:schemeClr w14:val="tx1"/>
            </w14:solidFill>
          </w14:textFill>
        </w:rPr>
        <w:t xml:space="preserve"> - </w:t>
      </w:r>
      <w:r>
        <w:rPr>
          <w:rFonts w:ascii="Arial" w:hAnsi="Arial" w:eastAsia="Arial" w:cs="Arial"/>
          <w:color w:val="000000" w:themeColor="text1"/>
          <w:sz w:val="22"/>
          <w:szCs w:val="22"/>
          <w14:textFill>
            <w14:solidFill>
              <w14:schemeClr w14:val="tx1"/>
            </w14:solidFill>
          </w14:textFill>
        </w:rPr>
        <w:t>CloudFront adds edge caching for static content but does not reduce origin load for dynamic banking APIs. Adding CloudFront purely for WAF attachment adds latency and complexity without caching benefit.</w:t>
      </w:r>
    </w:p>
    <w:p w14:paraId="0F58035B">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Second, ALB attachment guarantees WAF coverage for all traffic reaching the application tier, regardless of origin. If CloudFront is the WAF attachment point but traffic can also reach the ALB directly (internal services, misconfigured security groups), WAF is bypassed. ALB attachment closes this gap.</w:t>
      </w:r>
    </w:p>
    <w:p w14:paraId="5D40F90E">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Third, WAF logs to a CloudWatch group in the same account as the application, simplifying correlation with ECS task logs and Lambda execution logs during incident response.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91272B">
        <w:tc>
          <w:tcPr>
            <w:tcW w:w="9360" w:type="dxa"/>
            <w:tcBorders>
              <w:top w:val="nil"/>
              <w:left w:val="single" w:color="2E75B6" w:sz="24" w:space="0"/>
              <w:bottom w:val="nil"/>
              <w:right w:val="nil"/>
            </w:tcBorders>
            <w:shd w:val="clear" w:color="auto" w:fill="D6E4F7"/>
            <w:tcMar>
              <w:top w:w="100" w:type="dxa"/>
              <w:left w:w="200" w:type="dxa"/>
              <w:bottom w:w="100" w:type="dxa"/>
              <w:right w:w="120" w:type="dxa"/>
            </w:tcMar>
          </w:tcPr>
          <w:p w14:paraId="73631F8B">
            <w:pPr>
              <w:spacing w:before="0" w:after="0"/>
              <w:rPr>
                <w:color w:val="000000" w:themeColor="text1"/>
                <w14:textFill>
                  <w14:solidFill>
                    <w14:schemeClr w14:val="tx1"/>
                  </w14:solidFill>
                </w14:textFill>
              </w:rPr>
            </w:pPr>
            <w:r>
              <w:rPr>
                <w:rFonts w:ascii="Arial" w:hAnsi="Arial" w:eastAsia="Arial" w:cs="Arial"/>
                <w:i/>
                <w:iCs/>
                <w:color w:val="000000" w:themeColor="text1"/>
                <w:sz w:val="20"/>
                <w:szCs w:val="20"/>
                <w14:textFill>
                  <w14:solidFill>
                    <w14:schemeClr w14:val="tx1"/>
                  </w14:solidFill>
                </w14:textFill>
              </w:rPr>
              <w:t>In a future phase: CloudFront would be added in front of the ALB for DDoS absorption and geographic blocking, with WAF attached at both layers</w:t>
            </w:r>
            <w:r>
              <w:rPr>
                <w:rFonts w:cs="Arial"/>
                <w:i/>
                <w:iCs/>
                <w:color w:val="000000" w:themeColor="text1"/>
                <w:sz w:val="20"/>
                <w:szCs w:val="20"/>
                <w:lang w:val="en-US"/>
                <w14:textFill>
                  <w14:solidFill>
                    <w14:schemeClr w14:val="tx1"/>
                  </w14:solidFill>
                </w14:textFill>
              </w:rPr>
              <w:t xml:space="preserve"> - </w:t>
            </w:r>
            <w:r>
              <w:rPr>
                <w:rFonts w:ascii="Arial" w:hAnsi="Arial" w:eastAsia="Arial" w:cs="Arial"/>
                <w:i/>
                <w:iCs/>
                <w:color w:val="000000" w:themeColor="text1"/>
                <w:sz w:val="20"/>
                <w:szCs w:val="20"/>
                <w14:textFill>
                  <w14:solidFill>
                    <w14:schemeClr w14:val="tx1"/>
                  </w14:solidFill>
                </w14:textFill>
              </w:rPr>
              <w:t>CloudFront for global edge protection, ALB for application-layer rule enforcement close to the workload.</w:t>
            </w:r>
          </w:p>
        </w:tc>
      </w:tr>
    </w:tbl>
    <w:p w14:paraId="6F69C17A">
      <w:pPr>
        <w:spacing w:before="120" w:after="0"/>
        <w:rPr>
          <w:color w:val="000000" w:themeColor="text1"/>
          <w14:textFill>
            <w14:solidFill>
              <w14:schemeClr w14:val="tx1"/>
            </w14:solidFill>
          </w14:textFill>
        </w:rPr>
      </w:pPr>
    </w:p>
    <w:p w14:paraId="08D71F4A">
      <w:pPr>
        <w:spacing w:before="120" w:after="0"/>
        <w:rPr>
          <w:color w:val="000000" w:themeColor="text1"/>
          <w14:textFill>
            <w14:solidFill>
              <w14:schemeClr w14:val="tx1"/>
            </w14:solidFill>
          </w14:textFill>
        </w:rPr>
      </w:pPr>
    </w:p>
    <w:p w14:paraId="7F1F22B5">
      <w:pPr>
        <w:spacing w:before="120" w:after="0"/>
        <w:rPr>
          <w:color w:val="000000" w:themeColor="text1"/>
          <w14:textFill>
            <w14:solidFill>
              <w14:schemeClr w14:val="tx1"/>
            </w14:solidFill>
          </w14:textFill>
        </w:rPr>
      </w:pPr>
    </w:p>
    <w:p w14:paraId="3047EB0E">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Q5: Why is auto-remediation critical for compliance?</w:t>
      </w:r>
    </w:p>
    <w:p w14:paraId="3709B1C7">
      <w:pPr>
        <w:spacing w:before="60" w:after="10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Manual compliance processes cannot scale or keep pace with cloud infrastructure. In an environment where Terraform can create dozens of resources per deploy, waiting for a weekly compliance review means violations exist for days. For a Central Bank of Kenya regulated institution, each hour of non-compliance is potential regulatory exposure.</w:t>
      </w:r>
    </w:p>
    <w:p w14:paraId="0A1448CE">
      <w:pPr>
        <w:spacing w:before="60" w:after="100"/>
        <w:jc w:val="both"/>
        <w:rPr>
          <w:rFonts w:ascii="Arial" w:hAnsi="Arial" w:eastAsia="Arial" w:cs="Arial"/>
          <w:color w:val="000000" w:themeColor="text1"/>
          <w:sz w:val="22"/>
          <w:szCs w:val="22"/>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Auto-remediation converts compliance from a periodic audit function into a continuous enforcement system. When Config detects an unencrypted S3 bucket at 02:00 on a Sunday, SSM Automation applies encryption within 5 minutes</w:t>
      </w:r>
      <w:r>
        <w:rPr>
          <w:rFonts w:cs="Arial"/>
          <w:color w:val="000000" w:themeColor="text1"/>
          <w:sz w:val="22"/>
          <w:szCs w:val="22"/>
          <w:lang w:val="en-US"/>
          <w14:textFill>
            <w14:solidFill>
              <w14:schemeClr w14:val="tx1"/>
            </w14:solidFill>
          </w14:textFill>
        </w:rPr>
        <w:t xml:space="preserve"> - </w:t>
      </w:r>
      <w:r>
        <w:rPr>
          <w:rFonts w:ascii="Arial" w:hAnsi="Arial" w:eastAsia="Arial" w:cs="Arial"/>
          <w:color w:val="000000" w:themeColor="text1"/>
          <w:sz w:val="22"/>
          <w:szCs w:val="22"/>
          <w14:textFill>
            <w14:solidFill>
              <w14:schemeClr w14:val="tx1"/>
            </w14:solidFill>
          </w14:textFill>
        </w:rPr>
        <w:t>no ticket, no human, no delay. The audit trail (Config timeline, CloudTrail API calls, SSM Automation execution history) proves to regulators that the violation existed for minutes, not days.</w:t>
      </w:r>
    </w:p>
    <w:p w14:paraId="1AF8AEBD">
      <w:pPr>
        <w:spacing w:before="60" w:after="100"/>
        <w:jc w:val="both"/>
        <w:rPr>
          <w:rFonts w:ascii="Arial" w:hAnsi="Arial" w:eastAsia="Arial" w:cs="Arial"/>
          <w:color w:val="000000" w:themeColor="text1"/>
          <w:sz w:val="22"/>
          <w:szCs w:val="22"/>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90B749">
        <w:tc>
          <w:tcPr>
            <w:tcW w:w="9360" w:type="dxa"/>
            <w:tcBorders>
              <w:top w:val="nil"/>
              <w:left w:val="single" w:color="2E75B6" w:sz="24" w:space="0"/>
              <w:bottom w:val="nil"/>
              <w:right w:val="nil"/>
            </w:tcBorders>
            <w:shd w:val="clear" w:color="auto" w:fill="D6E4F7"/>
            <w:tcMar>
              <w:top w:w="100" w:type="dxa"/>
              <w:left w:w="200" w:type="dxa"/>
              <w:bottom w:w="100" w:type="dxa"/>
              <w:right w:w="120" w:type="dxa"/>
            </w:tcMar>
          </w:tcPr>
          <w:p w14:paraId="6245E809">
            <w:pPr>
              <w:spacing w:before="0" w:after="0"/>
              <w:rPr>
                <w:color w:val="000000" w:themeColor="text1"/>
                <w14:textFill>
                  <w14:solidFill>
                    <w14:schemeClr w14:val="tx1"/>
                  </w14:solidFill>
                </w14:textFill>
              </w:rPr>
            </w:pPr>
            <w:r>
              <w:rPr>
                <w:rFonts w:ascii="Arial" w:hAnsi="Arial" w:eastAsia="Arial" w:cs="Arial"/>
                <w:i/>
                <w:iCs/>
                <w:color w:val="000000" w:themeColor="text1"/>
                <w:sz w:val="20"/>
                <w:szCs w:val="20"/>
                <w14:textFill>
                  <w14:solidFill>
                    <w14:schemeClr w14:val="tx1"/>
                  </w14:solidFill>
                </w14:textFill>
              </w:rPr>
              <w:t>Risk tradeoff acknowledged: aggressive auto-remediation can break applications if a configuration is intentional. This is mitigated by applying auto-remediation only to rules with non-destructive, well-understood remediations (applying encryption, blocking public access) and using alert-only for rules where automated action could cause disruption (removing public IPs from running instances).</w:t>
            </w:r>
          </w:p>
        </w:tc>
      </w:tr>
    </w:tbl>
    <w:p w14:paraId="52476D6D">
      <w:pPr>
        <w:rPr>
          <w:color w:val="000000" w:themeColor="text1"/>
          <w14:textFill>
            <w14:solidFill>
              <w14:schemeClr w14:val="tx1"/>
            </w14:solidFill>
          </w14:textFill>
        </w:rPr>
      </w:pPr>
    </w:p>
    <w:p w14:paraId="1D1D7E40">
      <w:pPr>
        <w:pStyle w:val="2"/>
        <w:numPr>
          <w:ilvl w:val="0"/>
          <w:numId w:val="1"/>
        </w:numPr>
        <w:pBdr>
          <w:bottom w:val="single" w:color="2E75B6" w:sz="10" w:space="4"/>
        </w:pBdr>
        <w:spacing w:before="400" w:after="160"/>
        <w:ind w:left="425" w:leftChars="0" w:hanging="425" w:firstLineChars="0"/>
        <w:rPr>
          <w:rFonts w:ascii="Arial" w:hAnsi="Arial" w:eastAsia="Arial" w:cs="Arial"/>
          <w:b/>
          <w:bCs/>
          <w:color w:val="000000" w:themeColor="text1"/>
          <w:sz w:val="34"/>
          <w:szCs w:val="34"/>
          <w14:textFill>
            <w14:solidFill>
              <w14:schemeClr w14:val="tx1"/>
            </w14:solidFill>
          </w14:textFill>
        </w:rPr>
      </w:pPr>
      <w:r>
        <w:rPr>
          <w:rFonts w:ascii="Arial" w:hAnsi="Arial" w:eastAsia="Arial" w:cs="Arial"/>
          <w:b/>
          <w:bCs/>
          <w:color w:val="000000" w:themeColor="text1"/>
          <w:sz w:val="34"/>
          <w:szCs w:val="34"/>
          <w14:textFill>
            <w14:solidFill>
              <w14:schemeClr w14:val="tx1"/>
            </w14:solidFill>
          </w14:textFill>
        </w:rPr>
        <w:t>DevOps and AWS Best Practices Alignment</w:t>
      </w:r>
    </w:p>
    <w:p w14:paraId="332D651D">
      <w:pPr>
        <w:spacing w:before="6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155365BA">
        <w:tc>
          <w:tcPr>
            <w:tcW w:w="3120"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510E65EA">
            <w:pPr>
              <w:spacing w:before="0" w:after="0"/>
              <w:rPr>
                <w:color w:val="FFFFFF"/>
              </w:rPr>
            </w:pPr>
            <w:r>
              <w:rPr>
                <w:rFonts w:ascii="Arial" w:hAnsi="Arial" w:eastAsia="Arial" w:cs="Arial"/>
                <w:b/>
                <w:bCs/>
                <w:color w:val="FFFFFF"/>
                <w:sz w:val="20"/>
                <w:szCs w:val="20"/>
              </w:rPr>
              <w:t>Principle</w:t>
            </w:r>
          </w:p>
        </w:tc>
        <w:tc>
          <w:tcPr>
            <w:tcW w:w="6240"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464194C6">
            <w:pPr>
              <w:spacing w:before="0" w:after="0"/>
              <w:rPr>
                <w:color w:val="FFFFFF"/>
              </w:rPr>
            </w:pPr>
            <w:r>
              <w:rPr>
                <w:rFonts w:ascii="Arial" w:hAnsi="Arial" w:eastAsia="Arial" w:cs="Arial"/>
                <w:b/>
                <w:bCs/>
                <w:color w:val="FFFFFF"/>
                <w:sz w:val="20"/>
                <w:szCs w:val="20"/>
              </w:rPr>
              <w:t>Implementation</w:t>
            </w:r>
          </w:p>
        </w:tc>
      </w:tr>
      <w:tr w14:paraId="7354CC43">
        <w:tc>
          <w:tcPr>
            <w:tcW w:w="3120"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52A6604">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Infrastructure as Code</w:t>
            </w:r>
          </w:p>
        </w:tc>
        <w:tc>
          <w:tcPr>
            <w:tcW w:w="6240"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5C8B498C">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100% Terraform</w:t>
            </w:r>
            <w:r>
              <w:rPr>
                <w:rFonts w:cs="Arial"/>
                <w:b w:val="0"/>
                <w:bCs w:val="0"/>
                <w:color w:val="000000" w:themeColor="text1"/>
                <w:sz w:val="20"/>
                <w:szCs w:val="20"/>
                <w:lang w:val="en-US"/>
                <w14:textFill>
                  <w14:solidFill>
                    <w14:schemeClr w14:val="tx1"/>
                  </w14:solidFill>
                </w14:textFill>
              </w:rPr>
              <w:t xml:space="preserve"> - </w:t>
            </w:r>
            <w:r>
              <w:rPr>
                <w:rFonts w:ascii="Arial" w:hAnsi="Arial" w:eastAsia="Arial" w:cs="Arial"/>
                <w:b w:val="0"/>
                <w:bCs w:val="0"/>
                <w:color w:val="000000" w:themeColor="text1"/>
                <w:sz w:val="20"/>
                <w:szCs w:val="20"/>
                <w14:textFill>
                  <w14:solidFill>
                    <w14:schemeClr w14:val="tx1"/>
                  </w14:solidFill>
                </w14:textFill>
              </w:rPr>
              <w:t>no manual console configuration in production</w:t>
            </w:r>
          </w:p>
        </w:tc>
      </w:tr>
      <w:tr w14:paraId="4CD20D95">
        <w:tc>
          <w:tcPr>
            <w:tcW w:w="31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467E9B58">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Shift-Left Security</w:t>
            </w:r>
          </w:p>
        </w:tc>
        <w:tc>
          <w:tcPr>
            <w:tcW w:w="62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17294DC3">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OIDC blocks unauthorised deployments before code reaches AWS</w:t>
            </w:r>
          </w:p>
        </w:tc>
      </w:tr>
      <w:tr w14:paraId="5461BF7A">
        <w:tc>
          <w:tcPr>
            <w:tcW w:w="312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A967FB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Immutable Infrastructure</w:t>
            </w:r>
          </w:p>
        </w:tc>
        <w:tc>
          <w:tcPr>
            <w:tcW w:w="62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6C698CDA">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ECS Fargate tasks replaced on deploy, never patched in-place</w:t>
            </w:r>
          </w:p>
        </w:tc>
      </w:tr>
      <w:tr w14:paraId="5B8CB862">
        <w:tc>
          <w:tcPr>
            <w:tcW w:w="31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1AD523E9">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Least Privilege</w:t>
            </w:r>
          </w:p>
        </w:tc>
        <w:tc>
          <w:tcPr>
            <w:tcW w:w="62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0768EFC7">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Permission boundaries + scoped OIDC trust + Lambda execution roles</w:t>
            </w:r>
          </w:p>
        </w:tc>
      </w:tr>
      <w:tr w14:paraId="7B3F0A96">
        <w:tc>
          <w:tcPr>
            <w:tcW w:w="312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44B21FC0">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Defence in Depth</w:t>
            </w:r>
          </w:p>
        </w:tc>
        <w:tc>
          <w:tcPr>
            <w:tcW w:w="62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5FE471D4">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 xml:space="preserve">WAF </w:t>
            </w:r>
            <w:r>
              <w:rPr>
                <w:rFonts w:cs="Arial"/>
                <w:b w:val="0"/>
                <w:bCs w:val="0"/>
                <w:color w:val="000000" w:themeColor="text1"/>
                <w:sz w:val="20"/>
                <w:szCs w:val="20"/>
                <w:lang w:val="en-US"/>
                <w14:textFill>
                  <w14:solidFill>
                    <w14:schemeClr w14:val="tx1"/>
                  </w14:solidFill>
                </w14:textFill>
              </w:rPr>
              <w:t>-&gt;</w:t>
            </w:r>
            <w:r>
              <w:rPr>
                <w:rFonts w:ascii="Arial" w:hAnsi="Arial" w:eastAsia="Arial" w:cs="Arial"/>
                <w:b w:val="0"/>
                <w:bCs w:val="0"/>
                <w:color w:val="000000" w:themeColor="text1"/>
                <w:sz w:val="20"/>
                <w:szCs w:val="20"/>
                <w14:textFill>
                  <w14:solidFill>
                    <w14:schemeClr w14:val="tx1"/>
                  </w14:solidFill>
                </w14:textFill>
              </w:rPr>
              <w:t xml:space="preserve"> ALB </w:t>
            </w:r>
            <w:r>
              <w:rPr>
                <w:rFonts w:cs="Arial"/>
                <w:b w:val="0"/>
                <w:bCs w:val="0"/>
                <w:color w:val="000000" w:themeColor="text1"/>
                <w:sz w:val="20"/>
                <w:szCs w:val="20"/>
                <w:lang w:val="en-US"/>
                <w14:textFill>
                  <w14:solidFill>
                    <w14:schemeClr w14:val="tx1"/>
                  </w14:solidFill>
                </w14:textFill>
              </w:rPr>
              <w:t>-&gt;</w:t>
            </w:r>
            <w:r>
              <w:rPr>
                <w:rFonts w:ascii="Arial" w:hAnsi="Arial" w:eastAsia="Arial" w:cs="Arial"/>
                <w:b w:val="0"/>
                <w:bCs w:val="0"/>
                <w:color w:val="000000" w:themeColor="text1"/>
                <w:sz w:val="20"/>
                <w:szCs w:val="20"/>
                <w14:textFill>
                  <w14:solidFill>
                    <w14:schemeClr w14:val="tx1"/>
                  </w14:solidFill>
                </w14:textFill>
              </w:rPr>
              <w:t xml:space="preserve"> ECS </w:t>
            </w:r>
            <w:r>
              <w:rPr>
                <w:rFonts w:cs="Arial"/>
                <w:b w:val="0"/>
                <w:bCs w:val="0"/>
                <w:color w:val="000000" w:themeColor="text1"/>
                <w:sz w:val="20"/>
                <w:szCs w:val="20"/>
                <w:lang w:val="en-US"/>
                <w14:textFill>
                  <w14:solidFill>
                    <w14:schemeClr w14:val="tx1"/>
                  </w14:solidFill>
                </w14:textFill>
              </w:rPr>
              <w:t>-&gt;</w:t>
            </w:r>
            <w:r>
              <w:rPr>
                <w:rFonts w:ascii="Arial" w:hAnsi="Arial" w:eastAsia="Arial" w:cs="Arial"/>
                <w:b w:val="0"/>
                <w:bCs w:val="0"/>
                <w:color w:val="000000" w:themeColor="text1"/>
                <w:sz w:val="20"/>
                <w:szCs w:val="20"/>
                <w14:textFill>
                  <w14:solidFill>
                    <w14:schemeClr w14:val="tx1"/>
                  </w14:solidFill>
                </w14:textFill>
              </w:rPr>
              <w:t xml:space="preserve"> KMS (4 independent security layers)</w:t>
            </w:r>
          </w:p>
        </w:tc>
      </w:tr>
      <w:tr w14:paraId="07DFA002">
        <w:tc>
          <w:tcPr>
            <w:tcW w:w="31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291E2E6B">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Automated Compliance</w:t>
            </w:r>
          </w:p>
        </w:tc>
        <w:tc>
          <w:tcPr>
            <w:tcW w:w="62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4A5C7DF3">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Config + SSM Automation</w:t>
            </w:r>
            <w:r>
              <w:rPr>
                <w:rFonts w:cs="Arial"/>
                <w:b w:val="0"/>
                <w:bCs w:val="0"/>
                <w:color w:val="000000" w:themeColor="text1"/>
                <w:sz w:val="20"/>
                <w:szCs w:val="20"/>
                <w:lang w:val="en-US"/>
                <w14:textFill>
                  <w14:solidFill>
                    <w14:schemeClr w14:val="tx1"/>
                  </w14:solidFill>
                </w14:textFill>
              </w:rPr>
              <w:t xml:space="preserve"> - </w:t>
            </w:r>
            <w:r>
              <w:rPr>
                <w:rFonts w:ascii="Arial" w:hAnsi="Arial" w:eastAsia="Arial" w:cs="Arial"/>
                <w:b w:val="0"/>
                <w:bCs w:val="0"/>
                <w:color w:val="000000" w:themeColor="text1"/>
                <w:sz w:val="20"/>
                <w:szCs w:val="20"/>
                <w14:textFill>
                  <w14:solidFill>
                    <w14:schemeClr w14:val="tx1"/>
                  </w14:solidFill>
                </w14:textFill>
              </w:rPr>
              <w:t>zero-touch remediation</w:t>
            </w:r>
          </w:p>
        </w:tc>
      </w:tr>
      <w:tr w14:paraId="4C9CB7BF">
        <w:tc>
          <w:tcPr>
            <w:tcW w:w="312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694817FE">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Observability</w:t>
            </w:r>
          </w:p>
        </w:tc>
        <w:tc>
          <w:tcPr>
            <w:tcW w:w="62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03F13610">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CloudWatch, CloudTrail, WAF logs, GuardDuty, Security Hub centralised</w:t>
            </w:r>
          </w:p>
        </w:tc>
      </w:tr>
      <w:tr w14:paraId="497A13EA">
        <w:tc>
          <w:tcPr>
            <w:tcW w:w="312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2E310974">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Resilience</w:t>
            </w:r>
          </w:p>
        </w:tc>
        <w:tc>
          <w:tcPr>
            <w:tcW w:w="62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263F793D">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Step Functions retry + Catch ensures partial failures are surfaced</w:t>
            </w:r>
          </w:p>
        </w:tc>
      </w:tr>
    </w:tbl>
    <w:p w14:paraId="24B413E9">
      <w:pPr>
        <w:spacing w:before="120" w:after="0"/>
        <w:rPr>
          <w:color w:val="000000" w:themeColor="text1"/>
          <w14:textFill>
            <w14:solidFill>
              <w14:schemeClr w14:val="tx1"/>
            </w14:solidFill>
          </w14:textFill>
        </w:rPr>
      </w:pPr>
    </w:p>
    <w:p w14:paraId="2C4F1D39">
      <w:pPr>
        <w:spacing w:before="120" w:after="0"/>
        <w:rPr>
          <w:color w:val="000000" w:themeColor="text1"/>
          <w14:textFill>
            <w14:solidFill>
              <w14:schemeClr w14:val="tx1"/>
            </w14:solidFill>
          </w14:textFill>
        </w:rPr>
      </w:pPr>
    </w:p>
    <w:p w14:paraId="6C33B286">
      <w:pPr>
        <w:spacing w:before="120" w:after="0"/>
        <w:rPr>
          <w:color w:val="000000" w:themeColor="text1"/>
          <w14:textFill>
            <w14:solidFill>
              <w14:schemeClr w14:val="tx1"/>
            </w14:solidFill>
          </w14:textFill>
        </w:rPr>
      </w:pPr>
      <w:bookmarkStart w:id="0" w:name="_GoBack"/>
      <w:bookmarkEnd w:id="0"/>
    </w:p>
    <w:p w14:paraId="75A480D2">
      <w:pPr>
        <w:spacing w:before="120" w:after="0"/>
        <w:rPr>
          <w:color w:val="000000" w:themeColor="text1"/>
          <w14:textFill>
            <w14:solidFill>
              <w14:schemeClr w14:val="tx1"/>
            </w14:solidFill>
          </w14:textFill>
        </w:rPr>
      </w:pPr>
    </w:p>
    <w:p w14:paraId="66BFF2B3">
      <w:pPr>
        <w:pStyle w:val="2"/>
        <w:pBdr>
          <w:bottom w:val="single" w:color="2E75B6" w:sz="10" w:space="4"/>
        </w:pBdr>
        <w:spacing w:before="400" w:after="160"/>
        <w:rPr>
          <w:color w:val="000000" w:themeColor="text1"/>
          <w14:textFill>
            <w14:solidFill>
              <w14:schemeClr w14:val="tx1"/>
            </w14:solidFill>
          </w14:textFill>
        </w:rPr>
      </w:pPr>
      <w:r>
        <w:rPr>
          <w:rFonts w:ascii="Arial" w:hAnsi="Arial" w:eastAsia="Arial" w:cs="Arial"/>
          <w:b/>
          <w:bCs/>
          <w:color w:val="000000" w:themeColor="text1"/>
          <w:sz w:val="34"/>
          <w:szCs w:val="34"/>
          <w14:textFill>
            <w14:solidFill>
              <w14:schemeClr w14:val="tx1"/>
            </w14:solidFill>
          </w14:textFill>
        </w:rPr>
        <w:t>Appendix</w:t>
      </w:r>
      <w:r>
        <w:rPr>
          <w:rFonts w:cs="Arial"/>
          <w:b/>
          <w:bCs/>
          <w:color w:val="000000" w:themeColor="text1"/>
          <w:sz w:val="34"/>
          <w:szCs w:val="34"/>
          <w:lang w:val="en-US"/>
          <w14:textFill>
            <w14:solidFill>
              <w14:schemeClr w14:val="tx1"/>
            </w14:solidFill>
          </w14:textFill>
        </w:rPr>
        <w:t xml:space="preserve"> - </w:t>
      </w:r>
      <w:r>
        <w:rPr>
          <w:rFonts w:ascii="Arial" w:hAnsi="Arial" w:eastAsia="Arial" w:cs="Arial"/>
          <w:b/>
          <w:bCs/>
          <w:color w:val="000000" w:themeColor="text1"/>
          <w:sz w:val="34"/>
          <w:szCs w:val="34"/>
          <w14:textFill>
            <w14:solidFill>
              <w14:schemeClr w14:val="tx1"/>
            </w14:solidFill>
          </w14:textFill>
        </w:rPr>
        <w:t>Deployed Resources Summary</w:t>
      </w:r>
    </w:p>
    <w:p w14:paraId="79BD6FE6">
      <w:pPr>
        <w:spacing w:before="6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744"/>
        <w:gridCol w:w="3276"/>
      </w:tblGrid>
      <w:tr w14:paraId="7EAF33FC">
        <w:tc>
          <w:tcPr>
            <w:tcW w:w="2340"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535ADE5B">
            <w:pPr>
              <w:spacing w:before="0" w:after="0"/>
              <w:rPr>
                <w:color w:val="FFFFFF"/>
              </w:rPr>
            </w:pPr>
            <w:r>
              <w:rPr>
                <w:rFonts w:ascii="Arial" w:hAnsi="Arial" w:eastAsia="Arial" w:cs="Arial"/>
                <w:b/>
                <w:bCs/>
                <w:color w:val="FFFFFF"/>
                <w:sz w:val="20"/>
                <w:szCs w:val="20"/>
              </w:rPr>
              <w:t>Resource</w:t>
            </w:r>
          </w:p>
        </w:tc>
        <w:tc>
          <w:tcPr>
            <w:tcW w:w="3744"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78B3A7D4">
            <w:pPr>
              <w:spacing w:before="0" w:after="0"/>
              <w:rPr>
                <w:color w:val="FFFFFF"/>
              </w:rPr>
            </w:pPr>
            <w:r>
              <w:rPr>
                <w:rFonts w:ascii="Arial" w:hAnsi="Arial" w:eastAsia="Arial" w:cs="Arial"/>
                <w:b/>
                <w:bCs/>
                <w:color w:val="FFFFFF"/>
                <w:sz w:val="20"/>
                <w:szCs w:val="20"/>
              </w:rPr>
              <w:t>Name / ID</w:t>
            </w:r>
          </w:p>
        </w:tc>
        <w:tc>
          <w:tcPr>
            <w:tcW w:w="3276" w:type="dxa"/>
            <w:tcBorders>
              <w:top w:val="single" w:color="F79646" w:sz="8" w:space="0"/>
              <w:left w:val="single" w:color="F79646" w:sz="8" w:space="0"/>
              <w:bottom w:val="single" w:color="FFFFFF" w:sz="18" w:space="0"/>
              <w:right w:val="single" w:color="F79646" w:sz="8" w:space="0"/>
            </w:tcBorders>
            <w:shd w:val="clear" w:color="auto" w:fill="F79646"/>
            <w:tcMar>
              <w:top w:w="80" w:type="dxa"/>
              <w:left w:w="120" w:type="dxa"/>
              <w:bottom w:w="80" w:type="dxa"/>
              <w:right w:w="120" w:type="dxa"/>
            </w:tcMar>
          </w:tcPr>
          <w:p w14:paraId="50D3D889">
            <w:pPr>
              <w:spacing w:before="0" w:after="0"/>
              <w:rPr>
                <w:color w:val="FFFFFF"/>
              </w:rPr>
            </w:pPr>
            <w:r>
              <w:rPr>
                <w:rFonts w:ascii="Arial" w:hAnsi="Arial" w:eastAsia="Arial" w:cs="Arial"/>
                <w:b/>
                <w:bCs/>
                <w:color w:val="FFFFFF"/>
                <w:sz w:val="20"/>
                <w:szCs w:val="20"/>
              </w:rPr>
              <w:t>Purpose</w:t>
            </w:r>
          </w:p>
        </w:tc>
      </w:tr>
      <w:tr w14:paraId="4DF36AAC">
        <w:tc>
          <w:tcPr>
            <w:tcW w:w="2340"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0AEFFAA4">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AWS Organizations</w:t>
            </w:r>
          </w:p>
        </w:tc>
        <w:tc>
          <w:tcPr>
            <w:tcW w:w="3744"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56F8C2DF">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o-kjzg12qnkg</w:t>
            </w:r>
          </w:p>
        </w:tc>
        <w:tc>
          <w:tcPr>
            <w:tcW w:w="3276" w:type="dxa"/>
            <w:tcBorders>
              <w:top w:val="single" w:color="FFFFFF" w:sz="1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227702B9">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Multi-account governance</w:t>
            </w:r>
          </w:p>
        </w:tc>
      </w:tr>
      <w:tr w14:paraId="7864744D">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2CAF70F4">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SCP</w:t>
            </w:r>
          </w:p>
        </w:tc>
        <w:tc>
          <w:tcPr>
            <w:tcW w:w="3744"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12DF2CB3">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DenyDestructiveActions</w:t>
            </w:r>
          </w:p>
        </w:tc>
        <w:tc>
          <w:tcPr>
            <w:tcW w:w="3276"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3576DCA7">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Block TerminateInstances + StopLogging in Prod OU</w:t>
            </w:r>
          </w:p>
        </w:tc>
      </w:tr>
      <w:tr w14:paraId="75D308BF">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9C1F60A">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CloudTrail</w:t>
            </w:r>
          </w:p>
        </w:tc>
        <w:tc>
          <w:tcPr>
            <w:tcW w:w="3744"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1A05FF14">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fintech-trail</w:t>
            </w:r>
          </w:p>
        </w:tc>
        <w:tc>
          <w:tcPr>
            <w:tcW w:w="3276"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22C12CAB">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Org-wide audit logging</w:t>
            </w:r>
          </w:p>
        </w:tc>
      </w:tr>
      <w:tr w14:paraId="35419281">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18DBF7E1">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IAM Policy</w:t>
            </w:r>
          </w:p>
        </w:tc>
        <w:tc>
          <w:tcPr>
            <w:tcW w:w="3744"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5CCE0BC6">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DevOpsBoundary</w:t>
            </w:r>
          </w:p>
        </w:tc>
        <w:tc>
          <w:tcPr>
            <w:tcW w:w="3276"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4D925C5B">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Permission ceiling for DevOps roles</w:t>
            </w:r>
          </w:p>
        </w:tc>
      </w:tr>
      <w:tr w14:paraId="4F082691">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57A18BDE">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IAM Role</w:t>
            </w:r>
          </w:p>
        </w:tc>
        <w:tc>
          <w:tcPr>
            <w:tcW w:w="3744"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00D9783D">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DevOpsEngineer</w:t>
            </w:r>
          </w:p>
        </w:tc>
        <w:tc>
          <w:tcPr>
            <w:tcW w:w="3276"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5F1B654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Bounded DevOps role</w:t>
            </w:r>
          </w:p>
        </w:tc>
      </w:tr>
      <w:tr w14:paraId="65D353E5">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724F8B36">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OIDC Provider</w:t>
            </w:r>
          </w:p>
        </w:tc>
        <w:tc>
          <w:tcPr>
            <w:tcW w:w="3744"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0A3CEFBE">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token.actions.githubusercontent.com</w:t>
            </w:r>
          </w:p>
        </w:tc>
        <w:tc>
          <w:tcPr>
            <w:tcW w:w="3276"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463130A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GitHub Actions federation</w:t>
            </w:r>
          </w:p>
        </w:tc>
      </w:tr>
      <w:tr w14:paraId="61C2DFF7">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19E77641">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IAM Role</w:t>
            </w:r>
          </w:p>
        </w:tc>
        <w:tc>
          <w:tcPr>
            <w:tcW w:w="3744"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67434129">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GitHubActionsDeployRole</w:t>
            </w:r>
          </w:p>
        </w:tc>
        <w:tc>
          <w:tcPr>
            <w:tcW w:w="3276"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141C603B">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OIDC-assumed deploy role</w:t>
            </w:r>
          </w:p>
        </w:tc>
      </w:tr>
      <w:tr w14:paraId="2A181214">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2480314A">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GuardDuty</w:t>
            </w:r>
          </w:p>
        </w:tc>
        <w:tc>
          <w:tcPr>
            <w:tcW w:w="3744"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32ECB8C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22cf3ca6e5a86e3b2c97532981bcfc4b</w:t>
            </w:r>
          </w:p>
        </w:tc>
        <w:tc>
          <w:tcPr>
            <w:tcW w:w="3276"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51DB9B51">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Threat detection</w:t>
            </w:r>
          </w:p>
        </w:tc>
      </w:tr>
      <w:tr w14:paraId="0103F7B3">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27A5EF64">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Step Functions</w:t>
            </w:r>
          </w:p>
        </w:tc>
        <w:tc>
          <w:tcPr>
            <w:tcW w:w="3744"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64BC6A7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fintech-incident-response</w:t>
            </w:r>
          </w:p>
        </w:tc>
        <w:tc>
          <w:tcPr>
            <w:tcW w:w="3276"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2B035AA4">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Incident orchestration</w:t>
            </w:r>
          </w:p>
        </w:tc>
      </w:tr>
      <w:tr w14:paraId="53E695A3">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5DCD239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Lambda</w:t>
            </w:r>
          </w:p>
        </w:tc>
        <w:tc>
          <w:tcPr>
            <w:tcW w:w="3744"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6741D950">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fintech-incident-response</w:t>
            </w:r>
          </w:p>
        </w:tc>
        <w:tc>
          <w:tcPr>
            <w:tcW w:w="3276"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1CA50B1E">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Isolation + notification</w:t>
            </w:r>
          </w:p>
        </w:tc>
      </w:tr>
      <w:tr w14:paraId="6971D89C">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200321E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SNS Topic</w:t>
            </w:r>
          </w:p>
        </w:tc>
        <w:tc>
          <w:tcPr>
            <w:tcW w:w="3744"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79EC83B6">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fintech-security-alerts</w:t>
            </w:r>
          </w:p>
        </w:tc>
        <w:tc>
          <w:tcPr>
            <w:tcW w:w="3276"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7554B7BD">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Security team notifications</w:t>
            </w:r>
          </w:p>
        </w:tc>
      </w:tr>
      <w:tr w14:paraId="3351C682">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4676835C">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Config Rule</w:t>
            </w:r>
          </w:p>
        </w:tc>
        <w:tc>
          <w:tcPr>
            <w:tcW w:w="3744"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72B56AB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s3-bucket-server-side-encryption-enabled</w:t>
            </w:r>
          </w:p>
        </w:tc>
        <w:tc>
          <w:tcPr>
            <w:tcW w:w="3276"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6B8AFAF6">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Encryption compliance</w:t>
            </w:r>
          </w:p>
        </w:tc>
      </w:tr>
      <w:tr w14:paraId="3C3A186E">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2F81BAB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Security Hub</w:t>
            </w:r>
          </w:p>
        </w:tc>
        <w:tc>
          <w:tcPr>
            <w:tcW w:w="3744"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6391335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FSBP standard enabled</w:t>
            </w:r>
          </w:p>
        </w:tc>
        <w:tc>
          <w:tcPr>
            <w:tcW w:w="3276"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1BE8E65E">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Findings aggregation</w:t>
            </w:r>
          </w:p>
        </w:tc>
      </w:tr>
      <w:tr w14:paraId="300AC038">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74CD069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WAF Web ACL</w:t>
            </w:r>
          </w:p>
        </w:tc>
        <w:tc>
          <w:tcPr>
            <w:tcW w:w="3744"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0D14F594">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fintech-webacl</w:t>
            </w:r>
          </w:p>
        </w:tc>
        <w:tc>
          <w:tcPr>
            <w:tcW w:w="3276"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1619FDDF">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Edge protection</w:t>
            </w:r>
          </w:p>
        </w:tc>
      </w:tr>
      <w:tr w14:paraId="607A6AB3">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4607BB31">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ALB</w:t>
            </w:r>
          </w:p>
        </w:tc>
        <w:tc>
          <w:tcPr>
            <w:tcW w:w="3744"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2B6CB91">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fintech-alb-140362026.us-east-1.elb.amazonaws.com</w:t>
            </w:r>
          </w:p>
        </w:tc>
        <w:tc>
          <w:tcPr>
            <w:tcW w:w="3276"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706E7BBC">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Application load balancer</w:t>
            </w:r>
          </w:p>
        </w:tc>
      </w:tr>
      <w:tr w14:paraId="19064848">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2EAFF28F">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ECS Cluster</w:t>
            </w:r>
          </w:p>
        </w:tc>
        <w:tc>
          <w:tcPr>
            <w:tcW w:w="3744"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66C2300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fintech-cluster</w:t>
            </w:r>
          </w:p>
        </w:tc>
        <w:tc>
          <w:tcPr>
            <w:tcW w:w="3276"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6F5393B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Container workloads</w:t>
            </w:r>
          </w:p>
        </w:tc>
      </w:tr>
      <w:tr w14:paraId="227ADD7C">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51C09CC">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KMS CMK</w:t>
            </w:r>
          </w:p>
        </w:tc>
        <w:tc>
          <w:tcPr>
            <w:tcW w:w="3744"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7B8CBA84">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alias/fintech-cmk</w:t>
            </w:r>
          </w:p>
        </w:tc>
        <w:tc>
          <w:tcPr>
            <w:tcW w:w="3276"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192C818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Data encryption with auto-rotation</w:t>
            </w:r>
          </w:p>
        </w:tc>
      </w:tr>
      <w:tr w14:paraId="0D918AC1">
        <w:tc>
          <w:tcPr>
            <w:tcW w:w="2340"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31639A15">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S3 Bucket</w:t>
            </w:r>
          </w:p>
        </w:tc>
        <w:tc>
          <w:tcPr>
            <w:tcW w:w="3744"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5B4B83B0">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fintech-appdata-508471420037</w:t>
            </w:r>
          </w:p>
        </w:tc>
        <w:tc>
          <w:tcPr>
            <w:tcW w:w="3276" w:type="dxa"/>
            <w:tcBorders>
              <w:top w:val="single" w:color="F79646" w:sz="8" w:space="0"/>
              <w:left w:val="single" w:color="F79646" w:sz="8" w:space="0"/>
              <w:bottom w:val="single" w:color="F79646" w:sz="8" w:space="0"/>
              <w:right w:val="single" w:color="F79646" w:sz="8" w:space="0"/>
            </w:tcBorders>
            <w:shd w:val="clear" w:color="auto" w:fill="FFFFFF"/>
            <w:tcMar>
              <w:top w:w="80" w:type="dxa"/>
              <w:left w:w="120" w:type="dxa"/>
              <w:bottom w:w="80" w:type="dxa"/>
              <w:right w:w="120" w:type="dxa"/>
            </w:tcMar>
          </w:tcPr>
          <w:p w14:paraId="0B740918">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KMS-encrypted application data</w:t>
            </w:r>
          </w:p>
        </w:tc>
      </w:tr>
      <w:tr w14:paraId="630065AA">
        <w:tc>
          <w:tcPr>
            <w:tcW w:w="2340"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3DA4E192">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Secrets Manager</w:t>
            </w:r>
          </w:p>
        </w:tc>
        <w:tc>
          <w:tcPr>
            <w:tcW w:w="3744"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62B30C21">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fintech/prod/db-password</w:t>
            </w:r>
          </w:p>
        </w:tc>
        <w:tc>
          <w:tcPr>
            <w:tcW w:w="3276" w:type="dxa"/>
            <w:tcBorders>
              <w:top w:val="single" w:color="F79646" w:sz="8" w:space="0"/>
              <w:left w:val="single" w:color="F79646" w:sz="8" w:space="0"/>
              <w:bottom w:val="single" w:color="F79646" w:sz="8" w:space="0"/>
              <w:right w:val="single" w:color="F79646" w:sz="8" w:space="0"/>
            </w:tcBorders>
            <w:shd w:val="clear" w:color="auto" w:fill="FBD5B5"/>
            <w:tcMar>
              <w:top w:w="80" w:type="dxa"/>
              <w:left w:w="120" w:type="dxa"/>
              <w:bottom w:w="80" w:type="dxa"/>
              <w:right w:w="120" w:type="dxa"/>
            </w:tcMar>
          </w:tcPr>
          <w:p w14:paraId="58D83510">
            <w:pPr>
              <w:spacing w:before="0" w:after="0"/>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CMK-encrypted credentials</w:t>
            </w:r>
          </w:p>
        </w:tc>
      </w:tr>
    </w:tbl>
    <w:p w14:paraId="19D00671">
      <w:pPr>
        <w:rPr>
          <w:color w:val="000000" w:themeColor="text1"/>
          <w14:textFill>
            <w14:solidFill>
              <w14:schemeClr w14:val="tx1"/>
            </w14:solidFill>
          </w14:textFill>
        </w:rPr>
      </w:pPr>
    </w:p>
    <w:sectPr>
      <w:footerReference r:id="rId3"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Arial Bold">
    <w:panose1 w:val="020B0704020202020204"/>
    <w:charset w:val="00"/>
    <w:family w:val="auto"/>
    <w:pitch w:val="default"/>
    <w:sig w:usb0="E0002AFF" w:usb1="C0007843" w:usb2="00000009" w:usb3="00000000" w:csb0="400001FF" w:csb1="FFFF0000"/>
  </w:font>
  <w:font w:name="Arial">
    <w:panose1 w:val="020B07040202020202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27F44">
    <w:pPr>
      <w:pBdr>
        <w:top w:val="single" w:color="2E75B6" w:sz="6" w:space="2"/>
      </w:pBdr>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EDD944"/>
    <w:multiLevelType w:val="singleLevel"/>
    <w:tmpl w:val="FBEDD944"/>
    <w:lvl w:ilvl="0" w:tentative="0">
      <w:start w:val="1"/>
      <w:numFmt w:val="decimal"/>
      <w:lvlText w:val="%1."/>
      <w:lvlJc w:val="left"/>
      <w:pPr>
        <w:tabs>
          <w:tab w:val="left" w:pos="425"/>
        </w:tabs>
        <w:ind w:left="425" w:leftChars="0" w:hanging="425" w:firstLineChars="0"/>
      </w:pPr>
      <w:rPr>
        <w:rFonts w:hint="default"/>
      </w:rPr>
    </w:lvl>
  </w:abstractNum>
  <w:abstractNum w:abstractNumId="1">
    <w:nsid w:val="3E5F38CD"/>
    <w:multiLevelType w:val="singleLevel"/>
    <w:tmpl w:val="3E5F38CD"/>
    <w:lvl w:ilvl="0" w:tentative="0">
      <w:start w:val="1"/>
      <w:numFmt w:val="bullet"/>
      <w:lvlText w:val="•"/>
      <w:lvlJc w:val="left"/>
      <w:pPr>
        <w:ind w:left="72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EFFD095"/>
    <w:rsid w:val="70F113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60"/>
      <w:outlineLvl w:val="0"/>
    </w:pPr>
    <w:rPr>
      <w:rFonts w:ascii="Arial" w:hAnsi="Arial" w:eastAsia="Arial" w:cs="Arial"/>
      <w:b/>
      <w:bCs/>
      <w:color w:val="1F3864"/>
      <w:sz w:val="34"/>
      <w:szCs w:val="34"/>
    </w:rPr>
  </w:style>
  <w:style w:type="paragraph" w:styleId="3">
    <w:name w:val="heading 2"/>
    <w:next w:val="1"/>
    <w:qFormat/>
    <w:uiPriority w:val="0"/>
    <w:pPr>
      <w:spacing w:before="280" w:after="120"/>
      <w:outlineLvl w:val="1"/>
    </w:pPr>
    <w:rPr>
      <w:rFonts w:ascii="Arial" w:hAnsi="Arial" w:eastAsia="Arial" w:cs="Arial"/>
      <w:b/>
      <w:bCs/>
      <w:color w:val="2E75B6"/>
      <w:sz w:val="26"/>
      <w:szCs w:val="26"/>
    </w:rPr>
  </w:style>
  <w:style w:type="paragraph" w:styleId="4">
    <w:name w:val="heading 3"/>
    <w:next w:val="1"/>
    <w:qFormat/>
    <w:uiPriority w:val="0"/>
    <w:pPr>
      <w:spacing w:before="200" w:after="80"/>
      <w:outlineLvl w:val="2"/>
    </w:pPr>
    <w:rPr>
      <w:rFonts w:ascii="Arial" w:hAnsi="Arial" w:eastAsia="Arial" w:cs="Arial"/>
      <w:b/>
      <w:bCs/>
      <w:color w:val="2C5282"/>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11</TotalTime>
  <ScaleCrop>false</ScaleCrop>
  <LinksUpToDate>false</LinksUpToDate>
  <Application>WPS Office_12.1.23152.23152_F1E327BC-269C-435d-A152-05C5408002CA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brias</cp:lastModifiedBy>
  <dcterms:modified xsi:type="dcterms:W3CDTF">2026-05-31T01:00:11Z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0D8D18A22070CB0C5E5B1B6A47ED5A65_42</vt:lpwstr>
  </property>
</Properties>
</file>