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Physician Medevac Propensity Analysis</w:t>
      </w:r>
    </w:p>
    <w:p>
      <w:pPr>
        <w:pStyle w:val="Subtitle"/>
      </w:pPr>
      <w:r>
        <w:t xml:space="preserve">Comprehensive Analysis of Clinical Appropriateness and Practice Variation</w:t>
      </w:r>
    </w:p>
    <w:p>
      <w:pPr>
        <w:pStyle w:val="Author"/>
      </w:pPr>
      <w:r>
        <w:t xml:space="preserve">Medevac Interrater Study Team</w:t>
      </w:r>
    </w:p>
    <w:p>
      <w:pPr>
        <w:pStyle w:val="Date"/>
      </w:pPr>
      <w:r>
        <w:t xml:space="preserve">2025-12-18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This report examines physician variation in medevac decision-making through the lens of</w:t>
      </w:r>
      <w:r>
        <w:t xml:space="preserve"> </w:t>
      </w:r>
      <w:r>
        <w:rPr>
          <w:b/>
          <w:bCs/>
        </w:rPr>
        <w:t xml:space="preserve">clinical appropriateness</w:t>
      </w:r>
      <w:r>
        <w:t xml:space="preserve">, with explicit modeling of</w:t>
      </w:r>
      <w:r>
        <w:t xml:space="preserve"> </w:t>
      </w:r>
      <w:r>
        <w:rPr>
          <w:b/>
          <w:bCs/>
        </w:rPr>
        <w:t xml:space="preserve">confidence</w:t>
      </w:r>
      <w:r>
        <w:t xml:space="preserve"> </w:t>
      </w:r>
      <w:r>
        <w:t xml:space="preserve">and</w:t>
      </w:r>
      <w:r>
        <w:t xml:space="preserve"> </w:t>
      </w:r>
      <w:r>
        <w:rPr>
          <w:b/>
          <w:bCs/>
        </w:rPr>
        <w:t xml:space="preserve">years of experience</w:t>
      </w:r>
      <w:r>
        <w:t xml:space="preserve">.</w:t>
      </w:r>
    </w:p>
    <w:p>
      <w:pPr>
        <w:pStyle w:val="BodyText"/>
      </w:pPr>
      <w:r>
        <w:t xml:space="preserve">We categorize all 20 vignettes by</w:t>
      </w:r>
      <w:r>
        <w:t xml:space="preserve"> </w:t>
      </w:r>
      <w:r>
        <w:rPr>
          <w:b/>
          <w:bCs/>
        </w:rPr>
        <w:t xml:space="preserve">vignette type</w:t>
      </w:r>
      <w:r>
        <w:t xml:space="preserve"> </w:t>
      </w:r>
      <w:r>
        <w:t xml:space="preserve">(appropriateness of the medevac option):</w:t>
      </w:r>
    </w:p>
    <w:p>
      <w:pPr>
        <w:pStyle w:val="Compact"/>
        <w:numPr>
          <w:ilvl w:val="0"/>
          <w:numId w:val="1001"/>
        </w:numPr>
      </w:pPr>
      <w:r>
        <w:rPr>
          <w:b/>
          <w:bCs/>
        </w:rPr>
        <w:t xml:space="preserve">Always Medevac</w:t>
      </w:r>
      <w:r>
        <w:t xml:space="preserve"> </w:t>
      </w:r>
      <w:r>
        <w:t xml:space="preserve">(n=4): Medevac is clearly the best answer</w:t>
      </w:r>
    </w:p>
    <w:p>
      <w:pPr>
        <w:pStyle w:val="Compact"/>
        <w:numPr>
          <w:ilvl w:val="0"/>
          <w:numId w:val="1001"/>
        </w:numPr>
      </w:pPr>
      <w:r>
        <w:rPr>
          <w:b/>
          <w:bCs/>
        </w:rPr>
        <w:t xml:space="preserve">Possible Medevac</w:t>
      </w:r>
      <w:r>
        <w:t xml:space="preserve"> </w:t>
      </w:r>
      <w:r>
        <w:t xml:space="preserve">(n=9): Medevac may or may not be appropriate depending on clinical judgment</w:t>
      </w:r>
    </w:p>
    <w:p>
      <w:pPr>
        <w:pStyle w:val="Compact"/>
        <w:numPr>
          <w:ilvl w:val="0"/>
          <w:numId w:val="1001"/>
        </w:numPr>
      </w:pPr>
      <w:r>
        <w:rPr>
          <w:b/>
          <w:bCs/>
        </w:rPr>
        <w:t xml:space="preserve">Special Considerations</w:t>
      </w:r>
      <w:r>
        <w:t xml:space="preserve"> </w:t>
      </w:r>
      <w:r>
        <w:t xml:space="preserve">(n=3): Medevac or Remain are both reasonable; conflict between physiology and logistics</w:t>
      </w:r>
    </w:p>
    <w:p>
      <w:pPr>
        <w:pStyle w:val="Compact"/>
        <w:numPr>
          <w:ilvl w:val="0"/>
          <w:numId w:val="1001"/>
        </w:numPr>
      </w:pPr>
      <w:r>
        <w:rPr>
          <w:b/>
          <w:bCs/>
        </w:rPr>
        <w:t xml:space="preserve">Never Medevac</w:t>
      </w:r>
      <w:r>
        <w:t xml:space="preserve"> </w:t>
      </w:r>
      <w:r>
        <w:t xml:space="preserve">(n=4): Medevac is clearly not appropriate</w:t>
      </w:r>
    </w:p>
    <w:p>
      <w:pPr>
        <w:pStyle w:val="FirstParagraph"/>
      </w:pPr>
      <w:r>
        <w:rPr>
          <w:b/>
          <w:bCs/>
        </w:rPr>
        <w:t xml:space="preserve">Statistical Model</w:t>
      </w:r>
      <w:r>
        <w:t xml:space="preserve">: Binary mixed-effects logistic regression</w:t>
      </w:r>
      <w:r>
        <w:t xml:space="preserve"> </w:t>
      </w:r>
      <w:r>
        <w:t xml:space="preserve">- Outcome: Chose medevac vs. not</w:t>
      </w:r>
      <w:r>
        <w:t xml:space="preserve"> </w:t>
      </w:r>
      <w:r>
        <w:t xml:space="preserve">- Fixed effects: Vignette type + Confidence (centered) + Experience (centered)</w:t>
      </w:r>
      <w:r>
        <w:t xml:space="preserve"> </w:t>
      </w:r>
      <w:r>
        <w:t xml:space="preserve">- Random effects: Physician + Vignette</w:t>
      </w:r>
      <w:r>
        <w:t xml:space="preserve"> </w:t>
      </w:r>
      <w:r>
        <w:t xml:space="preserve">- No interaction terms (for simplicity)</w:t>
      </w:r>
    </w:p>
    <w:p>
      <w:pPr>
        <w:pStyle w:val="BodyText"/>
      </w:pPr>
      <w:r>
        <w:rPr>
          <w:b/>
          <w:bCs/>
        </w:rPr>
        <w:t xml:space="preserve">Key Findings:</w:t>
      </w:r>
    </w:p>
    <w:p>
      <w:pPr>
        <w:pStyle w:val="Compact"/>
        <w:numPr>
          <w:ilvl w:val="0"/>
          <w:numId w:val="1002"/>
        </w:numPr>
      </w:pPr>
      <w:r>
        <w:rPr>
          <w:b/>
          <w:bCs/>
        </w:rPr>
        <w:t xml:space="preserve">Strong appropriateness gradient</w:t>
      </w:r>
    </w:p>
    <w:p>
      <w:pPr>
        <w:pStyle w:val="Compact"/>
        <w:numPr>
          <w:ilvl w:val="1"/>
          <w:numId w:val="1003"/>
        </w:numPr>
      </w:pPr>
      <w:r>
        <w:t xml:space="preserve">Odds of choosing medevac increase systematically from</w:t>
      </w:r>
      <w:r>
        <w:t xml:space="preserve"> </w:t>
      </w:r>
      <w:r>
        <w:t xml:space="preserve">“Never Medevac”</w:t>
      </w:r>
      <w:r>
        <w:t xml:space="preserve"> </w:t>
      </w:r>
      <w:r>
        <w:t xml:space="preserve">to</w:t>
      </w:r>
      <w:r>
        <w:t xml:space="preserve"> </w:t>
      </w:r>
      <w:r>
        <w:t xml:space="preserve">“Always Medevac”</w:t>
      </w:r>
    </w:p>
    <w:p>
      <w:pPr>
        <w:pStyle w:val="Compact"/>
        <w:numPr>
          <w:ilvl w:val="1"/>
          <w:numId w:val="1003"/>
        </w:numPr>
      </w:pPr>
      <w:r>
        <w:t xml:space="preserve">Strong evidence of appropriate clinical reasoning</w:t>
      </w:r>
    </w:p>
    <w:p>
      <w:pPr>
        <w:pStyle w:val="Compact"/>
        <w:numPr>
          <w:ilvl w:val="0"/>
          <w:numId w:val="1002"/>
        </w:numPr>
      </w:pPr>
      <w:r>
        <w:rPr>
          <w:b/>
          <w:bCs/>
        </w:rPr>
        <w:t xml:space="preserve">Confidence and experience effects</w:t>
      </w:r>
    </w:p>
    <w:p>
      <w:pPr>
        <w:pStyle w:val="Compact"/>
        <w:numPr>
          <w:ilvl w:val="1"/>
          <w:numId w:val="1004"/>
        </w:numPr>
      </w:pPr>
      <w:r>
        <w:t xml:space="preserve">Confidence significantly predicts medevac choice</w:t>
      </w:r>
    </w:p>
    <w:p>
      <w:pPr>
        <w:pStyle w:val="Compact"/>
        <w:numPr>
          <w:ilvl w:val="1"/>
          <w:numId w:val="1004"/>
        </w:numPr>
      </w:pPr>
      <w:r>
        <w:t xml:space="preserve">Experience shows positive trend</w:t>
      </w:r>
    </w:p>
    <w:p>
      <w:pPr>
        <w:pStyle w:val="Compact"/>
        <w:numPr>
          <w:ilvl w:val="1"/>
          <w:numId w:val="1004"/>
        </w:numPr>
      </w:pPr>
      <w:r>
        <w:t xml:space="preserve">Together explain meaningful physician variance</w:t>
      </w:r>
    </w:p>
    <w:p>
      <w:pPr>
        <w:pStyle w:val="Compact"/>
        <w:numPr>
          <w:ilvl w:val="0"/>
          <w:numId w:val="1002"/>
        </w:numPr>
      </w:pPr>
      <w:r>
        <w:rPr>
          <w:b/>
          <w:bCs/>
        </w:rPr>
        <w:t xml:space="preserve">Substantial residual variation persists</w:t>
      </w:r>
    </w:p>
    <w:p>
      <w:pPr>
        <w:pStyle w:val="Compact"/>
        <w:numPr>
          <w:ilvl w:val="1"/>
          <w:numId w:val="1005"/>
        </w:numPr>
      </w:pPr>
      <w:r>
        <w:t xml:space="preserve">Even after accounting for appropriateness, confidence, and experience</w:t>
      </w:r>
    </w:p>
    <w:p>
      <w:pPr>
        <w:pStyle w:val="Compact"/>
        <w:numPr>
          <w:ilvl w:val="1"/>
          <w:numId w:val="1005"/>
        </w:numPr>
      </w:pPr>
      <w:r>
        <w:t xml:space="preserve">Suggests additional unmeasured factors influence decision-making</w:t>
      </w:r>
    </w:p>
    <w:p>
      <w:r>
        <w:pict>
          <v:rect style="width:0;height:1.5pt" o:hralign="center" o:hrstd="t" o:hr="t"/>
        </w:pict>
      </w:r>
    </w:p>
    <w:bookmarkEnd w:id="20"/>
    <w:bookmarkStart w:id="21" w:name="X9351be01c9b429c572884c45d79e940f9a506ea"/>
    <w:p>
      <w:pPr>
        <w:pStyle w:val="Heading1"/>
      </w:pPr>
      <w:r>
        <w:t xml:space="preserve">2. Table 1: Sample Characteristics and Study Design</w:t>
      </w:r>
    </w:p>
    <w:p>
      <w:pPr>
        <w:pStyle w:val="TableCaption"/>
      </w:pPr>
      <w:r>
        <w:t xml:space="preserve">Table 1: Sample Characteristics and Study Design</w:t>
      </w:r>
    </w:p>
    <w:tbl>
      <w:tblPr>
        <w:tblStyle w:val="Table"/>
        <w:tblW w:type="auto" w:w="0"/>
        <w:tblLook w:firstRow="1" w:lastRow="0" w:firstColumn="0" w:lastColumn="0" w:noHBand="0" w:noVBand="0" w:val="0020"/>
        <w:tblCaption w:val="Table 1: Sample Characteristics and Study Design"/>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rPr>
                <w:b/>
                <w:bCs/>
              </w:rPr>
              <w:t xml:space="preserve">Physicians</w:t>
            </w:r>
          </w:p>
        </w:tc>
        <w:tc>
          <w:tcPr/>
          <w:p>
            <w:pPr>
              <w:pStyle w:val="Compact"/>
            </w:pPr>
          </w:p>
        </w:tc>
      </w:tr>
      <w:tr>
        <w:tc>
          <w:tcPr/>
          <w:p>
            <w:pPr>
              <w:pStyle w:val="Compact"/>
              <w:jc w:val="left"/>
            </w:pPr>
            <w:r>
              <w:t xml:space="preserve">Total Physicians</w:t>
            </w:r>
          </w:p>
        </w:tc>
        <w:tc>
          <w:tcPr/>
          <w:p>
            <w:pPr>
              <w:pStyle w:val="Compact"/>
              <w:jc w:val="left"/>
            </w:pPr>
            <w:r>
              <w:t xml:space="preserve">20</w:t>
            </w:r>
          </w:p>
        </w:tc>
      </w:tr>
      <w:tr>
        <w:tc>
          <w:tcPr/>
          <w:p>
            <w:pPr>
              <w:pStyle w:val="Compact"/>
            </w:pPr>
          </w:p>
        </w:tc>
        <w:tc>
          <w:tcPr/>
          <w:p>
            <w:pPr>
              <w:pStyle w:val="Compact"/>
            </w:pPr>
          </w:p>
        </w:tc>
      </w:tr>
      <w:tr>
        <w:tc>
          <w:tcPr/>
          <w:p>
            <w:pPr>
              <w:pStyle w:val="Compact"/>
              <w:jc w:val="left"/>
            </w:pPr>
            <w:r>
              <w:rPr>
                <w:b/>
                <w:bCs/>
              </w:rPr>
              <w:t xml:space="preserve">Years in Practice</w:t>
            </w:r>
          </w:p>
        </w:tc>
        <w:tc>
          <w:tcPr/>
          <w:p>
            <w:pPr>
              <w:pStyle w:val="Compact"/>
            </w:pPr>
          </w:p>
        </w:tc>
      </w:tr>
      <w:tr>
        <w:tc>
          <w:tcPr/>
          <w:p>
            <w:pPr>
              <w:pStyle w:val="Compact"/>
              <w:jc w:val="left"/>
            </w:pPr>
            <w:r>
              <w:t xml:space="preserve">Median [IQR]</w:t>
            </w:r>
          </w:p>
        </w:tc>
        <w:tc>
          <w:tcPr/>
          <w:p>
            <w:pPr>
              <w:pStyle w:val="Compact"/>
              <w:jc w:val="left"/>
            </w:pPr>
            <w:r>
              <w:t xml:space="preserve">8 [4 - 13]</w:t>
            </w:r>
          </w:p>
        </w:tc>
      </w:tr>
      <w:tr>
        <w:tc>
          <w:tcPr/>
          <w:p>
            <w:pPr>
              <w:pStyle w:val="Compact"/>
              <w:jc w:val="left"/>
            </w:pPr>
            <w:r>
              <w:t xml:space="preserve">Range</w:t>
            </w:r>
          </w:p>
        </w:tc>
        <w:tc>
          <w:tcPr/>
          <w:p>
            <w:pPr>
              <w:pStyle w:val="Compact"/>
              <w:jc w:val="left"/>
            </w:pPr>
            <w:r>
              <w:t xml:space="preserve">1 - 30 years</w:t>
            </w:r>
          </w:p>
        </w:tc>
      </w:tr>
      <w:tr>
        <w:tc>
          <w:tcPr/>
          <w:p>
            <w:pPr>
              <w:pStyle w:val="Compact"/>
            </w:pPr>
          </w:p>
        </w:tc>
        <w:tc>
          <w:tcPr/>
          <w:p>
            <w:pPr>
              <w:pStyle w:val="Compact"/>
            </w:pPr>
          </w:p>
        </w:tc>
      </w:tr>
      <w:tr>
        <w:tc>
          <w:tcPr/>
          <w:p>
            <w:pPr>
              <w:pStyle w:val="Compact"/>
              <w:jc w:val="left"/>
            </w:pPr>
            <w:r>
              <w:rPr>
                <w:b/>
                <w:bCs/>
              </w:rPr>
              <w:t xml:space="preserve">Practice Location</w:t>
            </w:r>
          </w:p>
        </w:tc>
        <w:tc>
          <w:tcPr/>
          <w:p>
            <w:pPr>
              <w:pStyle w:val="Compact"/>
            </w:pPr>
          </w:p>
        </w:tc>
      </w:tr>
      <w:tr>
        <w:tc>
          <w:tcPr/>
          <w:p>
            <w:pPr>
              <w:pStyle w:val="Compact"/>
              <w:jc w:val="left"/>
            </w:pPr>
            <w:r>
              <w:t xml:space="preserve">Regional Hub</w:t>
            </w:r>
          </w:p>
        </w:tc>
        <w:tc>
          <w:tcPr/>
          <w:p>
            <w:pPr>
              <w:pStyle w:val="Compact"/>
              <w:jc w:val="left"/>
            </w:pPr>
            <w:r>
              <w:t xml:space="preserve">7 (35%)</w:t>
            </w:r>
          </w:p>
        </w:tc>
      </w:tr>
      <w:tr>
        <w:tc>
          <w:tcPr/>
          <w:p>
            <w:pPr>
              <w:pStyle w:val="Compact"/>
              <w:jc w:val="left"/>
            </w:pPr>
            <w:r>
              <w:t xml:space="preserve">Referral Hub (ANMC)</w:t>
            </w:r>
          </w:p>
        </w:tc>
        <w:tc>
          <w:tcPr/>
          <w:p>
            <w:pPr>
              <w:pStyle w:val="Compact"/>
              <w:jc w:val="left"/>
            </w:pPr>
            <w:r>
              <w:t xml:space="preserve">8 (40%)</w:t>
            </w:r>
          </w:p>
        </w:tc>
      </w:tr>
      <w:tr>
        <w:tc>
          <w:tcPr/>
          <w:p>
            <w:pPr>
              <w:pStyle w:val="Compact"/>
              <w:jc w:val="left"/>
            </w:pPr>
            <w:r>
              <w:t xml:space="preserve">Mixed</w:t>
            </w:r>
          </w:p>
        </w:tc>
        <w:tc>
          <w:tcPr/>
          <w:p>
            <w:pPr>
              <w:pStyle w:val="Compact"/>
              <w:jc w:val="left"/>
            </w:pPr>
            <w:r>
              <w:t xml:space="preserve">5 (25%)</w:t>
            </w:r>
          </w:p>
        </w:tc>
      </w:tr>
      <w:tr>
        <w:tc>
          <w:tcPr/>
          <w:p>
            <w:pPr>
              <w:pStyle w:val="Compact"/>
            </w:pPr>
          </w:p>
        </w:tc>
        <w:tc>
          <w:tcPr/>
          <w:p>
            <w:pPr>
              <w:pStyle w:val="Compact"/>
            </w:pPr>
          </w:p>
        </w:tc>
      </w:tr>
      <w:tr>
        <w:tc>
          <w:tcPr/>
          <w:p>
            <w:pPr>
              <w:pStyle w:val="Compact"/>
              <w:jc w:val="left"/>
            </w:pPr>
            <w:r>
              <w:rPr>
                <w:b/>
                <w:bCs/>
              </w:rPr>
              <w:t xml:space="preserve">Vignettes</w:t>
            </w:r>
          </w:p>
        </w:tc>
        <w:tc>
          <w:tcPr/>
          <w:p>
            <w:pPr>
              <w:pStyle w:val="Compact"/>
            </w:pPr>
          </w:p>
        </w:tc>
      </w:tr>
      <w:tr>
        <w:tc>
          <w:tcPr/>
          <w:p>
            <w:pPr>
              <w:pStyle w:val="Compact"/>
              <w:jc w:val="left"/>
            </w:pPr>
            <w:r>
              <w:t xml:space="preserve">Total Vignettes</w:t>
            </w:r>
          </w:p>
        </w:tc>
        <w:tc>
          <w:tcPr/>
          <w:p>
            <w:pPr>
              <w:pStyle w:val="Compact"/>
              <w:jc w:val="left"/>
            </w:pPr>
            <w:r>
              <w:t xml:space="preserve">20</w:t>
            </w:r>
          </w:p>
        </w:tc>
      </w:tr>
      <w:tr>
        <w:tc>
          <w:tcPr/>
          <w:p>
            <w:pPr>
              <w:pStyle w:val="Compact"/>
              <w:jc w:val="left"/>
            </w:pPr>
            <w:r>
              <w:t xml:space="preserve">Never Medevac</w:t>
            </w:r>
          </w:p>
        </w:tc>
        <w:tc>
          <w:tcPr/>
          <w:p>
            <w:pPr>
              <w:pStyle w:val="Compact"/>
              <w:jc w:val="left"/>
            </w:pPr>
            <w:r>
              <w:t xml:space="preserve">4</w:t>
            </w:r>
          </w:p>
        </w:tc>
      </w:tr>
      <w:tr>
        <w:tc>
          <w:tcPr/>
          <w:p>
            <w:pPr>
              <w:pStyle w:val="Compact"/>
              <w:jc w:val="left"/>
            </w:pPr>
            <w:r>
              <w:t xml:space="preserve">Possible Medevac</w:t>
            </w:r>
          </w:p>
        </w:tc>
        <w:tc>
          <w:tcPr/>
          <w:p>
            <w:pPr>
              <w:pStyle w:val="Compact"/>
              <w:jc w:val="left"/>
            </w:pPr>
            <w:r>
              <w:t xml:space="preserve">9</w:t>
            </w:r>
          </w:p>
        </w:tc>
      </w:tr>
      <w:tr>
        <w:tc>
          <w:tcPr/>
          <w:p>
            <w:pPr>
              <w:pStyle w:val="Compact"/>
              <w:jc w:val="left"/>
            </w:pPr>
            <w:r>
              <w:t xml:space="preserve">Special Considerations</w:t>
            </w:r>
          </w:p>
        </w:tc>
        <w:tc>
          <w:tcPr/>
          <w:p>
            <w:pPr>
              <w:pStyle w:val="Compact"/>
              <w:jc w:val="left"/>
            </w:pPr>
            <w:r>
              <w:t xml:space="preserve">3</w:t>
            </w:r>
          </w:p>
        </w:tc>
      </w:tr>
      <w:tr>
        <w:tc>
          <w:tcPr/>
          <w:p>
            <w:pPr>
              <w:pStyle w:val="Compact"/>
              <w:jc w:val="left"/>
            </w:pPr>
            <w:r>
              <w:t xml:space="preserve">Always Medevac</w:t>
            </w:r>
          </w:p>
        </w:tc>
        <w:tc>
          <w:tcPr/>
          <w:p>
            <w:pPr>
              <w:pStyle w:val="Compact"/>
              <w:jc w:val="left"/>
            </w:pPr>
            <w:r>
              <w:t xml:space="preserve">4</w:t>
            </w:r>
          </w:p>
        </w:tc>
      </w:tr>
      <w:tr>
        <w:tc>
          <w:tcPr/>
          <w:p>
            <w:pPr>
              <w:pStyle w:val="Compact"/>
            </w:pPr>
          </w:p>
        </w:tc>
        <w:tc>
          <w:tcPr/>
          <w:p>
            <w:pPr>
              <w:pStyle w:val="Compact"/>
            </w:pPr>
          </w:p>
        </w:tc>
      </w:tr>
      <w:tr>
        <w:tc>
          <w:tcPr/>
          <w:p>
            <w:pPr>
              <w:pStyle w:val="Compact"/>
              <w:jc w:val="left"/>
            </w:pPr>
            <w:r>
              <w:rPr>
                <w:b/>
                <w:bCs/>
              </w:rPr>
              <w:t xml:space="preserve">Responses</w:t>
            </w:r>
          </w:p>
        </w:tc>
        <w:tc>
          <w:tcPr/>
          <w:p>
            <w:pPr>
              <w:pStyle w:val="Compact"/>
            </w:pPr>
          </w:p>
        </w:tc>
      </w:tr>
      <w:tr>
        <w:tc>
          <w:tcPr/>
          <w:p>
            <w:pPr>
              <w:pStyle w:val="Compact"/>
              <w:jc w:val="left"/>
            </w:pPr>
            <w:r>
              <w:t xml:space="preserve">Total Responses</w:t>
            </w:r>
          </w:p>
        </w:tc>
        <w:tc>
          <w:tcPr/>
          <w:p>
            <w:pPr>
              <w:pStyle w:val="Compact"/>
              <w:jc w:val="left"/>
            </w:pPr>
            <w:r>
              <w:t xml:space="preserve">400</w:t>
            </w:r>
          </w:p>
        </w:tc>
      </w:tr>
      <w:tr>
        <w:tc>
          <w:tcPr/>
          <w:p>
            <w:pPr>
              <w:pStyle w:val="Compact"/>
              <w:jc w:val="left"/>
            </w:pPr>
            <w:r>
              <w:t xml:space="preserve">Appropriate Response to Always Medevac</w:t>
            </w:r>
          </w:p>
        </w:tc>
        <w:tc>
          <w:tcPr/>
          <w:p>
            <w:pPr>
              <w:pStyle w:val="Compact"/>
              <w:jc w:val="left"/>
            </w:pPr>
            <w:r>
              <w:t xml:space="preserve">98.8% (n=79)</w:t>
            </w:r>
          </w:p>
        </w:tc>
      </w:tr>
      <w:tr>
        <w:tc>
          <w:tcPr/>
          <w:p>
            <w:pPr>
              <w:pStyle w:val="Compact"/>
              <w:jc w:val="left"/>
            </w:pPr>
            <w:r>
              <w:t xml:space="preserve">Appropriate Response to Never Medevac</w:t>
            </w:r>
          </w:p>
        </w:tc>
        <w:tc>
          <w:tcPr/>
          <w:p>
            <w:pPr>
              <w:pStyle w:val="Compact"/>
              <w:jc w:val="left"/>
            </w:pPr>
            <w:r>
              <w:t xml:space="preserve">88.8% (n=71)</w:t>
            </w:r>
          </w:p>
        </w:tc>
      </w:tr>
      <w:tr>
        <w:tc>
          <w:tcPr/>
          <w:p>
            <w:pPr>
              <w:pStyle w:val="Compact"/>
            </w:pPr>
          </w:p>
        </w:tc>
        <w:tc>
          <w:tcPr/>
          <w:p>
            <w:pPr>
              <w:pStyle w:val="Compact"/>
            </w:pPr>
          </w:p>
        </w:tc>
      </w:tr>
      <w:tr>
        <w:tc>
          <w:tcPr/>
          <w:p>
            <w:pPr>
              <w:pStyle w:val="Compact"/>
              <w:jc w:val="left"/>
            </w:pPr>
            <w:r>
              <w:rPr>
                <w:b/>
                <w:bCs/>
              </w:rPr>
              <w:t xml:space="preserve">Inter-Rater Agreement by Vignette</w:t>
            </w:r>
          </w:p>
        </w:tc>
        <w:tc>
          <w:tcPr/>
          <w:p>
            <w:pPr>
              <w:pStyle w:val="Compact"/>
            </w:pPr>
          </w:p>
        </w:tc>
      </w:tr>
      <w:tr>
        <w:tc>
          <w:tcPr/>
          <w:p>
            <w:pPr>
              <w:pStyle w:val="Compact"/>
              <w:jc w:val="left"/>
            </w:pPr>
            <w:r>
              <w:t xml:space="preserve">Median [IQR]</w:t>
            </w:r>
          </w:p>
        </w:tc>
        <w:tc>
          <w:tcPr/>
          <w:p>
            <w:pPr>
              <w:pStyle w:val="Compact"/>
              <w:jc w:val="left"/>
            </w:pPr>
            <w:r>
              <w:t xml:space="preserve">75.0% [65.0% - 83.8%]</w:t>
            </w:r>
          </w:p>
        </w:tc>
      </w:tr>
      <w:tr>
        <w:tc>
          <w:tcPr/>
          <w:p>
            <w:pPr>
              <w:pStyle w:val="Compact"/>
              <w:jc w:val="left"/>
            </w:pPr>
            <w:r>
              <w:t xml:space="preserve">Range</w:t>
            </w:r>
          </w:p>
        </w:tc>
        <w:tc>
          <w:tcPr/>
          <w:p>
            <w:pPr>
              <w:pStyle w:val="Compact"/>
              <w:jc w:val="left"/>
            </w:pPr>
            <w:r>
              <w:t xml:space="preserve">45.0% - 100.0%</w:t>
            </w:r>
          </w:p>
        </w:tc>
      </w:tr>
      <w:tr>
        <w:tc>
          <w:tcPr/>
          <w:p>
            <w:pPr>
              <w:pStyle w:val="Compact"/>
            </w:pPr>
          </w:p>
        </w:tc>
        <w:tc>
          <w:tcPr/>
          <w:p>
            <w:pPr>
              <w:pStyle w:val="Compact"/>
            </w:pPr>
          </w:p>
        </w:tc>
      </w:tr>
      <w:tr>
        <w:tc>
          <w:tcPr/>
          <w:p>
            <w:pPr>
              <w:pStyle w:val="Compact"/>
              <w:jc w:val="left"/>
            </w:pPr>
            <w:r>
              <w:rPr>
                <w:b/>
                <w:bCs/>
              </w:rPr>
              <w:t xml:space="preserve">Confidence (1-10 scale)</w:t>
            </w:r>
          </w:p>
        </w:tc>
        <w:tc>
          <w:tcPr/>
          <w:p>
            <w:pPr>
              <w:pStyle w:val="Compact"/>
            </w:pPr>
          </w:p>
        </w:tc>
      </w:tr>
      <w:tr>
        <w:tc>
          <w:tcPr/>
          <w:p>
            <w:pPr>
              <w:pStyle w:val="Compact"/>
              <w:jc w:val="left"/>
            </w:pPr>
            <w:r>
              <w:t xml:space="preserve">Median [IQR]</w:t>
            </w:r>
          </w:p>
        </w:tc>
        <w:tc>
          <w:tcPr/>
          <w:p>
            <w:pPr>
              <w:pStyle w:val="Compact"/>
              <w:jc w:val="left"/>
            </w:pPr>
            <w:r>
              <w:t xml:space="preserve">8 [6 - 10]</w:t>
            </w:r>
          </w:p>
        </w:tc>
      </w:tr>
      <w:tr>
        <w:tc>
          <w:tcPr/>
          <w:p>
            <w:pPr>
              <w:pStyle w:val="Compact"/>
              <w:jc w:val="left"/>
            </w:pPr>
            <w:r>
              <w:t xml:space="preserve">Range</w:t>
            </w:r>
          </w:p>
        </w:tc>
        <w:tc>
          <w:tcPr/>
          <w:p>
            <w:pPr>
              <w:pStyle w:val="Compact"/>
              <w:jc w:val="left"/>
            </w:pPr>
            <w:r>
              <w:t xml:space="preserve">1 - 10</w:t>
            </w:r>
          </w:p>
        </w:tc>
      </w:tr>
    </w:tbl>
    <w:p>
      <w:r>
        <w:pict>
          <v:rect style="width:0;height:1.5pt" o:hralign="center" o:hrstd="t" o:hr="t"/>
        </w:pict>
      </w:r>
    </w:p>
    <w:bookmarkEnd w:id="21"/>
    <w:bookmarkStart w:id="25" w:name="Xf5b4b18ecdc71d7ad56e515aa98dba142815f49"/>
    <w:p>
      <w:pPr>
        <w:pStyle w:val="Heading1"/>
      </w:pPr>
      <w:r>
        <w:t xml:space="preserve">3. Figure 1: Response Distribution by Physician</w:t>
      </w:r>
    </w:p>
    <w:p>
      <w:pPr>
        <w:pStyle w:val="FirstParagraph"/>
      </w:pPr>
      <w:r>
        <w:drawing>
          <wp:inline>
            <wp:extent cx="5334000" cy="4445000"/>
            <wp:effectExtent b="0" l="0" r="0" t="0"/>
            <wp:docPr descr="" title="" id="23" name="Picture"/>
            <a:graphic>
              <a:graphicData uri="http://schemas.openxmlformats.org/drawingml/2006/picture">
                <pic:pic>
                  <pic:nvPicPr>
                    <pic:cNvPr descr="final_report_18Dec2025_files/figure-docx/figure1-physician-horizontal-1.png" id="24" name="Picture"/>
                    <pic:cNvPicPr>
                      <a:picLocks noChangeArrowheads="1" noChangeAspect="1"/>
                    </pic:cNvPicPr>
                  </pic:nvPicPr>
                  <pic:blipFill>
                    <a:blip r:embed="rId22"/>
                    <a:stretch>
                      <a:fillRect/>
                    </a:stretch>
                  </pic:blipFill>
                  <pic:spPr bwMode="auto">
                    <a:xfrm>
                      <a:off x="0" y="0"/>
                      <a:ext cx="5334000" cy="4445000"/>
                    </a:xfrm>
                    <a:prstGeom prst="rect">
                      <a:avLst/>
                    </a:prstGeom>
                    <a:noFill/>
                    <a:ln w="9525">
                      <a:noFill/>
                      <a:headEnd/>
                      <a:tailEnd/>
                    </a:ln>
                  </pic:spPr>
                </pic:pic>
              </a:graphicData>
            </a:graphic>
          </wp:inline>
        </w:drawing>
      </w:r>
    </w:p>
    <w:p>
      <w:r>
        <w:pict>
          <v:rect style="width:0;height:1.5pt" o:hralign="center" o:hrstd="t" o:hr="t"/>
        </w:pict>
      </w:r>
    </w:p>
    <w:bookmarkEnd w:id="25"/>
    <w:bookmarkStart w:id="34" w:name="X55f4a09d9e605dc42e07b7cee91b6b9d05a8f13"/>
    <w:p>
      <w:pPr>
        <w:pStyle w:val="Heading1"/>
      </w:pPr>
      <w:r>
        <w:t xml:space="preserve">4. Table 2: Descriptive Statistics by Vignette</w:t>
      </w:r>
    </w:p>
    <w:p>
      <w:pPr>
        <w:pStyle w:val="TableCaption"/>
      </w:pPr>
      <w:r>
        <w:t xml:space="preserve">Table 2: Descriptive Statistics by Vignette</w:t>
      </w:r>
    </w:p>
    <w:tbl>
      <w:tblPr>
        <w:tblStyle w:val="Table"/>
        <w:tblW w:type="pct" w:w="5000"/>
        <w:tblLayout w:type="fixed"/>
        <w:tblLook w:firstRow="1" w:lastRow="0" w:firstColumn="0" w:lastColumn="0" w:noHBand="0" w:noVBand="0" w:val="0020"/>
        <w:tblCaption w:val="Table 2: Descriptive Statistics by Vignette"/>
      </w:tblPr>
      <w:tblGrid>
        <w:gridCol w:w="279"/>
        <w:gridCol w:w="1304"/>
        <w:gridCol w:w="1211"/>
        <w:gridCol w:w="1211"/>
        <w:gridCol w:w="1024"/>
        <w:gridCol w:w="1118"/>
        <w:gridCol w:w="1770"/>
      </w:tblGrid>
      <w:tr>
        <w:trPr>
          <w:tblHeader w:val="on"/>
        </w:trPr>
        <w:tc>
          <w:tcPr/>
          <w:p>
            <w:pPr>
              <w:pStyle w:val="Compact"/>
              <w:jc w:val="right"/>
            </w:pPr>
            <w:r>
              <w:t xml:space="preserve">Q#</w:t>
            </w:r>
          </w:p>
        </w:tc>
        <w:tc>
          <w:tcPr/>
          <w:p>
            <w:pPr>
              <w:pStyle w:val="Compact"/>
              <w:jc w:val="left"/>
            </w:pPr>
            <w:r>
              <w:t xml:space="preserve">Medevac</w:t>
            </w:r>
          </w:p>
        </w:tc>
        <w:tc>
          <w:tcPr/>
          <w:p>
            <w:pPr>
              <w:pStyle w:val="Compact"/>
              <w:jc w:val="left"/>
            </w:pPr>
            <w:r>
              <w:t xml:space="preserve">Commercial</w:t>
            </w:r>
          </w:p>
        </w:tc>
        <w:tc>
          <w:tcPr/>
          <w:p>
            <w:pPr>
              <w:pStyle w:val="Compact"/>
              <w:jc w:val="left"/>
            </w:pPr>
            <w:r>
              <w:t xml:space="preserve">Remain</w:t>
            </w:r>
          </w:p>
        </w:tc>
        <w:tc>
          <w:tcPr/>
          <w:p>
            <w:pPr>
              <w:pStyle w:val="Compact"/>
              <w:jc w:val="left"/>
            </w:pPr>
            <w:r>
              <w:t xml:space="preserve">Modal</w:t>
            </w:r>
          </w:p>
        </w:tc>
        <w:tc>
          <w:tcPr/>
          <w:p>
            <w:pPr>
              <w:pStyle w:val="Compact"/>
              <w:jc w:val="right"/>
            </w:pPr>
            <w:r>
              <w:t xml:space="preserve">Agreement %</w:t>
            </w:r>
          </w:p>
        </w:tc>
        <w:tc>
          <w:tcPr/>
          <w:p>
            <w:pPr>
              <w:pStyle w:val="Compact"/>
              <w:jc w:val="left"/>
            </w:pPr>
            <w:r>
              <w:t xml:space="preserve">Median Conf. [IQR]</w:t>
            </w:r>
          </w:p>
        </w:tc>
      </w:tr>
      <w:tr>
        <w:tc>
          <w:tcPr/>
          <w:p>
            <w:pPr>
              <w:pStyle w:val="Compact"/>
              <w:jc w:val="right"/>
            </w:pPr>
            <w:r>
              <w:t xml:space="preserve">14</w:t>
            </w:r>
          </w:p>
        </w:tc>
        <w:tc>
          <w:tcPr/>
          <w:p>
            <w:pPr>
              <w:pStyle w:val="Compact"/>
              <w:jc w:val="left"/>
            </w:pPr>
            <w:r>
              <w:t xml:space="preserve">0.0% (n=0)</w:t>
            </w:r>
          </w:p>
        </w:tc>
        <w:tc>
          <w:tcPr/>
          <w:p>
            <w:pPr>
              <w:pStyle w:val="Compact"/>
              <w:jc w:val="left"/>
            </w:pPr>
            <w:r>
              <w:t xml:space="preserve">20.0% (n=4)</w:t>
            </w:r>
          </w:p>
        </w:tc>
        <w:tc>
          <w:tcPr/>
          <w:p>
            <w:pPr>
              <w:pStyle w:val="Compact"/>
              <w:jc w:val="left"/>
            </w:pPr>
            <w:r>
              <w:t xml:space="preserve">80.0% (n=16)</w:t>
            </w:r>
          </w:p>
        </w:tc>
        <w:tc>
          <w:tcPr/>
          <w:p>
            <w:pPr>
              <w:pStyle w:val="Compact"/>
              <w:jc w:val="left"/>
            </w:pPr>
            <w:r>
              <w:t xml:space="preserve">Remain</w:t>
            </w:r>
          </w:p>
        </w:tc>
        <w:tc>
          <w:tcPr/>
          <w:p>
            <w:pPr>
              <w:pStyle w:val="Compact"/>
              <w:jc w:val="right"/>
            </w:pPr>
            <w:r>
              <w:t xml:space="preserve">80</w:t>
            </w:r>
          </w:p>
        </w:tc>
        <w:tc>
          <w:tcPr/>
          <w:p>
            <w:pPr>
              <w:pStyle w:val="Compact"/>
              <w:jc w:val="left"/>
            </w:pPr>
            <w:r>
              <w:t xml:space="preserve">8 [6-8]</w:t>
            </w:r>
          </w:p>
        </w:tc>
      </w:tr>
      <w:tr>
        <w:tc>
          <w:tcPr/>
          <w:p>
            <w:pPr>
              <w:pStyle w:val="Compact"/>
              <w:jc w:val="right"/>
            </w:pPr>
            <w:r>
              <w:t xml:space="preserve">5</w:t>
            </w:r>
          </w:p>
        </w:tc>
        <w:tc>
          <w:tcPr/>
          <w:p>
            <w:pPr>
              <w:pStyle w:val="Compact"/>
              <w:jc w:val="left"/>
            </w:pPr>
            <w:r>
              <w:t xml:space="preserve">0.0% (n=0)</w:t>
            </w:r>
          </w:p>
        </w:tc>
        <w:tc>
          <w:tcPr/>
          <w:p>
            <w:pPr>
              <w:pStyle w:val="Compact"/>
              <w:jc w:val="left"/>
            </w:pPr>
            <w:r>
              <w:t xml:space="preserve">75.0% (n=15)</w:t>
            </w:r>
          </w:p>
        </w:tc>
        <w:tc>
          <w:tcPr/>
          <w:p>
            <w:pPr>
              <w:pStyle w:val="Compact"/>
              <w:jc w:val="left"/>
            </w:pPr>
            <w:r>
              <w:t xml:space="preserve">25.0% (n=5)</w:t>
            </w:r>
          </w:p>
        </w:tc>
        <w:tc>
          <w:tcPr/>
          <w:p>
            <w:pPr>
              <w:pStyle w:val="Compact"/>
              <w:jc w:val="left"/>
            </w:pPr>
            <w:r>
              <w:t xml:space="preserve">Commercial</w:t>
            </w:r>
          </w:p>
        </w:tc>
        <w:tc>
          <w:tcPr/>
          <w:p>
            <w:pPr>
              <w:pStyle w:val="Compact"/>
              <w:jc w:val="right"/>
            </w:pPr>
            <w:r>
              <w:t xml:space="preserve">75</w:t>
            </w:r>
          </w:p>
        </w:tc>
        <w:tc>
          <w:tcPr/>
          <w:p>
            <w:pPr>
              <w:pStyle w:val="Compact"/>
              <w:jc w:val="left"/>
            </w:pPr>
            <w:r>
              <w:t xml:space="preserve">8 [7-10]</w:t>
            </w:r>
          </w:p>
        </w:tc>
      </w:tr>
      <w:tr>
        <w:tc>
          <w:tcPr/>
          <w:p>
            <w:pPr>
              <w:pStyle w:val="Compact"/>
              <w:jc w:val="right"/>
            </w:pPr>
            <w:r>
              <w:t xml:space="preserve">2</w:t>
            </w:r>
          </w:p>
        </w:tc>
        <w:tc>
          <w:tcPr/>
          <w:p>
            <w:pPr>
              <w:pStyle w:val="Compact"/>
              <w:jc w:val="left"/>
            </w:pPr>
            <w:r>
              <w:t xml:space="preserve">20.0% (n=4)</w:t>
            </w:r>
          </w:p>
        </w:tc>
        <w:tc>
          <w:tcPr/>
          <w:p>
            <w:pPr>
              <w:pStyle w:val="Compact"/>
              <w:jc w:val="left"/>
            </w:pPr>
            <w:r>
              <w:t xml:space="preserve">45.0% (n=9)</w:t>
            </w:r>
          </w:p>
        </w:tc>
        <w:tc>
          <w:tcPr/>
          <w:p>
            <w:pPr>
              <w:pStyle w:val="Compact"/>
              <w:jc w:val="left"/>
            </w:pPr>
            <w:r>
              <w:t xml:space="preserve">35.0% (n=7)</w:t>
            </w:r>
          </w:p>
        </w:tc>
        <w:tc>
          <w:tcPr/>
          <w:p>
            <w:pPr>
              <w:pStyle w:val="Compact"/>
              <w:jc w:val="left"/>
            </w:pPr>
            <w:r>
              <w:t xml:space="preserve">Commercial</w:t>
            </w:r>
          </w:p>
        </w:tc>
        <w:tc>
          <w:tcPr/>
          <w:p>
            <w:pPr>
              <w:pStyle w:val="Compact"/>
              <w:jc w:val="right"/>
            </w:pPr>
            <w:r>
              <w:t xml:space="preserve">45</w:t>
            </w:r>
          </w:p>
        </w:tc>
        <w:tc>
          <w:tcPr/>
          <w:p>
            <w:pPr>
              <w:pStyle w:val="Compact"/>
              <w:jc w:val="left"/>
            </w:pPr>
            <w:r>
              <w:t xml:space="preserve">8 [6-8]</w:t>
            </w:r>
          </w:p>
        </w:tc>
      </w:tr>
      <w:tr>
        <w:tc>
          <w:tcPr/>
          <w:p>
            <w:pPr>
              <w:pStyle w:val="Compact"/>
              <w:jc w:val="right"/>
            </w:pPr>
            <w:r>
              <w:t xml:space="preserve">6</w:t>
            </w:r>
          </w:p>
        </w:tc>
        <w:tc>
          <w:tcPr/>
          <w:p>
            <w:pPr>
              <w:pStyle w:val="Compact"/>
              <w:jc w:val="left"/>
            </w:pPr>
            <w:r>
              <w:t xml:space="preserve">25.0% (n=5)</w:t>
            </w:r>
          </w:p>
        </w:tc>
        <w:tc>
          <w:tcPr/>
          <w:p>
            <w:pPr>
              <w:pStyle w:val="Compact"/>
              <w:jc w:val="left"/>
            </w:pPr>
            <w:r>
              <w:t xml:space="preserve">45.0% (n=9)</w:t>
            </w:r>
          </w:p>
        </w:tc>
        <w:tc>
          <w:tcPr/>
          <w:p>
            <w:pPr>
              <w:pStyle w:val="Compact"/>
              <w:jc w:val="left"/>
            </w:pPr>
            <w:r>
              <w:t xml:space="preserve">30.0% (n=6)</w:t>
            </w:r>
          </w:p>
        </w:tc>
        <w:tc>
          <w:tcPr/>
          <w:p>
            <w:pPr>
              <w:pStyle w:val="Compact"/>
              <w:jc w:val="left"/>
            </w:pPr>
            <w:r>
              <w:t xml:space="preserve">Commercial</w:t>
            </w:r>
          </w:p>
        </w:tc>
        <w:tc>
          <w:tcPr/>
          <w:p>
            <w:pPr>
              <w:pStyle w:val="Compact"/>
              <w:jc w:val="right"/>
            </w:pPr>
            <w:r>
              <w:t xml:space="preserve">45</w:t>
            </w:r>
          </w:p>
        </w:tc>
        <w:tc>
          <w:tcPr/>
          <w:p>
            <w:pPr>
              <w:pStyle w:val="Compact"/>
              <w:jc w:val="left"/>
            </w:pPr>
            <w:r>
              <w:t xml:space="preserve">7 [6-8]</w:t>
            </w:r>
          </w:p>
        </w:tc>
      </w:tr>
      <w:tr>
        <w:tc>
          <w:tcPr/>
          <w:p>
            <w:pPr>
              <w:pStyle w:val="Compact"/>
              <w:jc w:val="right"/>
            </w:pPr>
            <w:r>
              <w:t xml:space="preserve">7</w:t>
            </w:r>
          </w:p>
        </w:tc>
        <w:tc>
          <w:tcPr/>
          <w:p>
            <w:pPr>
              <w:pStyle w:val="Compact"/>
              <w:jc w:val="left"/>
            </w:pPr>
            <w:r>
              <w:t xml:space="preserve">95.0% (n=19)</w:t>
            </w:r>
          </w:p>
        </w:tc>
        <w:tc>
          <w:tcPr/>
          <w:p>
            <w:pPr>
              <w:pStyle w:val="Compact"/>
              <w:jc w:val="left"/>
            </w:pPr>
            <w:r>
              <w:t xml:space="preserve">5.0% (n=1)</w:t>
            </w:r>
          </w:p>
        </w:tc>
        <w:tc>
          <w:tcPr/>
          <w:p>
            <w:pPr>
              <w:pStyle w:val="Compact"/>
              <w:jc w:val="left"/>
            </w:pPr>
            <w:r>
              <w:t xml:space="preserve">0.0% (n=0)</w:t>
            </w:r>
          </w:p>
        </w:tc>
        <w:tc>
          <w:tcPr/>
          <w:p>
            <w:pPr>
              <w:pStyle w:val="Compact"/>
              <w:jc w:val="left"/>
            </w:pPr>
            <w:r>
              <w:t xml:space="preserve">Medevac</w:t>
            </w:r>
          </w:p>
        </w:tc>
        <w:tc>
          <w:tcPr/>
          <w:p>
            <w:pPr>
              <w:pStyle w:val="Compact"/>
              <w:jc w:val="right"/>
            </w:pPr>
            <w:r>
              <w:t xml:space="preserve">95</w:t>
            </w:r>
          </w:p>
        </w:tc>
        <w:tc>
          <w:tcPr/>
          <w:p>
            <w:pPr>
              <w:pStyle w:val="Compact"/>
              <w:jc w:val="left"/>
            </w:pPr>
            <w:r>
              <w:t xml:space="preserve">10 [10-10]</w:t>
            </w:r>
          </w:p>
        </w:tc>
      </w:tr>
      <w:tr>
        <w:tc>
          <w:tcPr/>
          <w:p>
            <w:pPr>
              <w:pStyle w:val="Compact"/>
              <w:jc w:val="right"/>
            </w:pPr>
            <w:r>
              <w:t xml:space="preserve">3</w:t>
            </w:r>
          </w:p>
        </w:tc>
        <w:tc>
          <w:tcPr/>
          <w:p>
            <w:pPr>
              <w:pStyle w:val="Compact"/>
              <w:jc w:val="left"/>
            </w:pPr>
            <w:r>
              <w:t xml:space="preserve">20.0% (n=4)</w:t>
            </w:r>
          </w:p>
        </w:tc>
        <w:tc>
          <w:tcPr/>
          <w:p>
            <w:pPr>
              <w:pStyle w:val="Compact"/>
              <w:jc w:val="left"/>
            </w:pPr>
            <w:r>
              <w:t xml:space="preserve">0.0% (n=0)</w:t>
            </w:r>
          </w:p>
        </w:tc>
        <w:tc>
          <w:tcPr/>
          <w:p>
            <w:pPr>
              <w:pStyle w:val="Compact"/>
              <w:jc w:val="left"/>
            </w:pPr>
            <w:r>
              <w:t xml:space="preserve">80.0% (n=16)</w:t>
            </w:r>
          </w:p>
        </w:tc>
        <w:tc>
          <w:tcPr/>
          <w:p>
            <w:pPr>
              <w:pStyle w:val="Compact"/>
              <w:jc w:val="left"/>
            </w:pPr>
            <w:r>
              <w:t xml:space="preserve">Remain</w:t>
            </w:r>
          </w:p>
        </w:tc>
        <w:tc>
          <w:tcPr/>
          <w:p>
            <w:pPr>
              <w:pStyle w:val="Compact"/>
              <w:jc w:val="right"/>
            </w:pPr>
            <w:r>
              <w:t xml:space="preserve">80</w:t>
            </w:r>
          </w:p>
        </w:tc>
        <w:tc>
          <w:tcPr/>
          <w:p>
            <w:pPr>
              <w:pStyle w:val="Compact"/>
              <w:jc w:val="left"/>
            </w:pPr>
            <w:r>
              <w:t xml:space="preserve">7 [5-8]</w:t>
            </w:r>
          </w:p>
        </w:tc>
      </w:tr>
      <w:tr>
        <w:tc>
          <w:tcPr/>
          <w:p>
            <w:pPr>
              <w:pStyle w:val="Compact"/>
              <w:jc w:val="right"/>
            </w:pPr>
            <w:r>
              <w:t xml:space="preserve">8</w:t>
            </w:r>
          </w:p>
        </w:tc>
        <w:tc>
          <w:tcPr/>
          <w:p>
            <w:pPr>
              <w:pStyle w:val="Compact"/>
              <w:jc w:val="left"/>
            </w:pPr>
            <w:r>
              <w:t xml:space="preserve">5.0% (n=1)</w:t>
            </w:r>
          </w:p>
        </w:tc>
        <w:tc>
          <w:tcPr/>
          <w:p>
            <w:pPr>
              <w:pStyle w:val="Compact"/>
              <w:jc w:val="left"/>
            </w:pPr>
            <w:r>
              <w:t xml:space="preserve">15.0% (n=3)</w:t>
            </w:r>
          </w:p>
        </w:tc>
        <w:tc>
          <w:tcPr/>
          <w:p>
            <w:pPr>
              <w:pStyle w:val="Compact"/>
              <w:jc w:val="left"/>
            </w:pPr>
            <w:r>
              <w:t xml:space="preserve">80.0% (n=16)</w:t>
            </w:r>
          </w:p>
        </w:tc>
        <w:tc>
          <w:tcPr/>
          <w:p>
            <w:pPr>
              <w:pStyle w:val="Compact"/>
              <w:jc w:val="left"/>
            </w:pPr>
            <w:r>
              <w:t xml:space="preserve">Remain</w:t>
            </w:r>
          </w:p>
        </w:tc>
        <w:tc>
          <w:tcPr/>
          <w:p>
            <w:pPr>
              <w:pStyle w:val="Compact"/>
              <w:jc w:val="right"/>
            </w:pPr>
            <w:r>
              <w:t xml:space="preserve">80</w:t>
            </w:r>
          </w:p>
        </w:tc>
        <w:tc>
          <w:tcPr/>
          <w:p>
            <w:pPr>
              <w:pStyle w:val="Compact"/>
              <w:jc w:val="left"/>
            </w:pPr>
            <w:r>
              <w:t xml:space="preserve">8 [6-8]</w:t>
            </w:r>
          </w:p>
        </w:tc>
      </w:tr>
      <w:tr>
        <w:tc>
          <w:tcPr/>
          <w:p>
            <w:pPr>
              <w:pStyle w:val="Compact"/>
              <w:jc w:val="right"/>
            </w:pPr>
            <w:r>
              <w:t xml:space="preserve">9</w:t>
            </w:r>
          </w:p>
        </w:tc>
        <w:tc>
          <w:tcPr/>
          <w:p>
            <w:pPr>
              <w:pStyle w:val="Compact"/>
              <w:jc w:val="left"/>
            </w:pPr>
            <w:r>
              <w:t xml:space="preserve">0.0% (n=0)</w:t>
            </w:r>
          </w:p>
        </w:tc>
        <w:tc>
          <w:tcPr/>
          <w:p>
            <w:pPr>
              <w:pStyle w:val="Compact"/>
              <w:jc w:val="left"/>
            </w:pPr>
            <w:r>
              <w:t xml:space="preserve">75.0% (n=15)</w:t>
            </w:r>
          </w:p>
        </w:tc>
        <w:tc>
          <w:tcPr/>
          <w:p>
            <w:pPr>
              <w:pStyle w:val="Compact"/>
              <w:jc w:val="left"/>
            </w:pPr>
            <w:r>
              <w:t xml:space="preserve">25.0% (n=5)</w:t>
            </w:r>
          </w:p>
        </w:tc>
        <w:tc>
          <w:tcPr/>
          <w:p>
            <w:pPr>
              <w:pStyle w:val="Compact"/>
              <w:jc w:val="left"/>
            </w:pPr>
            <w:r>
              <w:t xml:space="preserve">Commercial</w:t>
            </w:r>
          </w:p>
        </w:tc>
        <w:tc>
          <w:tcPr/>
          <w:p>
            <w:pPr>
              <w:pStyle w:val="Compact"/>
              <w:jc w:val="right"/>
            </w:pPr>
            <w:r>
              <w:t xml:space="preserve">75</w:t>
            </w:r>
          </w:p>
        </w:tc>
        <w:tc>
          <w:tcPr/>
          <w:p>
            <w:pPr>
              <w:pStyle w:val="Compact"/>
              <w:jc w:val="left"/>
            </w:pPr>
            <w:r>
              <w:t xml:space="preserve">8 [6-9]</w:t>
            </w:r>
          </w:p>
        </w:tc>
      </w:tr>
      <w:tr>
        <w:tc>
          <w:tcPr/>
          <w:p>
            <w:pPr>
              <w:pStyle w:val="Compact"/>
              <w:jc w:val="right"/>
            </w:pPr>
            <w:r>
              <w:t xml:space="preserve">11</w:t>
            </w:r>
          </w:p>
        </w:tc>
        <w:tc>
          <w:tcPr/>
          <w:p>
            <w:pPr>
              <w:pStyle w:val="Compact"/>
              <w:jc w:val="left"/>
            </w:pPr>
            <w:r>
              <w:t xml:space="preserve">0.0% (n=0)</w:t>
            </w:r>
          </w:p>
        </w:tc>
        <w:tc>
          <w:tcPr/>
          <w:p>
            <w:pPr>
              <w:pStyle w:val="Compact"/>
              <w:jc w:val="left"/>
            </w:pPr>
            <w:r>
              <w:t xml:space="preserve">25.0% (n=5)</w:t>
            </w:r>
          </w:p>
        </w:tc>
        <w:tc>
          <w:tcPr/>
          <w:p>
            <w:pPr>
              <w:pStyle w:val="Compact"/>
              <w:jc w:val="left"/>
            </w:pPr>
            <w:r>
              <w:t xml:space="preserve">75.0% (n=15)</w:t>
            </w:r>
          </w:p>
        </w:tc>
        <w:tc>
          <w:tcPr/>
          <w:p>
            <w:pPr>
              <w:pStyle w:val="Compact"/>
              <w:jc w:val="left"/>
            </w:pPr>
            <w:r>
              <w:t xml:space="preserve">Remain</w:t>
            </w:r>
          </w:p>
        </w:tc>
        <w:tc>
          <w:tcPr/>
          <w:p>
            <w:pPr>
              <w:pStyle w:val="Compact"/>
              <w:jc w:val="right"/>
            </w:pPr>
            <w:r>
              <w:t xml:space="preserve">75</w:t>
            </w:r>
          </w:p>
        </w:tc>
        <w:tc>
          <w:tcPr/>
          <w:p>
            <w:pPr>
              <w:pStyle w:val="Compact"/>
              <w:jc w:val="left"/>
            </w:pPr>
            <w:r>
              <w:t xml:space="preserve">8 [6-8]</w:t>
            </w:r>
          </w:p>
        </w:tc>
      </w:tr>
      <w:tr>
        <w:tc>
          <w:tcPr/>
          <w:p>
            <w:pPr>
              <w:pStyle w:val="Compact"/>
              <w:jc w:val="right"/>
            </w:pPr>
            <w:r>
              <w:t xml:space="preserve">10</w:t>
            </w:r>
          </w:p>
        </w:tc>
        <w:tc>
          <w:tcPr/>
          <w:p>
            <w:pPr>
              <w:pStyle w:val="Compact"/>
              <w:jc w:val="left"/>
            </w:pPr>
            <w:r>
              <w:t xml:space="preserve">70.0% (n=14)</w:t>
            </w:r>
          </w:p>
        </w:tc>
        <w:tc>
          <w:tcPr/>
          <w:p>
            <w:pPr>
              <w:pStyle w:val="Compact"/>
              <w:jc w:val="left"/>
            </w:pPr>
            <w:r>
              <w:t xml:space="preserve">30.0% (n=6)</w:t>
            </w:r>
          </w:p>
        </w:tc>
        <w:tc>
          <w:tcPr/>
          <w:p>
            <w:pPr>
              <w:pStyle w:val="Compact"/>
              <w:jc w:val="left"/>
            </w:pPr>
            <w:r>
              <w:t xml:space="preserve">0.0% (n=0)</w:t>
            </w:r>
          </w:p>
        </w:tc>
        <w:tc>
          <w:tcPr/>
          <w:p>
            <w:pPr>
              <w:pStyle w:val="Compact"/>
              <w:jc w:val="left"/>
            </w:pPr>
            <w:r>
              <w:t xml:space="preserve">Medevac</w:t>
            </w:r>
          </w:p>
        </w:tc>
        <w:tc>
          <w:tcPr/>
          <w:p>
            <w:pPr>
              <w:pStyle w:val="Compact"/>
              <w:jc w:val="right"/>
            </w:pPr>
            <w:r>
              <w:t xml:space="preserve">70</w:t>
            </w:r>
          </w:p>
        </w:tc>
        <w:tc>
          <w:tcPr/>
          <w:p>
            <w:pPr>
              <w:pStyle w:val="Compact"/>
              <w:jc w:val="left"/>
            </w:pPr>
            <w:r>
              <w:t xml:space="preserve">8 [7-9]</w:t>
            </w:r>
          </w:p>
        </w:tc>
      </w:tr>
      <w:tr>
        <w:tc>
          <w:tcPr/>
          <w:p>
            <w:pPr>
              <w:pStyle w:val="Compact"/>
              <w:jc w:val="right"/>
            </w:pPr>
            <w:r>
              <w:t xml:space="preserve">15</w:t>
            </w:r>
          </w:p>
        </w:tc>
        <w:tc>
          <w:tcPr/>
          <w:p>
            <w:pPr>
              <w:pStyle w:val="Compact"/>
              <w:jc w:val="left"/>
            </w:pPr>
            <w:r>
              <w:t xml:space="preserve">65.0% (n=13)</w:t>
            </w:r>
          </w:p>
        </w:tc>
        <w:tc>
          <w:tcPr/>
          <w:p>
            <w:pPr>
              <w:pStyle w:val="Compact"/>
              <w:jc w:val="left"/>
            </w:pPr>
            <w:r>
              <w:t xml:space="preserve">30.0% (n=6)</w:t>
            </w:r>
          </w:p>
        </w:tc>
        <w:tc>
          <w:tcPr/>
          <w:p>
            <w:pPr>
              <w:pStyle w:val="Compact"/>
              <w:jc w:val="left"/>
            </w:pPr>
            <w:r>
              <w:t xml:space="preserve">5.0% (n=1)</w:t>
            </w:r>
          </w:p>
        </w:tc>
        <w:tc>
          <w:tcPr/>
          <w:p>
            <w:pPr>
              <w:pStyle w:val="Compact"/>
              <w:jc w:val="left"/>
            </w:pPr>
            <w:r>
              <w:t xml:space="preserve">Medevac</w:t>
            </w:r>
          </w:p>
        </w:tc>
        <w:tc>
          <w:tcPr/>
          <w:p>
            <w:pPr>
              <w:pStyle w:val="Compact"/>
              <w:jc w:val="right"/>
            </w:pPr>
            <w:r>
              <w:t xml:space="preserve">65</w:t>
            </w:r>
          </w:p>
        </w:tc>
        <w:tc>
          <w:tcPr/>
          <w:p>
            <w:pPr>
              <w:pStyle w:val="Compact"/>
              <w:jc w:val="left"/>
            </w:pPr>
            <w:r>
              <w:t xml:space="preserve">8 [6-10]</w:t>
            </w:r>
          </w:p>
        </w:tc>
      </w:tr>
      <w:tr>
        <w:tc>
          <w:tcPr/>
          <w:p>
            <w:pPr>
              <w:pStyle w:val="Compact"/>
              <w:jc w:val="right"/>
            </w:pPr>
            <w:r>
              <w:t xml:space="preserve">20</w:t>
            </w:r>
          </w:p>
        </w:tc>
        <w:tc>
          <w:tcPr/>
          <w:p>
            <w:pPr>
              <w:pStyle w:val="Compact"/>
              <w:jc w:val="left"/>
            </w:pPr>
            <w:r>
              <w:t xml:space="preserve">65.0% (n=13)</w:t>
            </w:r>
          </w:p>
        </w:tc>
        <w:tc>
          <w:tcPr/>
          <w:p>
            <w:pPr>
              <w:pStyle w:val="Compact"/>
              <w:jc w:val="left"/>
            </w:pPr>
            <w:r>
              <w:t xml:space="preserve">25.0% (n=5)</w:t>
            </w:r>
          </w:p>
        </w:tc>
        <w:tc>
          <w:tcPr/>
          <w:p>
            <w:pPr>
              <w:pStyle w:val="Compact"/>
              <w:jc w:val="left"/>
            </w:pPr>
            <w:r>
              <w:t xml:space="preserve">10.0% (n=2)</w:t>
            </w:r>
          </w:p>
        </w:tc>
        <w:tc>
          <w:tcPr/>
          <w:p>
            <w:pPr>
              <w:pStyle w:val="Compact"/>
              <w:jc w:val="left"/>
            </w:pPr>
            <w:r>
              <w:t xml:space="preserve">Medevac</w:t>
            </w:r>
          </w:p>
        </w:tc>
        <w:tc>
          <w:tcPr/>
          <w:p>
            <w:pPr>
              <w:pStyle w:val="Compact"/>
              <w:jc w:val="right"/>
            </w:pPr>
            <w:r>
              <w:t xml:space="preserve">65</w:t>
            </w:r>
          </w:p>
        </w:tc>
        <w:tc>
          <w:tcPr/>
          <w:p>
            <w:pPr>
              <w:pStyle w:val="Compact"/>
              <w:jc w:val="left"/>
            </w:pPr>
            <w:r>
              <w:t xml:space="preserve">7 [5-9]</w:t>
            </w:r>
          </w:p>
        </w:tc>
      </w:tr>
      <w:tr>
        <w:tc>
          <w:tcPr/>
          <w:p>
            <w:pPr>
              <w:pStyle w:val="Compact"/>
              <w:jc w:val="right"/>
            </w:pPr>
            <w:r>
              <w:t xml:space="preserve">12</w:t>
            </w:r>
          </w:p>
        </w:tc>
        <w:tc>
          <w:tcPr/>
          <w:p>
            <w:pPr>
              <w:pStyle w:val="Compact"/>
              <w:jc w:val="left"/>
            </w:pPr>
            <w:r>
              <w:t xml:space="preserve">45.0% (n=9)</w:t>
            </w:r>
          </w:p>
        </w:tc>
        <w:tc>
          <w:tcPr/>
          <w:p>
            <w:pPr>
              <w:pStyle w:val="Compact"/>
              <w:jc w:val="left"/>
            </w:pPr>
            <w:r>
              <w:t xml:space="preserve">40.0% (n=8)</w:t>
            </w:r>
          </w:p>
        </w:tc>
        <w:tc>
          <w:tcPr/>
          <w:p>
            <w:pPr>
              <w:pStyle w:val="Compact"/>
              <w:jc w:val="left"/>
            </w:pPr>
            <w:r>
              <w:t xml:space="preserve">15.0% (n=3)</w:t>
            </w:r>
          </w:p>
        </w:tc>
        <w:tc>
          <w:tcPr/>
          <w:p>
            <w:pPr>
              <w:pStyle w:val="Compact"/>
              <w:jc w:val="left"/>
            </w:pPr>
            <w:r>
              <w:t xml:space="preserve">Medevac</w:t>
            </w:r>
          </w:p>
        </w:tc>
        <w:tc>
          <w:tcPr/>
          <w:p>
            <w:pPr>
              <w:pStyle w:val="Compact"/>
              <w:jc w:val="right"/>
            </w:pPr>
            <w:r>
              <w:t xml:space="preserve">45</w:t>
            </w:r>
          </w:p>
        </w:tc>
        <w:tc>
          <w:tcPr/>
          <w:p>
            <w:pPr>
              <w:pStyle w:val="Compact"/>
              <w:jc w:val="left"/>
            </w:pPr>
            <w:r>
              <w:t xml:space="preserve">6 [5-8]</w:t>
            </w:r>
          </w:p>
        </w:tc>
      </w:tr>
      <w:tr>
        <w:tc>
          <w:tcPr/>
          <w:p>
            <w:pPr>
              <w:pStyle w:val="Compact"/>
              <w:jc w:val="right"/>
            </w:pPr>
            <w:r>
              <w:t xml:space="preserve">16</w:t>
            </w:r>
          </w:p>
        </w:tc>
        <w:tc>
          <w:tcPr/>
          <w:p>
            <w:pPr>
              <w:pStyle w:val="Compact"/>
              <w:jc w:val="left"/>
            </w:pPr>
            <w:r>
              <w:t xml:space="preserve">75.0% (n=15)</w:t>
            </w:r>
          </w:p>
        </w:tc>
        <w:tc>
          <w:tcPr/>
          <w:p>
            <w:pPr>
              <w:pStyle w:val="Compact"/>
              <w:jc w:val="left"/>
            </w:pPr>
            <w:r>
              <w:t xml:space="preserve">0.0% (n=0)</w:t>
            </w:r>
          </w:p>
        </w:tc>
        <w:tc>
          <w:tcPr/>
          <w:p>
            <w:pPr>
              <w:pStyle w:val="Compact"/>
              <w:jc w:val="left"/>
            </w:pPr>
            <w:r>
              <w:t xml:space="preserve">25.0% (n=5)</w:t>
            </w:r>
          </w:p>
        </w:tc>
        <w:tc>
          <w:tcPr/>
          <w:p>
            <w:pPr>
              <w:pStyle w:val="Compact"/>
              <w:jc w:val="left"/>
            </w:pPr>
            <w:r>
              <w:t xml:space="preserve">Medevac</w:t>
            </w:r>
          </w:p>
        </w:tc>
        <w:tc>
          <w:tcPr/>
          <w:p>
            <w:pPr>
              <w:pStyle w:val="Compact"/>
              <w:jc w:val="right"/>
            </w:pPr>
            <w:r>
              <w:t xml:space="preserve">75</w:t>
            </w:r>
          </w:p>
        </w:tc>
        <w:tc>
          <w:tcPr/>
          <w:p>
            <w:pPr>
              <w:pStyle w:val="Compact"/>
              <w:jc w:val="left"/>
            </w:pPr>
            <w:r>
              <w:t xml:space="preserve">9 [5-10]</w:t>
            </w:r>
          </w:p>
        </w:tc>
      </w:tr>
      <w:tr>
        <w:tc>
          <w:tcPr/>
          <w:p>
            <w:pPr>
              <w:pStyle w:val="Compact"/>
              <w:jc w:val="right"/>
            </w:pPr>
            <w:r>
              <w:t xml:space="preserve">18</w:t>
            </w:r>
          </w:p>
        </w:tc>
        <w:tc>
          <w:tcPr/>
          <w:p>
            <w:pPr>
              <w:pStyle w:val="Compact"/>
              <w:jc w:val="left"/>
            </w:pPr>
            <w:r>
              <w:t xml:space="preserve">25.0% (n=5)</w:t>
            </w:r>
          </w:p>
        </w:tc>
        <w:tc>
          <w:tcPr/>
          <w:p>
            <w:pPr>
              <w:pStyle w:val="Compact"/>
              <w:jc w:val="left"/>
            </w:pPr>
            <w:r>
              <w:t xml:space="preserve">0.0% (n=0)</w:t>
            </w:r>
          </w:p>
        </w:tc>
        <w:tc>
          <w:tcPr/>
          <w:p>
            <w:pPr>
              <w:pStyle w:val="Compact"/>
              <w:jc w:val="left"/>
            </w:pPr>
            <w:r>
              <w:t xml:space="preserve">75.0% (n=15)</w:t>
            </w:r>
          </w:p>
        </w:tc>
        <w:tc>
          <w:tcPr/>
          <w:p>
            <w:pPr>
              <w:pStyle w:val="Compact"/>
              <w:jc w:val="left"/>
            </w:pPr>
            <w:r>
              <w:t xml:space="preserve">Remain</w:t>
            </w:r>
          </w:p>
        </w:tc>
        <w:tc>
          <w:tcPr/>
          <w:p>
            <w:pPr>
              <w:pStyle w:val="Compact"/>
              <w:jc w:val="right"/>
            </w:pPr>
            <w:r>
              <w:t xml:space="preserve">75</w:t>
            </w:r>
          </w:p>
        </w:tc>
        <w:tc>
          <w:tcPr/>
          <w:p>
            <w:pPr>
              <w:pStyle w:val="Compact"/>
              <w:jc w:val="left"/>
            </w:pPr>
            <w:r>
              <w:t xml:space="preserve">9 [8-10]</w:t>
            </w:r>
          </w:p>
        </w:tc>
      </w:tr>
      <w:tr>
        <w:tc>
          <w:tcPr/>
          <w:p>
            <w:pPr>
              <w:pStyle w:val="Compact"/>
              <w:jc w:val="right"/>
            </w:pPr>
            <w:r>
              <w:t xml:space="preserve">17</w:t>
            </w:r>
          </w:p>
        </w:tc>
        <w:tc>
          <w:tcPr/>
          <w:p>
            <w:pPr>
              <w:pStyle w:val="Compact"/>
              <w:jc w:val="left"/>
            </w:pPr>
            <w:r>
              <w:t xml:space="preserve">50.0% (n=10)</w:t>
            </w:r>
          </w:p>
        </w:tc>
        <w:tc>
          <w:tcPr/>
          <w:p>
            <w:pPr>
              <w:pStyle w:val="Compact"/>
              <w:jc w:val="left"/>
            </w:pPr>
            <w:r>
              <w:t xml:space="preserve">0.0% (n=0)</w:t>
            </w:r>
          </w:p>
        </w:tc>
        <w:tc>
          <w:tcPr/>
          <w:p>
            <w:pPr>
              <w:pStyle w:val="Compact"/>
              <w:jc w:val="left"/>
            </w:pPr>
            <w:r>
              <w:t xml:space="preserve">50.0% (n=10)</w:t>
            </w:r>
          </w:p>
        </w:tc>
        <w:tc>
          <w:tcPr/>
          <w:p>
            <w:pPr>
              <w:pStyle w:val="Compact"/>
              <w:jc w:val="left"/>
            </w:pPr>
            <w:r>
              <w:t xml:space="preserve">Medevac</w:t>
            </w:r>
          </w:p>
        </w:tc>
        <w:tc>
          <w:tcPr/>
          <w:p>
            <w:pPr>
              <w:pStyle w:val="Compact"/>
              <w:jc w:val="right"/>
            </w:pPr>
            <w:r>
              <w:t xml:space="preserve">50</w:t>
            </w:r>
          </w:p>
        </w:tc>
        <w:tc>
          <w:tcPr/>
          <w:p>
            <w:pPr>
              <w:pStyle w:val="Compact"/>
              <w:jc w:val="left"/>
            </w:pPr>
            <w:r>
              <w:t xml:space="preserve">7 [5-8]</w:t>
            </w:r>
          </w:p>
        </w:tc>
      </w:tr>
      <w:tr>
        <w:tc>
          <w:tcPr/>
          <w:p>
            <w:pPr>
              <w:pStyle w:val="Compact"/>
              <w:jc w:val="right"/>
            </w:pPr>
            <w:r>
              <w:t xml:space="preserve">1</w:t>
            </w:r>
          </w:p>
        </w:tc>
        <w:tc>
          <w:tcPr/>
          <w:p>
            <w:pPr>
              <w:pStyle w:val="Compact"/>
              <w:jc w:val="left"/>
            </w:pPr>
            <w:r>
              <w:t xml:space="preserve">100.0% (n=20)</w:t>
            </w:r>
          </w:p>
        </w:tc>
        <w:tc>
          <w:tcPr/>
          <w:p>
            <w:pPr>
              <w:pStyle w:val="Compact"/>
              <w:jc w:val="left"/>
            </w:pPr>
            <w:r>
              <w:t xml:space="preserve">0.0% (n=0)</w:t>
            </w:r>
          </w:p>
        </w:tc>
        <w:tc>
          <w:tcPr/>
          <w:p>
            <w:pPr>
              <w:pStyle w:val="Compact"/>
              <w:jc w:val="left"/>
            </w:pPr>
            <w:r>
              <w:t xml:space="preserve">0.0% (n=0)</w:t>
            </w:r>
          </w:p>
        </w:tc>
        <w:tc>
          <w:tcPr/>
          <w:p>
            <w:pPr>
              <w:pStyle w:val="Compact"/>
              <w:jc w:val="left"/>
            </w:pPr>
            <w:r>
              <w:t xml:space="preserve">Medevac</w:t>
            </w:r>
          </w:p>
        </w:tc>
        <w:tc>
          <w:tcPr/>
          <w:p>
            <w:pPr>
              <w:pStyle w:val="Compact"/>
              <w:jc w:val="right"/>
            </w:pPr>
            <w:r>
              <w:t xml:space="preserve">100</w:t>
            </w:r>
          </w:p>
        </w:tc>
        <w:tc>
          <w:tcPr/>
          <w:p>
            <w:pPr>
              <w:pStyle w:val="Compact"/>
              <w:jc w:val="left"/>
            </w:pPr>
            <w:r>
              <w:t xml:space="preserve">10 [10-10]</w:t>
            </w:r>
          </w:p>
        </w:tc>
      </w:tr>
      <w:tr>
        <w:tc>
          <w:tcPr/>
          <w:p>
            <w:pPr>
              <w:pStyle w:val="Compact"/>
              <w:jc w:val="right"/>
            </w:pPr>
            <w:r>
              <w:t xml:space="preserve">13</w:t>
            </w:r>
          </w:p>
        </w:tc>
        <w:tc>
          <w:tcPr/>
          <w:p>
            <w:pPr>
              <w:pStyle w:val="Compact"/>
              <w:jc w:val="left"/>
            </w:pPr>
            <w:r>
              <w:t xml:space="preserve">100.0% (n=20)</w:t>
            </w:r>
          </w:p>
        </w:tc>
        <w:tc>
          <w:tcPr/>
          <w:p>
            <w:pPr>
              <w:pStyle w:val="Compact"/>
              <w:jc w:val="left"/>
            </w:pPr>
            <w:r>
              <w:t xml:space="preserve">0.0% (n=0)</w:t>
            </w:r>
          </w:p>
        </w:tc>
        <w:tc>
          <w:tcPr/>
          <w:p>
            <w:pPr>
              <w:pStyle w:val="Compact"/>
              <w:jc w:val="left"/>
            </w:pPr>
            <w:r>
              <w:t xml:space="preserve">0.0% (n=0)</w:t>
            </w:r>
          </w:p>
        </w:tc>
        <w:tc>
          <w:tcPr/>
          <w:p>
            <w:pPr>
              <w:pStyle w:val="Compact"/>
              <w:jc w:val="left"/>
            </w:pPr>
            <w:r>
              <w:t xml:space="preserve">Medevac</w:t>
            </w:r>
          </w:p>
        </w:tc>
        <w:tc>
          <w:tcPr/>
          <w:p>
            <w:pPr>
              <w:pStyle w:val="Compact"/>
              <w:jc w:val="right"/>
            </w:pPr>
            <w:r>
              <w:t xml:space="preserve">100</w:t>
            </w:r>
          </w:p>
        </w:tc>
        <w:tc>
          <w:tcPr/>
          <w:p>
            <w:pPr>
              <w:pStyle w:val="Compact"/>
              <w:jc w:val="left"/>
            </w:pPr>
            <w:r>
              <w:t xml:space="preserve">10 [9-10]</w:t>
            </w:r>
          </w:p>
        </w:tc>
      </w:tr>
      <w:tr>
        <w:tc>
          <w:tcPr/>
          <w:p>
            <w:pPr>
              <w:pStyle w:val="Compact"/>
              <w:jc w:val="right"/>
            </w:pPr>
            <w:r>
              <w:t xml:space="preserve">19</w:t>
            </w:r>
          </w:p>
        </w:tc>
        <w:tc>
          <w:tcPr/>
          <w:p>
            <w:pPr>
              <w:pStyle w:val="Compact"/>
              <w:jc w:val="left"/>
            </w:pPr>
            <w:r>
              <w:t xml:space="preserve">100.0% (n=20)</w:t>
            </w:r>
          </w:p>
        </w:tc>
        <w:tc>
          <w:tcPr/>
          <w:p>
            <w:pPr>
              <w:pStyle w:val="Compact"/>
              <w:jc w:val="left"/>
            </w:pPr>
            <w:r>
              <w:t xml:space="preserve">0.0% (n=0)</w:t>
            </w:r>
          </w:p>
        </w:tc>
        <w:tc>
          <w:tcPr/>
          <w:p>
            <w:pPr>
              <w:pStyle w:val="Compact"/>
              <w:jc w:val="left"/>
            </w:pPr>
            <w:r>
              <w:t xml:space="preserve">0.0% (n=0)</w:t>
            </w:r>
          </w:p>
        </w:tc>
        <w:tc>
          <w:tcPr/>
          <w:p>
            <w:pPr>
              <w:pStyle w:val="Compact"/>
              <w:jc w:val="left"/>
            </w:pPr>
            <w:r>
              <w:t xml:space="preserve">Medevac</w:t>
            </w:r>
          </w:p>
        </w:tc>
        <w:tc>
          <w:tcPr/>
          <w:p>
            <w:pPr>
              <w:pStyle w:val="Compact"/>
              <w:jc w:val="right"/>
            </w:pPr>
            <w:r>
              <w:t xml:space="preserve">100</w:t>
            </w:r>
          </w:p>
        </w:tc>
        <w:tc>
          <w:tcPr/>
          <w:p>
            <w:pPr>
              <w:pStyle w:val="Compact"/>
              <w:jc w:val="left"/>
            </w:pPr>
            <w:r>
              <w:t xml:space="preserve">10 [8-10]</w:t>
            </w:r>
          </w:p>
        </w:tc>
      </w:tr>
      <w:tr>
        <w:tc>
          <w:tcPr/>
          <w:p>
            <w:pPr>
              <w:pStyle w:val="Compact"/>
              <w:jc w:val="right"/>
            </w:pPr>
            <w:r>
              <w:t xml:space="preserve">4</w:t>
            </w:r>
          </w:p>
        </w:tc>
        <w:tc>
          <w:tcPr/>
          <w:p>
            <w:pPr>
              <w:pStyle w:val="Compact"/>
              <w:jc w:val="left"/>
            </w:pPr>
            <w:r>
              <w:t xml:space="preserve">95.0% (n=19)</w:t>
            </w:r>
          </w:p>
        </w:tc>
        <w:tc>
          <w:tcPr/>
          <w:p>
            <w:pPr>
              <w:pStyle w:val="Compact"/>
              <w:jc w:val="left"/>
            </w:pPr>
            <w:r>
              <w:t xml:space="preserve">0.0% (n=0)</w:t>
            </w:r>
          </w:p>
        </w:tc>
        <w:tc>
          <w:tcPr/>
          <w:p>
            <w:pPr>
              <w:pStyle w:val="Compact"/>
              <w:jc w:val="left"/>
            </w:pPr>
            <w:r>
              <w:t xml:space="preserve">5.0% (n=1)</w:t>
            </w:r>
          </w:p>
        </w:tc>
        <w:tc>
          <w:tcPr/>
          <w:p>
            <w:pPr>
              <w:pStyle w:val="Compact"/>
              <w:jc w:val="left"/>
            </w:pPr>
            <w:r>
              <w:t xml:space="preserve">Medevac</w:t>
            </w:r>
          </w:p>
        </w:tc>
        <w:tc>
          <w:tcPr/>
          <w:p>
            <w:pPr>
              <w:pStyle w:val="Compact"/>
              <w:jc w:val="right"/>
            </w:pPr>
            <w:r>
              <w:t xml:space="preserve">95</w:t>
            </w:r>
          </w:p>
        </w:tc>
        <w:tc>
          <w:tcPr/>
          <w:p>
            <w:pPr>
              <w:pStyle w:val="Compact"/>
              <w:jc w:val="left"/>
            </w:pPr>
            <w:r>
              <w:t xml:space="preserve">10 [9-10]</w:t>
            </w:r>
          </w:p>
        </w:tc>
      </w:tr>
    </w:tbl>
    <w:p>
      <w:pPr>
        <w:pStyle w:val="BodyText"/>
      </w:pPr>
      <w:r>
        <w:rPr>
          <w:b/>
          <w:bCs/>
        </w:rPr>
        <w:t xml:space="preserve">Table 2 Notes:</w:t>
      </w:r>
      <w:r>
        <w:t xml:space="preserve"> </w:t>
      </w:r>
      <w:r>
        <w:t xml:space="preserve">-</w:t>
      </w:r>
      <w:r>
        <w:t xml:space="preserve"> </w:t>
      </w:r>
      <w:r>
        <w:rPr>
          <w:b/>
          <w:bCs/>
        </w:rPr>
        <w:t xml:space="preserve">Median Conf. [IQR]</w:t>
      </w:r>
      <w:r>
        <w:t xml:space="preserve">: Median confidence rating with interquartile range (1-10 scale)</w:t>
      </w:r>
      <w:r>
        <w:t xml:space="preserve"> </w:t>
      </w:r>
      <w:r>
        <w:t xml:space="preserve">- Vignettes grouped by vignette type (matching Table 1 classification)</w:t>
      </w:r>
    </w:p>
    <w:p>
      <w:r>
        <w:pict>
          <v:rect style="width:0;height:1.5pt" o:hralign="center" o:hrstd="t" o:hr="t"/>
        </w:pict>
      </w:r>
    </w:p>
    <w:bookmarkStart w:id="29" w:name="Xdf2609aa78a61fdb53d94c3261d815b2ae07795"/>
    <w:p>
      <w:pPr>
        <w:pStyle w:val="Heading2"/>
      </w:pPr>
      <w:r>
        <w:t xml:space="preserve">4.1 Figure 2: Decision Distribution by Vignette Type</w:t>
      </w:r>
    </w:p>
    <w:p>
      <w:pPr>
        <w:pStyle w:val="FirstParagraph"/>
      </w:pPr>
      <w:r>
        <w:drawing>
          <wp:inline>
            <wp:extent cx="5334000" cy="3111500"/>
            <wp:effectExtent b="0" l="0" r="0" t="0"/>
            <wp:docPr descr="" title="" id="27" name="Picture"/>
            <a:graphic>
              <a:graphicData uri="http://schemas.openxmlformats.org/drawingml/2006/picture">
                <pic:pic>
                  <pic:nvPicPr>
                    <pic:cNvPr descr="final_report_18Dec2025_files/figure-docx/figure2-combined-lines-1.png" id="28" name="Picture"/>
                    <pic:cNvPicPr>
                      <a:picLocks noChangeArrowheads="1" noChangeAspect="1"/>
                    </pic:cNvPicPr>
                  </pic:nvPicPr>
                  <pic:blipFill>
                    <a:blip r:embed="rId26"/>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rPr>
          <w:b/>
          <w:bCs/>
        </w:rPr>
        <w:t xml:space="preserve">Key Patterns:</w:t>
      </w:r>
      <w:r>
        <w:t xml:space="preserve"> </w:t>
      </w:r>
      <w:r>
        <w:t xml:space="preserve">-</w:t>
      </w:r>
      <w:r>
        <w:t xml:space="preserve"> </w:t>
      </w:r>
      <w:r>
        <w:rPr>
          <w:b/>
          <w:bCs/>
        </w:rPr>
        <w:t xml:space="preserve">% Medevac</w:t>
      </w:r>
      <w:r>
        <w:t xml:space="preserve"> </w:t>
      </w:r>
      <w:r>
        <w:t xml:space="preserve">(green): Strong gradient from Never (0%) to Always (100%)</w:t>
      </w:r>
      <w:r>
        <w:t xml:space="preserve"> </w:t>
      </w:r>
      <w:r>
        <w:t xml:space="preserve">-</w:t>
      </w:r>
      <w:r>
        <w:t xml:space="preserve"> </w:t>
      </w:r>
      <w:r>
        <w:rPr>
          <w:b/>
          <w:bCs/>
        </w:rPr>
        <w:t xml:space="preserve">% Commercial</w:t>
      </w:r>
      <w:r>
        <w:t xml:space="preserve"> </w:t>
      </w:r>
      <w:r>
        <w:t xml:space="preserve">(purple): Higher for intermediate scenarios</w:t>
      </w:r>
      <w:r>
        <w:t xml:space="preserve"> </w:t>
      </w:r>
      <w:r>
        <w:t xml:space="preserve">-</w:t>
      </w:r>
      <w:r>
        <w:t xml:space="preserve"> </w:t>
      </w:r>
      <w:r>
        <w:rPr>
          <w:b/>
          <w:bCs/>
        </w:rPr>
        <w:t xml:space="preserve">% Remain</w:t>
      </w:r>
      <w:r>
        <w:t xml:space="preserve"> </w:t>
      </w:r>
      <w:r>
        <w:t xml:space="preserve">(red): Higher when medevac is not indicated</w:t>
      </w:r>
      <w:r>
        <w:t xml:space="preserve"> </w:t>
      </w:r>
      <w:r>
        <w:t xml:space="preserve">- Error bars show 95% confidence intervals</w:t>
      </w:r>
    </w:p>
    <w:p>
      <w:r>
        <w:pict>
          <v:rect style="width:0;height:1.5pt" o:hralign="center" o:hrstd="t" o:hr="t"/>
        </w:pict>
      </w:r>
    </w:p>
    <w:bookmarkEnd w:id="29"/>
    <w:bookmarkStart w:id="33" w:name="X18674cdd4640c89d42097e91a07b04f884faebc"/>
    <w:p>
      <w:pPr>
        <w:pStyle w:val="Heading2"/>
      </w:pPr>
      <w:r>
        <w:t xml:space="preserve">4.2 Figure 3: Confidence and Agreement by Vignette</w:t>
      </w:r>
    </w:p>
    <w:p>
      <w:pPr>
        <w:pStyle w:val="FirstParagraph"/>
      </w:pPr>
      <w:r>
        <w:drawing>
          <wp:inline>
            <wp:extent cx="5334000" cy="3556000"/>
            <wp:effectExtent b="0" l="0" r="0" t="0"/>
            <wp:docPr descr="" title="" id="31" name="Picture"/>
            <a:graphic>
              <a:graphicData uri="http://schemas.openxmlformats.org/drawingml/2006/picture">
                <pic:pic>
                  <pic:nvPicPr>
                    <pic:cNvPr descr="final_report_18Dec2025_files/figure-docx/figure3-confidence-agreement-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Key Findings:</w:t>
      </w:r>
    </w:p>
    <w:p>
      <w:pPr>
        <w:pStyle w:val="Compact"/>
        <w:numPr>
          <w:ilvl w:val="0"/>
          <w:numId w:val="1006"/>
        </w:numPr>
      </w:pPr>
      <w:r>
        <w:rPr>
          <w:b/>
          <w:bCs/>
        </w:rPr>
        <w:t xml:space="preserve">Correlation</w:t>
      </w:r>
      <w:r>
        <w:t xml:space="preserve">: Significant positive correlation (r = 0.83, p = 0.000)</w:t>
      </w:r>
    </w:p>
    <w:p>
      <w:pPr>
        <w:pStyle w:val="Compact"/>
        <w:numPr>
          <w:ilvl w:val="0"/>
          <w:numId w:val="1006"/>
        </w:numPr>
      </w:pPr>
      <w:r>
        <w:rPr>
          <w:b/>
          <w:bCs/>
        </w:rPr>
        <w:t xml:space="preserve">Interpretation</w:t>
      </w:r>
      <w:r>
        <w:t xml:space="preserve">: Physicians are more confident on vignettes with higher agreement, suggesting appropriate calibration.</w:t>
      </w:r>
    </w:p>
    <w:p>
      <w:r>
        <w:pict>
          <v:rect style="width:0;height:1.5pt" o:hralign="center" o:hrstd="t" o:hr="t"/>
        </w:pict>
      </w:r>
    </w:p>
    <w:bookmarkEnd w:id="33"/>
    <w:bookmarkEnd w:id="34"/>
    <w:bookmarkStart w:id="48" w:name="primary-analysis"/>
    <w:p>
      <w:pPr>
        <w:pStyle w:val="Heading1"/>
      </w:pPr>
      <w:r>
        <w:t xml:space="preserve">5. Primary Analysis</w:t>
      </w:r>
    </w:p>
    <w:bookmarkStart w:id="35" w:name="X9c2de6d97a448c38d33adce65beca04a51badf3"/>
    <w:p>
      <w:pPr>
        <w:pStyle w:val="Heading2"/>
      </w:pPr>
      <w:r>
        <w:t xml:space="preserve">5.1 Mixed-Effects Model: Vignette Type + Confidence + Experience</w:t>
      </w:r>
    </w:p>
    <w:p>
      <w:pPr>
        <w:pStyle w:val="FirstParagraph"/>
      </w:pPr>
      <w:r>
        <w:rPr>
          <w:b/>
          <w:bCs/>
        </w:rPr>
        <w:t xml:space="preserve">Note:</w:t>
      </w:r>
      <w:r>
        <w:t xml:space="preserve"> </w:t>
      </w:r>
      <w:r>
        <w:t xml:space="preserve">Confidence is measured as within-person deviation (deviation from each physician’s average confidence). Between-person confidence differences are intentionally excluded from fixed effects, allowing the physician random effect to capture unmeasured risk tolerance and other stable physician characteristics. This approach provides the best model fit (lowest AIC) while preserving interpretable physician-level variation.</w:t>
      </w:r>
    </w:p>
    <w:p>
      <w:pPr>
        <w:pStyle w:val="BodyText"/>
      </w:pPr>
      <w:r>
        <w:rPr>
          <w:b/>
          <w:bCs/>
        </w:rPr>
        <w:t xml:space="preserve">Why Generalized Linear Mixed Models (GLMM)?</w:t>
      </w:r>
    </w:p>
    <w:p>
      <w:pPr>
        <w:pStyle w:val="BodyText"/>
      </w:pPr>
      <w:r>
        <w:t xml:space="preserve">We use a mixed-effects logistic regression model to account for the nested structure of our data: multiple responses from each physician across multiple vignettes. Standard logistic regression would violate the assumption of independent observations, as responses from the same physician and to the same vignette are correlated. The GLMM approach includes random intercepts for both physicians and vignettes, along with fixed effects for vignette type, case-specific confidence, experience, and practice location. This allows us to: (1) obtain valid standard errors and p-values that account for clustering, (2) separate within-physician effects (being more confident than usual on a specific case) from stable between-physician differences (risk tolerance), and (3) quantify how much variation exists at both the physician and vignette level beyond what’s explained by measured predictors.</w:t>
      </w:r>
    </w:p>
    <w:bookmarkEnd w:id="35"/>
    <w:bookmarkStart w:id="36" w:name="X65df4f6eea70c0da53348c0454362685f3bf719"/>
    <w:p>
      <w:pPr>
        <w:pStyle w:val="Heading2"/>
      </w:pPr>
      <w:r>
        <w:t xml:space="preserve">5.2 Table 3: Model Results - All Fixed Effects</w:t>
      </w:r>
    </w:p>
    <w:p>
      <w:pPr>
        <w:pStyle w:val="TableCaption"/>
      </w:pPr>
      <w:r>
        <w:t xml:space="preserve">Table 3: Likelihood to Medevac</w:t>
      </w:r>
    </w:p>
    <w:tbl>
      <w:tblPr>
        <w:tblStyle w:val="Table"/>
        <w:tblW w:type="pct" w:w="5000"/>
        <w:tblLayout w:type="fixed"/>
        <w:tblLook w:firstRow="1" w:lastRow="0" w:firstColumn="0" w:lastColumn="0" w:noHBand="0" w:noVBand="0" w:val="0020"/>
        <w:tblCaption w:val="Table 3: Likelihood to Medevac"/>
      </w:tblPr>
      <w:tblGrid>
        <w:gridCol w:w="4640"/>
        <w:gridCol w:w="960"/>
        <w:gridCol w:w="1600"/>
        <w:gridCol w:w="720"/>
      </w:tblGrid>
      <w:tr>
        <w:trPr>
          <w:tblHeader w:val="on"/>
        </w:trPr>
        <w:tc>
          <w:tcPr/>
          <w:p>
            <w:pPr>
              <w:pStyle w:val="Compact"/>
              <w:jc w:val="left"/>
            </w:pPr>
            <w:r>
              <w:t xml:space="preserve">Predictor</w:t>
            </w:r>
          </w:p>
        </w:tc>
        <w:tc>
          <w:tcPr/>
          <w:p>
            <w:pPr>
              <w:pStyle w:val="Compact"/>
              <w:jc w:val="center"/>
            </w:pPr>
            <w:r>
              <w:t xml:space="preserve">Odds Ratio</w:t>
            </w:r>
          </w:p>
        </w:tc>
        <w:tc>
          <w:tcPr/>
          <w:p>
            <w:pPr>
              <w:pStyle w:val="Compact"/>
              <w:jc w:val="center"/>
            </w:pPr>
            <w:r>
              <w:t xml:space="preserve">95% CI</w:t>
            </w:r>
          </w:p>
        </w:tc>
        <w:tc>
          <w:tcPr/>
          <w:p>
            <w:pPr>
              <w:pStyle w:val="Compact"/>
              <w:jc w:val="center"/>
            </w:pPr>
            <w:r>
              <w:t xml:space="preserve">P-value</w:t>
            </w:r>
          </w:p>
        </w:tc>
      </w:tr>
      <w:tr>
        <w:tc>
          <w:tcPr/>
          <w:p>
            <w:pPr>
              <w:pStyle w:val="Compact"/>
              <w:jc w:val="left"/>
            </w:pPr>
            <w:r>
              <w:rPr>
                <w:b/>
                <w:bCs/>
              </w:rPr>
              <w:t xml:space="preserve">Vignette Type</w:t>
            </w:r>
          </w:p>
        </w:tc>
        <w:tc>
          <w:tcPr/>
          <w:p>
            <w:pPr>
              <w:pStyle w:val="Compact"/>
            </w:pPr>
          </w:p>
        </w:tc>
        <w:tc>
          <w:tcPr/>
          <w:p>
            <w:pPr>
              <w:pStyle w:val="Compact"/>
            </w:pPr>
          </w:p>
        </w:tc>
        <w:tc>
          <w:tcPr/>
          <w:p>
            <w:pPr>
              <w:pStyle w:val="Compact"/>
            </w:pPr>
          </w:p>
        </w:tc>
      </w:tr>
      <w:tr>
        <w:tc>
          <w:tcPr/>
          <w:p>
            <w:pPr>
              <w:pStyle w:val="Compact"/>
              <w:jc w:val="left"/>
            </w:pPr>
            <w:r>
              <w:t xml:space="preserve">Possible/Ambiguous (reference)</w:t>
            </w:r>
          </w:p>
        </w:tc>
        <w:tc>
          <w:tcPr/>
          <w:p>
            <w:pPr>
              <w:pStyle w:val="Compact"/>
              <w:jc w:val="center"/>
            </w:pPr>
            <w:r>
              <w:t xml:space="preserve">1.00</w:t>
            </w:r>
          </w:p>
        </w:tc>
        <w:tc>
          <w:tcPr/>
          <w:p>
            <w:pPr>
              <w:pStyle w:val="Compact"/>
              <w:jc w:val="center"/>
            </w:pPr>
            <w:r>
              <w:t xml:space="preserve">ref</w:t>
            </w:r>
          </w:p>
        </w:tc>
        <w:tc>
          <w:tcPr/>
          <w:p>
            <w:pPr>
              <w:pStyle w:val="Compact"/>
              <w:jc w:val="center"/>
            </w:pPr>
            <w:r>
              <w:t xml:space="preserve">ref</w:t>
            </w:r>
          </w:p>
        </w:tc>
      </w:tr>
      <w:tr>
        <w:tc>
          <w:tcPr/>
          <w:p>
            <w:pPr>
              <w:pStyle w:val="Compact"/>
              <w:jc w:val="left"/>
            </w:pPr>
            <w:r>
              <w:t xml:space="preserve">Never Medevac</w:t>
            </w:r>
          </w:p>
        </w:tc>
        <w:tc>
          <w:tcPr/>
          <w:p>
            <w:pPr>
              <w:pStyle w:val="Compact"/>
              <w:jc w:val="center"/>
            </w:pPr>
            <w:r>
              <w:t xml:space="preserve">0.07</w:t>
            </w:r>
          </w:p>
        </w:tc>
        <w:tc>
          <w:tcPr/>
          <w:p>
            <w:pPr>
              <w:pStyle w:val="Compact"/>
              <w:jc w:val="center"/>
            </w:pPr>
            <w:r>
              <w:t xml:space="preserve">(0.00 - 1.05)</w:t>
            </w:r>
          </w:p>
        </w:tc>
        <w:tc>
          <w:tcPr/>
          <w:p>
            <w:pPr>
              <w:pStyle w:val="Compact"/>
              <w:jc w:val="center"/>
            </w:pPr>
            <w:r>
              <w:t xml:space="preserve">0.055</w:t>
            </w:r>
          </w:p>
        </w:tc>
      </w:tr>
      <w:tr>
        <w:tc>
          <w:tcPr/>
          <w:p>
            <w:pPr>
              <w:pStyle w:val="Compact"/>
              <w:jc w:val="left"/>
            </w:pPr>
            <w:r>
              <w:t xml:space="preserve">Always Medevac</w:t>
            </w:r>
          </w:p>
        </w:tc>
        <w:tc>
          <w:tcPr/>
          <w:p>
            <w:pPr>
              <w:pStyle w:val="Compact"/>
              <w:jc w:val="center"/>
            </w:pPr>
            <w:r>
              <w:t xml:space="preserve">455.53</w:t>
            </w:r>
          </w:p>
        </w:tc>
        <w:tc>
          <w:tcPr/>
          <w:p>
            <w:pPr>
              <w:pStyle w:val="Compact"/>
              <w:jc w:val="center"/>
            </w:pPr>
            <w:r>
              <w:t xml:space="preserve">(13.40 - 15481.30)</w:t>
            </w:r>
          </w:p>
        </w:tc>
        <w:tc>
          <w:tcPr/>
          <w:p>
            <w:pPr>
              <w:pStyle w:val="Compact"/>
              <w:jc w:val="center"/>
            </w:pPr>
            <w:r>
              <w:t xml:space="preserve">&lt;0.001*</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Decision Characteristics</w:t>
            </w:r>
          </w:p>
        </w:tc>
        <w:tc>
          <w:tcPr/>
          <w:p>
            <w:pPr>
              <w:pStyle w:val="Compact"/>
            </w:pPr>
          </w:p>
        </w:tc>
        <w:tc>
          <w:tcPr/>
          <w:p>
            <w:pPr>
              <w:pStyle w:val="Compact"/>
            </w:pPr>
          </w:p>
        </w:tc>
        <w:tc>
          <w:tcPr/>
          <w:p>
            <w:pPr>
              <w:pStyle w:val="Compact"/>
            </w:pPr>
          </w:p>
        </w:tc>
      </w:tr>
      <w:tr>
        <w:tc>
          <w:tcPr/>
          <w:p>
            <w:pPr>
              <w:pStyle w:val="Compact"/>
              <w:jc w:val="left"/>
            </w:pPr>
            <w:r>
              <w:t xml:space="preserve">Confidence (per 1-point increase compared to own average)</w:t>
            </w:r>
          </w:p>
        </w:tc>
        <w:tc>
          <w:tcPr/>
          <w:p>
            <w:pPr>
              <w:pStyle w:val="Compact"/>
              <w:jc w:val="center"/>
            </w:pPr>
            <w:r>
              <w:t xml:space="preserve">1.36</w:t>
            </w:r>
          </w:p>
        </w:tc>
        <w:tc>
          <w:tcPr/>
          <w:p>
            <w:pPr>
              <w:pStyle w:val="Compact"/>
              <w:jc w:val="center"/>
            </w:pPr>
            <w:r>
              <w:t xml:space="preserve">(1.13 - 1.64)</w:t>
            </w:r>
          </w:p>
        </w:tc>
        <w:tc>
          <w:tcPr/>
          <w:p>
            <w:pPr>
              <w:pStyle w:val="Compact"/>
              <w:jc w:val="center"/>
            </w:pPr>
            <w:r>
              <w:t xml:space="preserve">&lt;0.001*</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Physician Characteristics</w:t>
            </w:r>
          </w:p>
        </w:tc>
        <w:tc>
          <w:tcPr/>
          <w:p>
            <w:pPr>
              <w:pStyle w:val="Compact"/>
            </w:pPr>
          </w:p>
        </w:tc>
        <w:tc>
          <w:tcPr/>
          <w:p>
            <w:pPr>
              <w:pStyle w:val="Compact"/>
            </w:pPr>
          </w:p>
        </w:tc>
        <w:tc>
          <w:tcPr/>
          <w:p>
            <w:pPr>
              <w:pStyle w:val="Compact"/>
            </w:pPr>
          </w:p>
        </w:tc>
      </w:tr>
      <w:tr>
        <w:tc>
          <w:tcPr/>
          <w:p>
            <w:pPr>
              <w:pStyle w:val="Compact"/>
              <w:jc w:val="left"/>
            </w:pPr>
            <w:r>
              <w:t xml:space="preserve">Years of Experience (per 1-year increase)</w:t>
            </w:r>
          </w:p>
        </w:tc>
        <w:tc>
          <w:tcPr/>
          <w:p>
            <w:pPr>
              <w:pStyle w:val="Compact"/>
              <w:jc w:val="center"/>
            </w:pPr>
            <w:r>
              <w:t xml:space="preserve">0.99</w:t>
            </w:r>
          </w:p>
        </w:tc>
        <w:tc>
          <w:tcPr/>
          <w:p>
            <w:pPr>
              <w:pStyle w:val="Compact"/>
              <w:jc w:val="center"/>
            </w:pPr>
            <w:r>
              <w:t xml:space="preserve">(0.94 - 1.04)</w:t>
            </w:r>
          </w:p>
        </w:tc>
        <w:tc>
          <w:tcPr/>
          <w:p>
            <w:pPr>
              <w:pStyle w:val="Compact"/>
              <w:jc w:val="center"/>
            </w:pPr>
            <w:r>
              <w:t xml:space="preserve">0.663</w:t>
            </w:r>
          </w:p>
        </w:tc>
      </w:tr>
      <w:tr>
        <w:tc>
          <w:tcPr/>
          <w:p>
            <w:pPr>
              <w:pStyle w:val="Compact"/>
              <w:jc w:val="left"/>
            </w:pPr>
            <w:r>
              <w:t xml:space="preserve">Rural Experience (vs Referral Hub only)</w:t>
            </w:r>
          </w:p>
        </w:tc>
        <w:tc>
          <w:tcPr/>
          <w:p>
            <w:pPr>
              <w:pStyle w:val="Compact"/>
              <w:jc w:val="center"/>
            </w:pPr>
            <w:r>
              <w:t xml:space="preserve">0.37</w:t>
            </w:r>
          </w:p>
        </w:tc>
        <w:tc>
          <w:tcPr/>
          <w:p>
            <w:pPr>
              <w:pStyle w:val="Compact"/>
              <w:jc w:val="center"/>
            </w:pPr>
            <w:r>
              <w:t xml:space="preserve">(0.16 - 0.85)</w:t>
            </w:r>
          </w:p>
        </w:tc>
        <w:tc>
          <w:tcPr/>
          <w:p>
            <w:pPr>
              <w:pStyle w:val="Compact"/>
              <w:jc w:val="center"/>
            </w:pPr>
            <w:r>
              <w:t xml:space="preserve">0.019*</w:t>
            </w:r>
          </w:p>
        </w:tc>
      </w:tr>
    </w:tbl>
    <w:p>
      <w:pPr>
        <w:pStyle w:val="BodyText"/>
      </w:pPr>
      <w:r>
        <w:rPr>
          <w:b/>
          <w:bCs/>
        </w:rPr>
        <w:t xml:space="preserve">Model Quality Interpretation:</w:t>
      </w:r>
    </w:p>
    <w:p>
      <w:pPr>
        <w:pStyle w:val="BodyText"/>
      </w:pPr>
      <w:r>
        <w:t xml:space="preserve">The model quality statistics indicate excellent fit and validity:</w:t>
      </w:r>
    </w:p>
    <w:p>
      <w:pPr>
        <w:numPr>
          <w:ilvl w:val="0"/>
          <w:numId w:val="1007"/>
        </w:numPr>
      </w:pPr>
      <w:r>
        <w:rPr>
          <w:b/>
          <w:bCs/>
        </w:rPr>
        <w:t xml:space="preserve">AIC = 311.4</w:t>
      </w:r>
      <w:r>
        <w:t xml:space="preserve"> </w:t>
      </w:r>
      <w:r>
        <w:t xml:space="preserve">and</w:t>
      </w:r>
      <w:r>
        <w:t xml:space="preserve"> </w:t>
      </w:r>
      <w:r>
        <w:rPr>
          <w:b/>
          <w:bCs/>
        </w:rPr>
        <w:t xml:space="preserve">BIC = 343.4</w:t>
      </w:r>
      <w:r>
        <w:t xml:space="preserve">: These information criteria balance model fit with complexity. Lower values indicate better models; these values suggest strong predictive performance while avoiding overfitting.</w:t>
      </w:r>
    </w:p>
    <w:p>
      <w:pPr>
        <w:numPr>
          <w:ilvl w:val="0"/>
          <w:numId w:val="1007"/>
        </w:numPr>
      </w:pPr>
      <w:r>
        <w:rPr>
          <w:b/>
          <w:bCs/>
        </w:rPr>
        <w:t xml:space="preserve">Marginal R² = 0.570</w:t>
      </w:r>
      <w:r>
        <w:t xml:space="preserve">: Fixed effects (vignette type, confidence, experience, rural practice) explain 57.0% of variance in medevac decisions. This quantifies how much our measured predictors account for variation in physician choices.</w:t>
      </w:r>
    </w:p>
    <w:p>
      <w:pPr>
        <w:numPr>
          <w:ilvl w:val="0"/>
          <w:numId w:val="1007"/>
        </w:numPr>
      </w:pPr>
      <w:r>
        <w:rPr>
          <w:b/>
          <w:bCs/>
        </w:rPr>
        <w:t xml:space="preserve">Conditional R² = 0.816</w:t>
      </w:r>
      <w:r>
        <w:t xml:space="preserve">: The full model (fixed + random effects) explains 81.6% of variance. The difference between conditional and marginal R² (24.6%) represents variation due to unmeasured physician and vignette characteristics captured by random effects.</w:t>
      </w:r>
    </w:p>
    <w:p>
      <w:pPr>
        <w:numPr>
          <w:ilvl w:val="0"/>
          <w:numId w:val="1007"/>
        </w:numPr>
      </w:pPr>
      <w:r>
        <w:rPr>
          <w:b/>
          <w:bCs/>
        </w:rPr>
        <w:t xml:space="preserve">Sample</w:t>
      </w:r>
      <w:r>
        <w:t xml:space="preserve">: The model leverages all 400 decisions from 20 physicians across 20 vignettes, providing robust estimates while properly accounting for clustering.</w:t>
      </w:r>
    </w:p>
    <w:p>
      <w:pPr>
        <w:pStyle w:val="FirstParagraph"/>
      </w:pPr>
      <w:r>
        <w:rPr>
          <w:b/>
          <w:bCs/>
        </w:rPr>
        <w:t xml:space="preserve">Interpretation:</w:t>
      </w:r>
    </w:p>
    <w:p>
      <w:pPr>
        <w:pStyle w:val="BodyText"/>
      </w:pPr>
      <w:r>
        <w:rPr>
          <w:b/>
          <w:bCs/>
        </w:rPr>
        <w:t xml:space="preserve">Note:</w:t>
      </w:r>
      <w:r>
        <w:t xml:space="preserve"> </w:t>
      </w:r>
      <w:r>
        <w:t xml:space="preserve">Model includes all 20 vignettes collapsed into 3 categories for parsimony: Possible/Ambiguous (n=12 vignettes: Possible Medevac + Special Considerations, used as reference), Never Medevac (n=4), and Always Medevac (n=4). Total: 400 responses from 20 physicians. The Possible/Ambiguous reference category represents scenarios where medevac is defensible but not definitively indicated.</w:t>
      </w:r>
    </w:p>
    <w:p>
      <w:pPr>
        <w:pStyle w:val="BodyText"/>
      </w:pPr>
      <w:r>
        <w:rPr>
          <w:b/>
          <w:bCs/>
        </w:rPr>
        <w:t xml:space="preserve">Significant Predictors (p &lt; 0.05):</w:t>
      </w:r>
    </w:p>
    <w:p>
      <w:pPr>
        <w:pStyle w:val="Compact"/>
        <w:numPr>
          <w:ilvl w:val="0"/>
          <w:numId w:val="1008"/>
        </w:numPr>
      </w:pPr>
      <w:r>
        <w:rPr>
          <w:b/>
          <w:bCs/>
        </w:rPr>
        <w:t xml:space="preserve">Vignette Type - Always Medevac</w:t>
      </w:r>
      <w:r>
        <w:t xml:space="preserve">: OR = 455.53 (p = &lt;0.001) - Compared to Possible/Ambiguous scenarios, physicians are 456× more likely to choose medevac for</w:t>
      </w:r>
      <w:r>
        <w:t xml:space="preserve"> </w:t>
      </w:r>
      <w:r>
        <w:t xml:space="preserve">“Always Medevac”</w:t>
      </w:r>
      <w:r>
        <w:t xml:space="preserve"> </w:t>
      </w:r>
      <w:r>
        <w:t xml:space="preserve">scenarios, demonstrating appropriate clinical reasoning</w:t>
      </w:r>
    </w:p>
    <w:p>
      <w:pPr>
        <w:pStyle w:val="Compact"/>
        <w:numPr>
          <w:ilvl w:val="0"/>
          <w:numId w:val="1008"/>
        </w:numPr>
      </w:pPr>
      <w:r>
        <w:rPr>
          <w:b/>
          <w:bCs/>
        </w:rPr>
        <w:t xml:space="preserve">Case-Specific Confidence</w:t>
      </w:r>
      <w:r>
        <w:t xml:space="preserve">: OR = 1.36 per 1-point increase (p = &lt;0.001) - Being more confident than usual on a specific case significantly increases medevac likelihood</w:t>
      </w:r>
    </w:p>
    <w:p>
      <w:pPr>
        <w:pStyle w:val="Compact"/>
        <w:numPr>
          <w:ilvl w:val="0"/>
          <w:numId w:val="1008"/>
        </w:numPr>
      </w:pPr>
      <w:r>
        <w:rPr>
          <w:b/>
          <w:bCs/>
        </w:rPr>
        <w:t xml:space="preserve">Rural Experience</w:t>
      </w:r>
      <w:r>
        <w:t xml:space="preserve">: OR = 0.37 (p = 0.019) - Physicians with rural/regional practice experience are significantly less likely to choose medevac compared to those with referral hub experience only (63% reduction), suggesting rural practice experience is associated with more conservative disposition decisions</w:t>
      </w:r>
    </w:p>
    <w:p>
      <w:pPr>
        <w:pStyle w:val="FirstParagraph"/>
      </w:pPr>
      <w:r>
        <w:rPr>
          <w:b/>
          <w:bCs/>
        </w:rPr>
        <w:t xml:space="preserve">Non-Significant Predictors (p ≥ 0.05):</w:t>
      </w:r>
    </w:p>
    <w:p>
      <w:pPr>
        <w:pStyle w:val="Compact"/>
        <w:numPr>
          <w:ilvl w:val="0"/>
          <w:numId w:val="1009"/>
        </w:numPr>
      </w:pPr>
      <w:r>
        <w:rPr>
          <w:b/>
          <w:bCs/>
        </w:rPr>
        <w:t xml:space="preserve">Vignette Type - Never Medevac</w:t>
      </w:r>
      <w:r>
        <w:t xml:space="preserve">: OR = 0.07 (p = 0.055) - Compared to Possible/Ambiguous scenarios, physicians are 93% less likely to choose medevac for</w:t>
      </w:r>
      <w:r>
        <w:t xml:space="preserve"> </w:t>
      </w:r>
      <w:r>
        <w:t xml:space="preserve">“Never Medevac”</w:t>
      </w:r>
      <w:r>
        <w:t xml:space="preserve"> </w:t>
      </w:r>
      <w:r>
        <w:t xml:space="preserve">scenarios. The effect is marginally non-significant (p = 0.055), likely due to the very low baseline rate of inappropriate medevac choices</w:t>
      </w:r>
    </w:p>
    <w:p>
      <w:pPr>
        <w:pStyle w:val="Compact"/>
        <w:numPr>
          <w:ilvl w:val="0"/>
          <w:numId w:val="1009"/>
        </w:numPr>
      </w:pPr>
      <w:r>
        <w:rPr>
          <w:b/>
          <w:bCs/>
        </w:rPr>
        <w:t xml:space="preserve">Years of Experience</w:t>
      </w:r>
      <w:r>
        <w:t xml:space="preserve">: OR = 0.99 per year (p = 0.663) - Years in practice not significantly associated with medevac utilization after accounting for confidence, vignette type, and practice location</w:t>
      </w:r>
    </w:p>
    <w:p>
      <w:r>
        <w:pict>
          <v:rect style="width:0;height:1.5pt" o:hralign="center" o:hrstd="t" o:hr="t"/>
        </w:pict>
      </w:r>
    </w:p>
    <w:bookmarkEnd w:id="36"/>
    <w:bookmarkStart w:id="37" w:name="X198d92228201860199252295c1faa740c6ef739"/>
    <w:p>
      <w:pPr>
        <w:pStyle w:val="Heading2"/>
      </w:pPr>
      <w:r>
        <w:t xml:space="preserve">5.3 Table 4: Model Results - Variance Components</w:t>
      </w:r>
    </w:p>
    <w:p>
      <w:pPr>
        <w:pStyle w:val="TableCaption"/>
      </w:pPr>
      <w:r>
        <w:t xml:space="preserve">Table 4: Model Variance Components</w:t>
      </w:r>
    </w:p>
    <w:tbl>
      <w:tblPr>
        <w:tblStyle w:val="Table"/>
        <w:tblW w:type="auto" w:w="0"/>
        <w:tblLook w:firstRow="1" w:lastRow="0" w:firstColumn="0" w:lastColumn="0" w:noHBand="0" w:noVBand="0" w:val="0020"/>
        <w:tblCaption w:val="Table 4: Model Variance Components"/>
      </w:tblPr>
      <w:tblGrid>
        <w:gridCol w:w="3960"/>
        <w:gridCol w:w="3960"/>
      </w:tblGrid>
      <w:tr>
        <w:trPr>
          <w:tblHeader w:val="on"/>
        </w:trPr>
        <w:tc>
          <w:tcPr/>
          <w:p>
            <w:pPr>
              <w:pStyle w:val="Compact"/>
              <w:jc w:val="left"/>
            </w:pPr>
            <w:r>
              <w:t xml:space="preserve">Component</w:t>
            </w:r>
          </w:p>
        </w:tc>
        <w:tc>
          <w:tcPr/>
          <w:p>
            <w:pPr>
              <w:pStyle w:val="Compact"/>
              <w:jc w:val="left"/>
            </w:pPr>
            <w:r>
              <w:t xml:space="preserve">Estimate</w:t>
            </w:r>
          </w:p>
        </w:tc>
      </w:tr>
      <w:tr>
        <w:tc>
          <w:tcPr/>
          <w:p>
            <w:pPr>
              <w:pStyle w:val="Compact"/>
              <w:jc w:val="left"/>
            </w:pPr>
            <w:r>
              <w:rPr>
                <w:b/>
                <w:bCs/>
              </w:rPr>
              <w:t xml:space="preserve">Random Effect Variances</w:t>
            </w:r>
          </w:p>
        </w:tc>
        <w:tc>
          <w:tcPr/>
          <w:p>
            <w:pPr>
              <w:pStyle w:val="Compact"/>
            </w:pPr>
          </w:p>
        </w:tc>
      </w:tr>
      <w:tr>
        <w:tc>
          <w:tcPr/>
          <w:p>
            <w:pPr>
              <w:pStyle w:val="Compact"/>
              <w:jc w:val="left"/>
            </w:pPr>
            <w:r>
              <w:t xml:space="preserve">Physician (log-odds scale)</w:t>
            </w:r>
          </w:p>
        </w:tc>
        <w:tc>
          <w:tcPr/>
          <w:p>
            <w:pPr>
              <w:pStyle w:val="Compact"/>
              <w:jc w:val="left"/>
            </w:pPr>
            <w:r>
              <w:t xml:space="preserve">0.288</w:t>
            </w:r>
          </w:p>
        </w:tc>
      </w:tr>
      <w:tr>
        <w:tc>
          <w:tcPr/>
          <w:p>
            <w:pPr>
              <w:pStyle w:val="Compact"/>
              <w:jc w:val="left"/>
            </w:pPr>
            <w:r>
              <w:t xml:space="preserve">Vignette (log-odds scale)</w:t>
            </w:r>
          </w:p>
        </w:tc>
        <w:tc>
          <w:tcPr/>
          <w:p>
            <w:pPr>
              <w:pStyle w:val="Compact"/>
              <w:jc w:val="left"/>
            </w:pPr>
            <w:r>
              <w:t xml:space="preserve">4.101</w:t>
            </w:r>
          </w:p>
        </w:tc>
      </w:tr>
      <w:tr>
        <w:tc>
          <w:tcPr/>
          <w:p>
            <w:pPr>
              <w:pStyle w:val="Compact"/>
            </w:pPr>
          </w:p>
        </w:tc>
        <w:tc>
          <w:tcPr/>
          <w:p>
            <w:pPr>
              <w:pStyle w:val="Compact"/>
            </w:pPr>
          </w:p>
        </w:tc>
      </w:tr>
      <w:tr>
        <w:tc>
          <w:tcPr/>
          <w:p>
            <w:pPr>
              <w:pStyle w:val="Compact"/>
              <w:jc w:val="left"/>
            </w:pPr>
            <w:r>
              <w:rPr>
                <w:b/>
                <w:bCs/>
              </w:rPr>
              <w:t xml:space="preserve">Intraclass Correlations</w:t>
            </w:r>
          </w:p>
        </w:tc>
        <w:tc>
          <w:tcPr/>
          <w:p>
            <w:pPr>
              <w:pStyle w:val="Compact"/>
            </w:pPr>
          </w:p>
        </w:tc>
      </w:tr>
      <w:tr>
        <w:tc>
          <w:tcPr/>
          <w:p>
            <w:pPr>
              <w:pStyle w:val="Compact"/>
              <w:jc w:val="left"/>
            </w:pPr>
            <w:r>
              <w:t xml:space="preserve">ICC (Physician)</w:t>
            </w:r>
          </w:p>
        </w:tc>
        <w:tc>
          <w:tcPr/>
          <w:p>
            <w:pPr>
              <w:pStyle w:val="Compact"/>
              <w:jc w:val="left"/>
            </w:pPr>
            <w:r>
              <w:t xml:space="preserve">3.8%</w:t>
            </w:r>
          </w:p>
        </w:tc>
      </w:tr>
      <w:tr>
        <w:tc>
          <w:tcPr/>
          <w:p>
            <w:pPr>
              <w:pStyle w:val="Compact"/>
              <w:jc w:val="left"/>
            </w:pPr>
            <w:r>
              <w:t xml:space="preserve">ICC (Vignette)</w:t>
            </w:r>
          </w:p>
        </w:tc>
        <w:tc>
          <w:tcPr/>
          <w:p>
            <w:pPr>
              <w:pStyle w:val="Compact"/>
              <w:jc w:val="left"/>
            </w:pPr>
            <w:r>
              <w:t xml:space="preserve">53.4%</w:t>
            </w:r>
          </w:p>
        </w:tc>
      </w:tr>
      <w:tr>
        <w:tc>
          <w:tcPr/>
          <w:p>
            <w:pPr>
              <w:pStyle w:val="Compact"/>
            </w:pPr>
          </w:p>
        </w:tc>
        <w:tc>
          <w:tcPr/>
          <w:p>
            <w:pPr>
              <w:pStyle w:val="Compact"/>
            </w:pPr>
          </w:p>
        </w:tc>
      </w:tr>
      <w:tr>
        <w:tc>
          <w:tcPr/>
          <w:p>
            <w:pPr>
              <w:pStyle w:val="Compact"/>
              <w:jc w:val="left"/>
            </w:pPr>
            <w:r>
              <w:rPr>
                <w:b/>
                <w:bCs/>
              </w:rPr>
              <w:t xml:space="preserve">Median Odds Ratios</w:t>
            </w:r>
          </w:p>
        </w:tc>
        <w:tc>
          <w:tcPr/>
          <w:p>
            <w:pPr>
              <w:pStyle w:val="Compact"/>
            </w:pPr>
          </w:p>
        </w:tc>
      </w:tr>
      <w:tr>
        <w:tc>
          <w:tcPr/>
          <w:p>
            <w:pPr>
              <w:pStyle w:val="Compact"/>
              <w:jc w:val="left"/>
            </w:pPr>
            <w:r>
              <w:t xml:space="preserve">MOR (Physician)</w:t>
            </w:r>
          </w:p>
        </w:tc>
        <w:tc>
          <w:tcPr/>
          <w:p>
            <w:pPr>
              <w:pStyle w:val="Compact"/>
              <w:jc w:val="left"/>
            </w:pPr>
            <w:r>
              <w:t xml:space="preserve">1.67</w:t>
            </w:r>
          </w:p>
        </w:tc>
      </w:tr>
      <w:tr>
        <w:tc>
          <w:tcPr/>
          <w:p>
            <w:pPr>
              <w:pStyle w:val="Compact"/>
              <w:jc w:val="left"/>
            </w:pPr>
            <w:r>
              <w:t xml:space="preserve">MOR (Vignette)</w:t>
            </w:r>
          </w:p>
        </w:tc>
        <w:tc>
          <w:tcPr/>
          <w:p>
            <w:pPr>
              <w:pStyle w:val="Compact"/>
              <w:jc w:val="left"/>
            </w:pPr>
            <w:r>
              <w:t xml:space="preserve">6.90</w:t>
            </w:r>
          </w:p>
        </w:tc>
      </w:tr>
    </w:tbl>
    <w:p>
      <w:pPr>
        <w:pStyle w:val="BodyText"/>
      </w:pPr>
      <w:r>
        <w:rPr>
          <w:b/>
          <w:bCs/>
        </w:rPr>
        <w:t xml:space="preserve">Variance Components Summary:</w:t>
      </w:r>
    </w:p>
    <w:p>
      <w:pPr>
        <w:pStyle w:val="Compact"/>
        <w:numPr>
          <w:ilvl w:val="0"/>
          <w:numId w:val="1010"/>
        </w:numPr>
      </w:pPr>
      <w:r>
        <w:rPr>
          <w:b/>
          <w:bCs/>
        </w:rPr>
        <w:t xml:space="preserve">Physician ICC</w:t>
      </w:r>
      <w:r>
        <w:t xml:space="preserve">: 3.8% - Modest between-physician variation</w:t>
      </w:r>
    </w:p>
    <w:p>
      <w:pPr>
        <w:pStyle w:val="Compact"/>
        <w:numPr>
          <w:ilvl w:val="0"/>
          <w:numId w:val="1010"/>
        </w:numPr>
      </w:pPr>
      <w:r>
        <w:rPr>
          <w:b/>
          <w:bCs/>
        </w:rPr>
        <w:t xml:space="preserve">Vignette ICC</w:t>
      </w:r>
      <w:r>
        <w:t xml:space="preserve">: 53.4% - Substantial between-scenario variation</w:t>
      </w:r>
    </w:p>
    <w:p>
      <w:pPr>
        <w:pStyle w:val="Compact"/>
        <w:numPr>
          <w:ilvl w:val="0"/>
          <w:numId w:val="1010"/>
        </w:numPr>
      </w:pPr>
      <w:r>
        <w:rPr>
          <w:b/>
          <w:bCs/>
        </w:rPr>
        <w:t xml:space="preserve">Physician MOR</w:t>
      </w:r>
      <w:r>
        <w:t xml:space="preserve">: 1.67 - Small individual differences</w:t>
      </w:r>
    </w:p>
    <w:p>
      <w:pPr>
        <w:pStyle w:val="Compact"/>
        <w:numPr>
          <w:ilvl w:val="0"/>
          <w:numId w:val="1010"/>
        </w:numPr>
      </w:pPr>
      <w:r>
        <w:rPr>
          <w:b/>
          <w:bCs/>
        </w:rPr>
        <w:t xml:space="preserve">Vignette MOR</w:t>
      </w:r>
      <w:r>
        <w:t xml:space="preserve">: 6.90 - Large scenario-to-scenario variation</w:t>
      </w:r>
    </w:p>
    <w:p>
      <w:r>
        <w:pict>
          <v:rect style="width:0;height:1.5pt" o:hralign="center" o:hrstd="t" o:hr="t"/>
        </w:pict>
      </w:r>
    </w:p>
    <w:bookmarkEnd w:id="37"/>
    <w:bookmarkStart w:id="47" w:name="model-evaluation-predictive-performance"/>
    <w:p>
      <w:pPr>
        <w:pStyle w:val="Heading2"/>
      </w:pPr>
      <w:r>
        <w:t xml:space="preserve">5.4 Model Evaluation: Predictive Performance</w:t>
      </w:r>
    </w:p>
    <w:bookmarkStart w:id="38" w:name="X583bb2db94135f00bb38ad50e14144f80e863fa"/>
    <w:p>
      <w:pPr>
        <w:pStyle w:val="Heading3"/>
      </w:pPr>
      <w:r>
        <w:t xml:space="preserve">5.4.1 Reference Only: Model Predictive Performance</w:t>
      </w:r>
    </w:p>
    <w:p>
      <w:pPr>
        <w:pStyle w:val="TableCaption"/>
      </w:pPr>
      <w:r>
        <w:t xml:space="preserve">Reference Only: Model Predictive Performance</w:t>
      </w:r>
    </w:p>
    <w:tbl>
      <w:tblPr>
        <w:tblStyle w:val="Table"/>
        <w:tblW w:type="pct" w:w="5000"/>
        <w:tblLayout w:type="fixed"/>
        <w:tblLook w:firstRow="1" w:lastRow="0" w:firstColumn="0" w:lastColumn="0" w:noHBand="0" w:noVBand="0" w:val="0020"/>
        <w:tblCaption w:val="Reference Only: Model Predictive Performance"/>
      </w:tblPr>
      <w:tblGrid>
        <w:gridCol w:w="2382"/>
        <w:gridCol w:w="1416"/>
        <w:gridCol w:w="4120"/>
      </w:tblGrid>
      <w:tr>
        <w:trPr>
          <w:tblHeader w:val="on"/>
        </w:trPr>
        <w:tc>
          <w:tcPr/>
          <w:p>
            <w:pPr>
              <w:pStyle w:val="Compact"/>
              <w:jc w:val="left"/>
            </w:pPr>
            <w:r>
              <w:t xml:space="preserve">Metric</w:t>
            </w:r>
          </w:p>
        </w:tc>
        <w:tc>
          <w:tcPr/>
          <w:p>
            <w:pPr>
              <w:pStyle w:val="Compact"/>
              <w:jc w:val="right"/>
            </w:pPr>
            <w:r>
              <w:t xml:space="preserve">Value</w:t>
            </w:r>
          </w:p>
        </w:tc>
        <w:tc>
          <w:tcPr/>
          <w:p>
            <w:pPr>
              <w:pStyle w:val="Compact"/>
              <w:jc w:val="left"/>
            </w:pPr>
            <w:r>
              <w:t xml:space="preserve">Interpretation</w:t>
            </w:r>
          </w:p>
        </w:tc>
      </w:tr>
      <w:tr>
        <w:tc>
          <w:tcPr/>
          <w:p>
            <w:pPr>
              <w:pStyle w:val="Compact"/>
              <w:jc w:val="left"/>
            </w:pPr>
            <w:r>
              <w:rPr>
                <w:b/>
                <w:bCs/>
              </w:rPr>
              <w:t xml:space="preserve">1. Discrimination</w:t>
            </w:r>
          </w:p>
        </w:tc>
        <w:tc>
          <w:tcPr/>
          <w:p>
            <w:pPr>
              <w:pStyle w:val="Compact"/>
            </w:pPr>
          </w:p>
        </w:tc>
        <w:tc>
          <w:tcPr/>
          <w:p>
            <w:pPr>
              <w:pStyle w:val="Compact"/>
            </w:pPr>
          </w:p>
        </w:tc>
      </w:tr>
      <w:tr>
        <w:tc>
          <w:tcPr/>
          <w:p>
            <w:pPr>
              <w:pStyle w:val="Compact"/>
              <w:jc w:val="left"/>
            </w:pPr>
            <w:r>
              <w:t xml:space="preserve">ROC AUC (c-statistic, 95% CI)</w:t>
            </w:r>
          </w:p>
        </w:tc>
        <w:tc>
          <w:tcPr/>
          <w:p>
            <w:pPr>
              <w:pStyle w:val="Compact"/>
              <w:jc w:val="right"/>
            </w:pPr>
            <w:r>
              <w:t xml:space="preserve">0.837 (0.798 - 0.875)</w:t>
            </w:r>
          </w:p>
        </w:tc>
        <w:tc>
          <w:tcPr/>
          <w:p>
            <w:pPr>
              <w:pStyle w:val="Compact"/>
              <w:jc w:val="left"/>
            </w:pPr>
            <w:r>
              <w:t xml:space="preserve">Quantifies how well predicted risk ranks cases vs non-cases</w:t>
            </w:r>
          </w:p>
        </w:tc>
      </w:tr>
      <w:tr>
        <w:tc>
          <w:tcPr/>
          <w:p>
            <w:pPr>
              <w:pStyle w:val="Compact"/>
            </w:pPr>
          </w:p>
        </w:tc>
        <w:tc>
          <w:tcPr/>
          <w:p>
            <w:pPr>
              <w:pStyle w:val="Compact"/>
            </w:pPr>
          </w:p>
        </w:tc>
        <w:tc>
          <w:tcPr/>
          <w:p>
            <w:pPr>
              <w:pStyle w:val="Compact"/>
            </w:pPr>
          </w:p>
        </w:tc>
      </w:tr>
      <w:tr>
        <w:tc>
          <w:tcPr/>
          <w:p>
            <w:pPr>
              <w:pStyle w:val="Compact"/>
              <w:jc w:val="left"/>
            </w:pPr>
            <w:r>
              <w:rPr>
                <w:b/>
                <w:bCs/>
              </w:rPr>
              <w:t xml:space="preserve">2. Calibration</w:t>
            </w:r>
          </w:p>
        </w:tc>
        <w:tc>
          <w:tcPr/>
          <w:p>
            <w:pPr>
              <w:pStyle w:val="Compact"/>
            </w:pPr>
          </w:p>
        </w:tc>
        <w:tc>
          <w:tcPr/>
          <w:p>
            <w:pPr>
              <w:pStyle w:val="Compact"/>
            </w:pPr>
          </w:p>
        </w:tc>
      </w:tr>
      <w:tr>
        <w:tc>
          <w:tcPr/>
          <w:p>
            <w:pPr>
              <w:pStyle w:val="Compact"/>
              <w:jc w:val="left"/>
            </w:pPr>
            <w:r>
              <w:t xml:space="preserve">Calibration-in-the-large (intercept)</w:t>
            </w:r>
          </w:p>
        </w:tc>
        <w:tc>
          <w:tcPr/>
          <w:p>
            <w:pPr>
              <w:pStyle w:val="Compact"/>
              <w:jc w:val="right"/>
            </w:pPr>
            <w:r>
              <w:t xml:space="preserve">0.364</w:t>
            </w:r>
          </w:p>
        </w:tc>
        <w:tc>
          <w:tcPr/>
          <w:p>
            <w:pPr>
              <w:pStyle w:val="Compact"/>
              <w:jc w:val="left"/>
            </w:pPr>
            <w:r>
              <w:t xml:space="preserve">Systematic over/under-prediction (0 = perfect)</w:t>
            </w:r>
          </w:p>
        </w:tc>
      </w:tr>
      <w:tr>
        <w:tc>
          <w:tcPr/>
          <w:p>
            <w:pPr>
              <w:pStyle w:val="Compact"/>
              <w:jc w:val="left"/>
            </w:pPr>
            <w:r>
              <w:t xml:space="preserve">Calibration Slope</w:t>
            </w:r>
          </w:p>
        </w:tc>
        <w:tc>
          <w:tcPr/>
          <w:p>
            <w:pPr>
              <w:pStyle w:val="Compact"/>
              <w:jc w:val="right"/>
            </w:pPr>
            <w:r>
              <w:t xml:space="preserve">0.737</w:t>
            </w:r>
          </w:p>
        </w:tc>
        <w:tc>
          <w:tcPr/>
          <w:p>
            <w:pPr>
              <w:pStyle w:val="Compact"/>
              <w:jc w:val="left"/>
            </w:pPr>
            <w:r>
              <w:t xml:space="preserve">Whether predictions are too extreme or too shrunk (1 = perfect)</w:t>
            </w:r>
          </w:p>
        </w:tc>
      </w:tr>
      <w:tr>
        <w:tc>
          <w:tcPr/>
          <w:p>
            <w:pPr>
              <w:pStyle w:val="Compact"/>
            </w:pPr>
          </w:p>
        </w:tc>
        <w:tc>
          <w:tcPr/>
          <w:p>
            <w:pPr>
              <w:pStyle w:val="Compact"/>
            </w:pPr>
          </w:p>
        </w:tc>
        <w:tc>
          <w:tcPr/>
          <w:p>
            <w:pPr>
              <w:pStyle w:val="Compact"/>
            </w:pPr>
          </w:p>
        </w:tc>
      </w:tr>
      <w:tr>
        <w:tc>
          <w:tcPr/>
          <w:p>
            <w:pPr>
              <w:pStyle w:val="Compact"/>
              <w:jc w:val="left"/>
            </w:pPr>
            <w:r>
              <w:rPr>
                <w:b/>
                <w:bCs/>
              </w:rPr>
              <w:t xml:space="preserve">3. Overall Predictive Accuracy</w:t>
            </w:r>
          </w:p>
        </w:tc>
        <w:tc>
          <w:tcPr/>
          <w:p>
            <w:pPr>
              <w:pStyle w:val="Compact"/>
            </w:pPr>
          </w:p>
        </w:tc>
        <w:tc>
          <w:tcPr/>
          <w:p>
            <w:pPr>
              <w:pStyle w:val="Compact"/>
            </w:pPr>
          </w:p>
        </w:tc>
      </w:tr>
      <w:tr>
        <w:tc>
          <w:tcPr/>
          <w:p>
            <w:pPr>
              <w:pStyle w:val="Compact"/>
              <w:jc w:val="left"/>
            </w:pPr>
            <w:r>
              <w:t xml:space="preserve">Brier Score</w:t>
            </w:r>
          </w:p>
        </w:tc>
        <w:tc>
          <w:tcPr/>
          <w:p>
            <w:pPr>
              <w:pStyle w:val="Compact"/>
              <w:jc w:val="right"/>
            </w:pPr>
            <w:r>
              <w:t xml:space="preserve">0.1627</w:t>
            </w:r>
          </w:p>
        </w:tc>
        <w:tc>
          <w:tcPr/>
          <w:p>
            <w:pPr>
              <w:pStyle w:val="Compact"/>
              <w:jc w:val="left"/>
            </w:pPr>
            <w:r>
              <w:t xml:space="preserve">Mean squared error of predicted probabilities (lower is better)</w:t>
            </w:r>
          </w:p>
        </w:tc>
      </w:tr>
    </w:tbl>
    <w:bookmarkEnd w:id="38"/>
    <w:bookmarkStart w:id="42" w:name="supplemental-figure-1-roc-curve"/>
    <w:p>
      <w:pPr>
        <w:pStyle w:val="Heading3"/>
      </w:pPr>
      <w:r>
        <w:t xml:space="preserve">5.4.2 Supplemental Figure 1: ROC Curve</w:t>
      </w:r>
    </w:p>
    <w:p>
      <w:pPr>
        <w:pStyle w:val="FirstParagraph"/>
      </w:pPr>
      <w:r>
        <w:drawing>
          <wp:inline>
            <wp:extent cx="5334000" cy="5334000"/>
            <wp:effectExtent b="0" l="0" r="0" t="0"/>
            <wp:docPr descr="" title="" id="40" name="Picture"/>
            <a:graphic>
              <a:graphicData uri="http://schemas.openxmlformats.org/drawingml/2006/picture">
                <pic:pic>
                  <pic:nvPicPr>
                    <pic:cNvPr descr="final_report_18Dec2025_files/figure-docx/figure4-roc-1.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bookmarkEnd w:id="42"/>
    <w:bookmarkStart w:id="46" w:name="supplemental-figure-2-calibration-plot"/>
    <w:p>
      <w:pPr>
        <w:pStyle w:val="Heading3"/>
      </w:pPr>
      <w:r>
        <w:t xml:space="preserve">5.4.3 Supplemental Figure 2: Calibration Plot</w:t>
      </w:r>
    </w:p>
    <w:p>
      <w:pPr>
        <w:pStyle w:val="FirstParagraph"/>
      </w:pPr>
      <w:r>
        <w:drawing>
          <wp:inline>
            <wp:extent cx="5334000" cy="5334000"/>
            <wp:effectExtent b="0" l="0" r="0" t="0"/>
            <wp:docPr descr="" title="" id="44" name="Picture"/>
            <a:graphic>
              <a:graphicData uri="http://schemas.openxmlformats.org/drawingml/2006/picture">
                <pic:pic>
                  <pic:nvPicPr>
                    <pic:cNvPr descr="final_report_18Dec2025_files/figure-docx/figure5-calibration-1.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Performance Summary:</w:t>
      </w:r>
    </w:p>
    <w:p>
      <w:pPr>
        <w:numPr>
          <w:ilvl w:val="0"/>
          <w:numId w:val="1011"/>
        </w:numPr>
      </w:pPr>
      <w:r>
        <w:rPr>
          <w:b/>
          <w:bCs/>
        </w:rPr>
        <w:t xml:space="preserve">Discrimination (ROC AUC = 0.837, 95% CI: 0.798-0.875)</w:t>
      </w:r>
      <w:r>
        <w:t xml:space="preserve">: The model demonstrates good ability to distinguish between medevac and non-medevac decisions.</w:t>
      </w:r>
    </w:p>
    <w:p>
      <w:pPr>
        <w:numPr>
          <w:ilvl w:val="0"/>
          <w:numId w:val="1011"/>
        </w:numPr>
      </w:pPr>
      <w:r>
        <w:rPr>
          <w:b/>
          <w:bCs/>
        </w:rPr>
        <w:t xml:space="preserve">Calibration (Intercept = 0.364, Slope = 0.737)</w:t>
      </w:r>
      <w:r>
        <w:t xml:space="preserve">: Moderate calibration - some deviation between predicted and observed probabilities.</w:t>
      </w:r>
    </w:p>
    <w:p>
      <w:pPr>
        <w:numPr>
          <w:ilvl w:val="0"/>
          <w:numId w:val="1011"/>
        </w:numPr>
      </w:pPr>
      <w:r>
        <w:rPr>
          <w:b/>
          <w:bCs/>
        </w:rPr>
        <w:t xml:space="preserve">Overall Predictive Accuracy (Brier Score = 0.1627)</w:t>
      </w:r>
      <w:r>
        <w:t xml:space="preserve">: Good probability accuracy.</w:t>
      </w:r>
    </w:p>
    <w:p>
      <w:r>
        <w:pict>
          <v:rect style="width:0;height:1.5pt" o:hralign="center" o:hrstd="t" o:hr="t"/>
        </w:pict>
      </w:r>
    </w:p>
    <w:bookmarkEnd w:id="46"/>
    <w:bookmarkEnd w:id="47"/>
    <w:bookmarkEnd w:id="48"/>
    <w:bookmarkStart w:id="51" w:name="key-findings-from-glmm"/>
    <w:p>
      <w:pPr>
        <w:pStyle w:val="Heading1"/>
      </w:pPr>
      <w:r>
        <w:t xml:space="preserve">6. Key Findings from GLMM</w:t>
      </w:r>
    </w:p>
    <w:p>
      <w:pPr>
        <w:pStyle w:val="FirstParagraph"/>
      </w:pPr>
      <w:r>
        <w:rPr>
          <w:b/>
          <w:bCs/>
        </w:rPr>
        <w:t xml:space="preserve">1. Clinical scenario dominates medevac decisions</w:t>
      </w:r>
      <w:r>
        <w:t xml:space="preserve"> </w:t>
      </w:r>
      <w:r>
        <w:t xml:space="preserve">- Physicians are 456× more likely to choose medevac for</w:t>
      </w:r>
      <w:r>
        <w:t xml:space="preserve"> </w:t>
      </w:r>
      <w:r>
        <w:t xml:space="preserve">“Always”</w:t>
      </w:r>
      <w:r>
        <w:t xml:space="preserve"> </w:t>
      </w:r>
      <w:r>
        <w:t xml:space="preserve">vs</w:t>
      </w:r>
      <w:r>
        <w:t xml:space="preserve"> </w:t>
      </w:r>
      <w:r>
        <w:t xml:space="preserve">“Possible/Ambiguous”</w:t>
      </w:r>
      <w:r>
        <w:t xml:space="preserve"> </w:t>
      </w:r>
      <w:r>
        <w:t xml:space="preserve">scenarios (OR = 456, p &lt; 0.001)</w:t>
      </w:r>
      <w:r>
        <w:t xml:space="preserve"> </w:t>
      </w:r>
      <w:r>
        <w:t xml:space="preserve">- 93% reduction in medevac likelihood for</w:t>
      </w:r>
      <w:r>
        <w:t xml:space="preserve"> </w:t>
      </w:r>
      <w:r>
        <w:t xml:space="preserve">“Never”</w:t>
      </w:r>
      <w:r>
        <w:t xml:space="preserve"> </w:t>
      </w:r>
      <w:r>
        <w:t xml:space="preserve">scenarios (OR = 0.07, p = 0.055, marginally NS)</w:t>
      </w:r>
      <w:r>
        <w:t xml:space="preserve"> </w:t>
      </w:r>
      <w:r>
        <w:t xml:space="preserve">- Vignettes account for 53% of decision variance - clinical appropriateness is the primary driver</w:t>
      </w:r>
    </w:p>
    <w:p>
      <w:pPr>
        <w:pStyle w:val="BodyText"/>
      </w:pPr>
      <w:r>
        <w:rPr>
          <w:b/>
          <w:bCs/>
        </w:rPr>
        <w:t xml:space="preserve">2. Rural practice experience strongly predicts conservative utilization</w:t>
      </w:r>
      <w:r>
        <w:t xml:space="preserve"> </w:t>
      </w:r>
      <w:r>
        <w:t xml:space="preserve">- Physicians with rural/regional experience are 63% less likely to choose medevac (OR = 0.37, p = 0.019)</w:t>
      </w:r>
      <w:r>
        <w:t xml:space="preserve"> </w:t>
      </w:r>
      <w:r>
        <w:t xml:space="preserve">- Effect persists after controlling for case-specific confidence, years of experience, and vignette type</w:t>
      </w:r>
      <w:r>
        <w:t xml:space="preserve"> </w:t>
      </w:r>
      <w:r>
        <w:t xml:space="preserve">- Suggests practice setting shapes disposition decision-making patterns</w:t>
      </w:r>
    </w:p>
    <w:p>
      <w:pPr>
        <w:pStyle w:val="BodyText"/>
      </w:pPr>
      <w:r>
        <w:rPr>
          <w:b/>
          <w:bCs/>
        </w:rPr>
        <w:t xml:space="preserve">3. Case-specific confidence influences decisions independently</w:t>
      </w:r>
      <w:r>
        <w:t xml:space="preserve"> </w:t>
      </w:r>
      <w:r>
        <w:t xml:space="preserve">- Being more confident than usual on a specific case increases medevac likelihood 36% per confidence point (OR = 1.36, p = 0.001)</w:t>
      </w:r>
      <w:r>
        <w:t xml:space="preserve"> </w:t>
      </w:r>
      <w:r>
        <w:t xml:space="preserve">- Represents within-person variation - not general confidence level</w:t>
      </w:r>
      <w:r>
        <w:t xml:space="preserve"> </w:t>
      </w:r>
      <w:r>
        <w:t xml:space="preserve">- Confidence acts as a mediator between clinical assessment and disposition choice</w:t>
      </w:r>
    </w:p>
    <w:p>
      <w:pPr>
        <w:pStyle w:val="BodyText"/>
      </w:pPr>
      <w:r>
        <w:rPr>
          <w:b/>
          <w:bCs/>
        </w:rPr>
        <w:t xml:space="preserve">4. Modest physician variation remains after accounting for measured factors</w:t>
      </w:r>
      <w:r>
        <w:t xml:space="preserve"> </w:t>
      </w:r>
      <w:r>
        <w:t xml:space="preserve">- Physician ICC = 3.8%, MOR = 1.67</w:t>
      </w:r>
      <w:r>
        <w:t xml:space="preserve"> </w:t>
      </w:r>
      <w:r>
        <w:t xml:space="preserve">- Small but present individual differences suggest unmeasured factors (e.g., risk tolerance)</w:t>
      </w:r>
      <w:r>
        <w:t xml:space="preserve"> </w:t>
      </w:r>
      <w:r>
        <w:t xml:space="preserve">- Years of experience not independently predictive (OR = 0.99, p = 0.66)</w:t>
      </w:r>
    </w:p>
    <w:bookmarkStart w:id="49" w:name="methodological-strengths"/>
    <w:p>
      <w:pPr>
        <w:pStyle w:val="Heading2"/>
      </w:pPr>
      <w:r>
        <w:t xml:space="preserve">6.1 Methodological Strengths</w:t>
      </w:r>
    </w:p>
    <w:p>
      <w:pPr>
        <w:pStyle w:val="Compact"/>
        <w:numPr>
          <w:ilvl w:val="0"/>
          <w:numId w:val="1012"/>
        </w:numPr>
      </w:pPr>
      <w:r>
        <w:rPr>
          <w:b/>
          <w:bCs/>
        </w:rPr>
        <w:t xml:space="preserve">Mixed-effects framework</w:t>
      </w:r>
      <w:r>
        <w:t xml:space="preserve"> </w:t>
      </w:r>
      <w:r>
        <w:t xml:space="preserve">accounts for clustering at physician and vignette levels</w:t>
      </w:r>
    </w:p>
    <w:p>
      <w:pPr>
        <w:pStyle w:val="Compact"/>
        <w:numPr>
          <w:ilvl w:val="0"/>
          <w:numId w:val="1012"/>
        </w:numPr>
      </w:pPr>
      <w:r>
        <w:rPr>
          <w:b/>
          <w:bCs/>
        </w:rPr>
        <w:t xml:space="preserve">Within-person confidence measurement</w:t>
      </w:r>
      <w:r>
        <w:t xml:space="preserve"> </w:t>
      </w:r>
      <w:r>
        <w:t xml:space="preserve">separates case-specific confidence from stable physician characteristics</w:t>
      </w:r>
    </w:p>
    <w:p>
      <w:pPr>
        <w:pStyle w:val="Compact"/>
        <w:numPr>
          <w:ilvl w:val="0"/>
          <w:numId w:val="1012"/>
        </w:numPr>
      </w:pPr>
      <w:r>
        <w:rPr>
          <w:b/>
          <w:bCs/>
        </w:rPr>
        <w:t xml:space="preserve">Explicit appropriateness modeling</w:t>
      </w:r>
      <w:r>
        <w:t xml:space="preserve"> </w:t>
      </w:r>
      <w:r>
        <w:t xml:space="preserve">moves beyond raw agreement metrics</w:t>
      </w:r>
    </w:p>
    <w:p>
      <w:pPr>
        <w:pStyle w:val="Compact"/>
        <w:numPr>
          <w:ilvl w:val="0"/>
          <w:numId w:val="1012"/>
        </w:numPr>
      </w:pPr>
      <w:r>
        <w:rPr>
          <w:b/>
          <w:bCs/>
        </w:rPr>
        <w:t xml:space="preserve">Variance decomposition</w:t>
      </w:r>
      <w:r>
        <w:t xml:space="preserve"> </w:t>
      </w:r>
      <w:r>
        <w:t xml:space="preserve">quantifies sources of variation (physician vs vignette)</w:t>
      </w:r>
    </w:p>
    <w:p>
      <w:pPr>
        <w:pStyle w:val="Compact"/>
        <w:numPr>
          <w:ilvl w:val="0"/>
          <w:numId w:val="1012"/>
        </w:numPr>
      </w:pPr>
      <w:r>
        <w:rPr>
          <w:b/>
          <w:bCs/>
        </w:rPr>
        <w:t xml:space="preserve">Model parsimony</w:t>
      </w:r>
      <w:r>
        <w:t xml:space="preserve"> </w:t>
      </w:r>
      <w:r>
        <w:t xml:space="preserve">excludes between-person confidence to avoid collinearity with physician random effect</w:t>
      </w:r>
    </w:p>
    <w:bookmarkEnd w:id="49"/>
    <w:bookmarkStart w:id="50" w:name="implications"/>
    <w:p>
      <w:pPr>
        <w:pStyle w:val="Heading2"/>
      </w:pPr>
      <w:r>
        <w:t xml:space="preserve">6.2 Implications</w:t>
      </w:r>
    </w:p>
    <w:p>
      <w:pPr>
        <w:pStyle w:val="FirstParagraph"/>
      </w:pPr>
      <w:r>
        <w:t xml:space="preserve">This analysis demonstrates that physicians respond appropriately to clinical scenarios with modest individual variation. Medevac decision-making is driven by:</w:t>
      </w:r>
    </w:p>
    <w:p>
      <w:pPr>
        <w:pStyle w:val="Compact"/>
        <w:numPr>
          <w:ilvl w:val="0"/>
          <w:numId w:val="1013"/>
        </w:numPr>
      </w:pPr>
      <w:r>
        <w:rPr>
          <w:b/>
          <w:bCs/>
        </w:rPr>
        <w:t xml:space="preserve">Quality improvement</w:t>
      </w:r>
      <w:r>
        <w:t xml:space="preserve">: Identifying systematic patterns in clinical decision-making</w:t>
      </w:r>
    </w:p>
    <w:p>
      <w:pPr>
        <w:pStyle w:val="Compact"/>
        <w:numPr>
          <w:ilvl w:val="0"/>
          <w:numId w:val="1013"/>
        </w:numPr>
      </w:pPr>
      <w:r>
        <w:rPr>
          <w:b/>
          <w:bCs/>
        </w:rPr>
        <w:t xml:space="preserve">Education</w:t>
      </w:r>
      <w:r>
        <w:t xml:space="preserve">: Targeting feedback to appropriateness calibration</w:t>
      </w:r>
    </w:p>
    <w:p>
      <w:pPr>
        <w:pStyle w:val="Compact"/>
        <w:numPr>
          <w:ilvl w:val="0"/>
          <w:numId w:val="1013"/>
        </w:numPr>
      </w:pPr>
      <w:r>
        <w:rPr>
          <w:b/>
          <w:bCs/>
        </w:rPr>
        <w:t xml:space="preserve">Policy</w:t>
      </w:r>
      <w:r>
        <w:t xml:space="preserve">: Accounting for legitimate variation vs. unwarranted variation</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Physician Medevac Propensity Analysis</dc:title>
  <dc:creator>Medevac Interrater Study Team</dc:creator>
  <cp:keywords/>
  <dcterms:created xsi:type="dcterms:W3CDTF">2025-12-18T22:24:52Z</dcterms:created>
  <dcterms:modified xsi:type="dcterms:W3CDTF">2025-12-18T22:24:52Z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2025-12-18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Comprehensive Analysis of Clinical Appropriateness and Practice Variation</vt:lpwstr>
  </property>
  <property fmtid="{D5CDD505-2E9C-101B-9397-08002B2CF9AE}" pid="11" name="toc-title">
    <vt:lpwstr>Table of contents</vt:lpwstr>
  </property>
</Properties>
</file>