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Foreword</w:t>
      </w:r>
    </w:p>
    <w:p>
      <w:r>
        <w:t xml:space="preserve">A collection from </w:t>
      </w:r>
      <w:r>
        <w:rPr>
          <w:i/>
        </w:rPr>
        <w:t>Flaming Hydra</w:t>
      </w:r>
      <w:r>
        <w:t xml:space="preserve">, made by </w:t>
      </w:r>
      <w:r>
        <w:rPr>
          <w:b/>
        </w:rPr>
        <w:t>its writers</w:t>
      </w:r>
      <w:r>
        <w:t xml:space="preserve"> for the Arts &amp; Letters &lt;club&gt;. Read it online at </w:t>
      </w:r>
      <w:hyperlink r:id="rId9">
        <w:r>
          <w:t>flaminghydra.com</w:t>
        </w:r>
      </w:hyperlink>
      <w:r>
        <w:t>.</w:t>
      </w:r>
    </w:p>
    <w:p>
      <w:pPr>
        <w:pStyle w:val="Heading2"/>
      </w:pPr>
      <w:r>
        <w:t>What's inside</w:t>
      </w:r>
    </w:p>
    <w:p>
      <w:pPr>
        <w:pStyle w:val="ListBullet"/>
      </w:pPr>
      <w:r>
        <w:t>Essays</w:t>
      </w:r>
    </w:p>
    <w:p>
      <w:pPr>
        <w:pStyle w:val="ListBullet"/>
      </w:pPr>
      <w:r>
        <w:t>Poems</w:t>
      </w:r>
    </w:p>
    <w:p>
      <w:pPr>
        <w:pStyle w:val="ListBullet"/>
      </w:pPr>
      <w:r>
        <w:t>Pictures</w:t>
      </w:r>
    </w:p>
    <w:p>
      <w:r>
        <w:drawing>
          <wp:inline xmlns:a="http://schemas.openxmlformats.org/drawingml/2006/main" xmlns:pic="http://schemas.openxmlformats.org/drawingml/2006/picture">
            <wp:extent cx="91440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Thanks for reading.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laminghydra.com/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