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1.png" ContentType="image/png"/>
  <Override PartName="/word/media/image2.png" ContentType="image/png"/>
  <Override PartName="/word/media/image1.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NOTIFIABLE</w:t>
      </w:r>
      <w:r>
        <w:t xml:space="preserve"> </w:t>
      </w:r>
      <w:r>
        <w:t xml:space="preserve">MEDICAL</w:t>
      </w:r>
      <w:r>
        <w:t xml:space="preserve"> </w:t>
      </w:r>
      <w:r>
        <w:t xml:space="preserve">CONDITIONS</w:t>
      </w:r>
      <w:r>
        <w:t xml:space="preserve"> </w:t>
      </w:r>
      <w:r>
        <w:t xml:space="preserve">SURVEILLANCE</w:t>
      </w:r>
      <w:r>
        <w:t xml:space="preserve"> </w:t>
      </w:r>
      <w:r>
        <w:t xml:space="preserve">SYSTEM</w:t>
      </w:r>
    </w:p>
    <w:p>
      <w:pPr>
        <w:pStyle w:val="Author"/>
      </w:pPr>
      <w:r>
        <w:t xml:space="preserve">the</w:t>
      </w:r>
      <w:r>
        <w:t xml:space="preserve"> </w:t>
      </w:r>
      <w:r>
        <w:t xml:space="preserve">National</w:t>
      </w:r>
      <w:r>
        <w:t xml:space="preserve"> </w:t>
      </w:r>
      <w:r>
        <w:t xml:space="preserve">Institute</w:t>
      </w:r>
      <w:r>
        <w:t xml:space="preserve"> </w:t>
      </w:r>
      <w:r>
        <w:t xml:space="preserve">for</w:t>
      </w:r>
      <w:r>
        <w:t xml:space="preserve"> </w:t>
      </w:r>
      <w:r>
        <w:t xml:space="preserve">Communicable</w:t>
      </w:r>
      <w:r>
        <w:t xml:space="preserve"> </w:t>
      </w:r>
      <w:r>
        <w:t xml:space="preserve">Diseases</w:t>
      </w:r>
    </w:p>
    <w:bookmarkStart w:id="20" w:name="introduction"/>
    <w:p>
      <w:pPr>
        <w:pStyle w:val="Heading1"/>
      </w:pPr>
      <w:r>
        <w:rPr>
          <w:rStyle w:val="SectionNumber"/>
        </w:rPr>
        <w:t xml:space="preserve">1</w:t>
      </w:r>
      <w:r>
        <w:tab/>
      </w:r>
      <w:r>
        <w:t xml:space="preserve">Introduction</w:t>
      </w:r>
    </w:p>
    <w:p>
      <w:pPr>
        <w:pStyle w:val="FirstParagraph"/>
      </w:pPr>
      <w:r>
        <w:t xml:space="preserve">R markdown is a simple and easy to use plain text language used to combine your R code, results from your data analysis (including plots and tables) and written commentary into a single nicely formatted and reproducible document (like a report, publication, thesis chapter or a web page like this one). There is also quarto which is a next generation Rmarkdown which can handle multiple languages and is slightly faster, however it does not handle some outputs to word as well Rmarkdown (like figure and table cross referencing) although it will likely handle these in future updates.</w:t>
      </w:r>
    </w:p>
    <w:bookmarkEnd w:id="20"/>
    <w:bookmarkStart w:id="25" w:name="purpose"/>
    <w:p>
      <w:pPr>
        <w:pStyle w:val="Heading1"/>
      </w:pPr>
      <w:r>
        <w:t xml:space="preserve">Purpose</w:t>
      </w:r>
    </w:p>
    <w:p>
      <w:pPr>
        <w:pStyle w:val="FirstParagraph"/>
      </w:pPr>
      <w:r>
        <w:t xml:space="preserve">The purpose of this session (and document) is to show you how to produce some publication ready tables and publish it to a word document (.docx) from Rmarkdown.</w:t>
      </w:r>
      <w:r>
        <w:t xml:space="preserve"> </w:t>
      </w:r>
      <w:r>
        <w:t xml:space="preserve">We will mainly be using tools from the</w:t>
      </w:r>
      <w:r>
        <w:t xml:space="preserve"> </w:t>
      </w:r>
      <w:hyperlink r:id="rId21">
        <w:r>
          <w:rPr>
            <w:rStyle w:val="Hyperlink"/>
          </w:rPr>
          <w:t xml:space="preserve">tidyverse</w:t>
        </w:r>
      </w:hyperlink>
      <w:r>
        <w:t xml:space="preserve">,</w:t>
      </w:r>
      <w:r>
        <w:t xml:space="preserve"> </w:t>
      </w:r>
      <w:hyperlink r:id="rId22">
        <w:r>
          <w:rPr>
            <w:rStyle w:val="Hyperlink"/>
          </w:rPr>
          <w:t xml:space="preserve">gtsummary</w:t>
        </w:r>
      </w:hyperlink>
      <w:r>
        <w:t xml:space="preserve">,</w:t>
      </w:r>
      <w:r>
        <w:t xml:space="preserve"> </w:t>
      </w:r>
      <w:hyperlink r:id="rId23">
        <w:r>
          <w:rPr>
            <w:rStyle w:val="Hyperlink"/>
          </w:rPr>
          <w:t xml:space="preserve">flextable</w:t>
        </w:r>
      </w:hyperlink>
      <w:r>
        <w:t xml:space="preserve">, and</w:t>
      </w:r>
      <w:r>
        <w:t xml:space="preserve"> </w:t>
      </w:r>
      <w:hyperlink r:id="rId24">
        <w:r>
          <w:rPr>
            <w:rStyle w:val="Hyperlink"/>
          </w:rPr>
          <w:t xml:space="preserve">ggplot2</w:t>
        </w:r>
      </w:hyperlink>
      <w:r>
        <w:t xml:space="preserve"> </w:t>
      </w:r>
      <w:r>
        <w:t xml:space="preserve">packages.</w:t>
      </w:r>
    </w:p>
    <w:bookmarkEnd w:id="25"/>
    <w:bookmarkStart w:id="35" w:name="methods"/>
    <w:p>
      <w:pPr>
        <w:pStyle w:val="Heading1"/>
      </w:pPr>
      <w:r>
        <w:rPr>
          <w:rStyle w:val="SectionNumber"/>
        </w:rPr>
        <w:t xml:space="preserve">2</w:t>
      </w:r>
      <w:r>
        <w:tab/>
      </w:r>
      <w:r>
        <w:t xml:space="preserve">Methods</w:t>
      </w:r>
    </w:p>
    <w:p>
      <w:pPr>
        <w:pStyle w:val="FirstParagraph"/>
      </w:pPr>
      <w:r>
        <w:t xml:space="preserve">A selection of code chunks will be given with built in data sets to run. Then a dataset will be given to import and and code chunks to run that are similar to the Monthly</w:t>
      </w:r>
      <w:r>
        <w:t xml:space="preserve"> </w:t>
      </w:r>
      <w:hyperlink r:id="rId26">
        <w:r>
          <w:rPr>
            <w:rStyle w:val="Hyperlink"/>
          </w:rPr>
          <w:t xml:space="preserve">NMCSS Surveillance</w:t>
        </w:r>
      </w:hyperlink>
      <w:r>
        <w:t xml:space="preserve"> </w:t>
      </w:r>
      <w:r>
        <w:t xml:space="preserve">report.</w:t>
      </w:r>
    </w:p>
    <w:p>
      <w:r>
        <w:br w:type="page"/>
      </w:r>
    </w:p>
    <w:p>
      <w:pPr>
        <w:pStyle w:val="TableCaption"/>
      </w:pPr>
      <w:bookmarkStart w:id="27" w:name="tab:tab-first"/>
      <w:bookmarkEnd w:id="27"/>
      <w:r>
        <w:t xml:space="preserve">Table 2.1:</w:t>
      </w:r>
      <w:r>
        <w:t xml:space="preserve"> </w:t>
      </w:r>
      <w:r>
        <w:t xml:space="preserve">The first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39"/>
        <w:gridCol w:w="1593"/>
      </w:tblGrid>
      <w:tr>
        <w:trPr>
          <w:trHeight w:val="58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r>
      <w:tr>
        <w:trPr>
          <w:trHeight w:val="5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Chemotherapy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98 (49%)</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102 (51%)</w:t>
            </w:r>
          </w:p>
        </w:tc>
      </w:tr>
      <w:tr>
        <w:trPr>
          <w:trHeight w:val="5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47 (38, 57)</w:t>
            </w:r>
          </w:p>
        </w:tc>
      </w:tr>
      <w:tr>
        <w:trPr>
          <w:trHeight w:val="53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w:t>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0.64 (0.22, 1.39)</w:t>
            </w:r>
          </w:p>
        </w:tc>
      </w:tr>
      <w:tr>
        <w:trPr>
          <w:trHeight w:val="53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53 (27%)</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54 (27%)</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43 (22%)</w:t>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50 (25%)</w:t>
            </w:r>
          </w:p>
        </w:tc>
      </w:tr>
      <w:tr>
        <w:trPr>
          <w:trHeight w:val="53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r>
      <w:tr>
        <w:trPr>
          <w:trHeight w:val="56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64 (32%)</w:t>
            </w:r>
          </w:p>
        </w:tc>
      </w:tr>
      <w:tr>
        <w:trPr>
          <w:trHeight w:val="56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61 (32%)</w:t>
            </w:r>
          </w:p>
        </w:tc>
      </w:tr>
      <w:tr>
        <w:trPr>
          <w:trHeight w:val="53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r>
      <w:tr>
        <w:trPr>
          <w:trHeight w:val="56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112 (56%)</w:t>
            </w:r>
          </w:p>
        </w:tc>
      </w:tr>
      <w:tr>
        <w:trPr>
          <w:trHeight w:val="56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22.4 (16.0, 24.0)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n (%); Median (IQR)</w:t>
            </w:r>
          </w:p>
        </w:tc>
      </w:tr>
    </w:tbl>
    <w:p>
      <w:pPr>
        <w:pStyle w:val="BodyText"/>
      </w:pPr>
      <w:r>
        <w:t xml:space="preserve">See the Table</w:t>
      </w:r>
      <w:r>
        <w:t xml:space="preserve"> </w:t>
      </w:r>
      <w:r>
        <w:t xml:space="preserve">2.1</w:t>
      </w:r>
      <w:r>
        <w:t xml:space="preserve"> </w:t>
      </w:r>
      <w:r>
        <w:t xml:space="preserve">for the first output. We can also get values from the table, for instance, the median(IQR) age is 47 (38, 57).</w:t>
      </w:r>
    </w:p>
    <w:p>
      <w:r>
        <w:br w:type="page"/>
      </w:r>
    </w:p>
    <w:p>
      <w:pPr>
        <w:pStyle w:val="TableCaption"/>
      </w:pPr>
      <w:bookmarkStart w:id="28" w:name="tab:tab-second"/>
      <w:bookmarkEnd w:id="28"/>
      <w:r>
        <w:t xml:space="preserve">Table 2.2:</w:t>
      </w:r>
      <w:r>
        <w:t xml:space="preserve"> </w:t>
      </w:r>
      <w:r>
        <w:t xml:space="preserve">The second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1920"/>
        <w:gridCol w:w="2007"/>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A</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98</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B</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102</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r>
      <w:tr>
        <w:trPr>
          <w:trHeight w:val="56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46 (37,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48 (39, 56)</w:t>
            </w:r>
          </w:p>
        </w:tc>
      </w:tr>
      <w:tr>
        <w:trPr>
          <w:trHeight w:val="5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0.84 (0.24,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0.52 (0.19, 1.20)</w:t>
            </w:r>
          </w:p>
        </w:tc>
      </w:tr>
      <w:tr>
        <w:trPr>
          <w:trHeight w:val="53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(25%)</w:t>
            </w:r>
          </w:p>
        </w:tc>
      </w:tr>
      <w:tr>
        <w:trPr>
          <w:trHeight w:val="5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29 (28%)</w:t>
            </w:r>
          </w:p>
        </w:tc>
      </w:tr>
      <w:tr>
        <w:trPr>
          <w:trHeight w:val="56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(21%)</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27 (26%)</w:t>
            </w:r>
          </w:p>
        </w:tc>
      </w:tr>
      <w:tr>
        <w:trPr>
          <w:trHeight w:val="53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36 (35%)</w:t>
            </w:r>
          </w:p>
        </w:tc>
      </w:tr>
      <w:tr>
        <w:trPr>
          <w:trHeight w:val="56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(34%)</w:t>
            </w:r>
          </w:p>
        </w:tc>
      </w:tr>
      <w:tr>
        <w:trPr>
          <w:trHeight w:val="53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60 (59%)</w:t>
            </w:r>
          </w:p>
        </w:tc>
      </w:tr>
      <w:tr>
        <w:trPr>
          <w:trHeight w:val="564"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23.5 (17.4,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21.2 (14.6, 24.0)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Median (IQR); n (%)</w:t>
            </w:r>
          </w:p>
        </w:tc>
      </w:tr>
    </w:tbl>
    <w:p>
      <w:pPr>
        <w:pStyle w:val="BodyText"/>
      </w:pPr>
      <w:r>
        <w:t xml:space="preserve">See</w:t>
      </w:r>
      <w:r>
        <w:t xml:space="preserve"> </w:t>
      </w:r>
      <w:r>
        <w:t xml:space="preserve">2.2</w:t>
      </w:r>
      <w:r>
        <w:t xml:space="preserve">to see the second output of the session.</w:t>
      </w:r>
    </w:p>
    <w:p>
      <w:r>
        <w:br w:type="page"/>
      </w:r>
    </w:p>
    <w:p>
      <w:pPr>
        <w:pStyle w:val="TableCaption"/>
      </w:pPr>
      <w:bookmarkStart w:id="29" w:name="tab:tab-stats"/>
      <w:bookmarkEnd w:id="29"/>
      <w:r>
        <w:t xml:space="preserve">Table 2.3:</w:t>
      </w:r>
      <w:r>
        <w:t xml:space="preserve"> </w:t>
      </w:r>
      <w:r>
        <w:t xml:space="preserve">The second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2086"/>
        <w:gridCol w:w="1141"/>
        <w:gridCol w:w="1920"/>
        <w:gridCol w:w="1141"/>
        <w:gridCol w:w="2007"/>
        <w:gridCol w:w="1141"/>
        <w:gridCol w:w="1242"/>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200</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A</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98</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Drug B</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22"/>
                <w:szCs w:val="22"/>
                <w:color w:val="000000"/>
              </w:rPr>
              <w:t xml:space="preserve">, N = 102</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3</w:t>
            </w:r>
          </w:p>
        </w:tc>
      </w:tr>
      <w:tr>
        <w:trPr>
          <w:trHeight w:val="56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47 (38,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46 (37, 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44, 50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48 (39, 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45, 50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0.7</w:t>
            </w:r>
          </w:p>
        </w:tc>
      </w:tr>
      <w:tr>
        <w:trPr>
          <w:trHeight w:val="5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0.64 (0.22,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0.84 (0.24,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0.52 (0.19,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0.65, 0.99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0.085</w:t>
            </w:r>
          </w:p>
        </w:tc>
      </w:tr>
      <w:tr>
        <w:trPr>
          <w:trHeight w:val="53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w:t>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3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w:t>
            </w:r>
          </w:p>
        </w:tc>
      </w:tr>
      <w:tr>
        <w:trPr>
          <w:trHeight w:val="53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Patient Died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49%,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0.4</w:t>
            </w:r>
          </w:p>
        </w:tc>
      </w:tr>
      <w:tr>
        <w:trPr>
          <w:trHeight w:val="564"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Months to Death/Censor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22.4 (16.0,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23.5 (17.4,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21.2 (14.6,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18, 20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0.14</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Median (IQR); 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CI = Confidence Interval</w:t>
            </w:r>
          </w:p>
        </w:tc>
      </w:tr>
      <w:tr>
        <w:trPr>
          <w:trHeight w:val="360" w:hRule="auto"/>
        </w:trPr>
        footer 3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Wilcoxon rank sum test; Pearson's Chi-squared test</w:t>
            </w:r>
          </w:p>
        </w:tc>
      </w:tr>
    </w:tbl>
    <w:p>
      <w:r>
        <w:br w:type="page"/>
      </w:r>
    </w:p>
    <w:p>
      <w:pPr>
        <w:pStyle w:val="TableCaption"/>
      </w:pPr>
      <w:bookmarkStart w:id="30" w:name="tab:tab-regression"/>
      <w:bookmarkEnd w:id="30"/>
      <w:r>
        <w:t xml:space="preserve">Table 2.4:</w:t>
      </w:r>
      <w:r>
        <w:t xml:space="preserve"> </w:t>
      </w:r>
      <w:r>
        <w:t xml:space="preserve">The regression summary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6"/>
        <w:gridCol w:w="1467"/>
        <w:gridCol w:w="1141"/>
        <w:gridCol w:w="124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exp(Beta)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22"/>
                <w:szCs w:val="22"/>
                <w:color w:val="000000"/>
              </w:rPr>
              <w:t xml:space="preserve">p-value</w:t>
            </w:r>
          </w:p>
        </w:tc>
      </w:tr>
      <w:tr>
        <w:trPr>
          <w:trHeight w:val="55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1.00, 1.01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0.10</w:t>
            </w:r>
          </w:p>
        </w:tc>
      </w:tr>
      <w:tr>
        <w:trPr>
          <w:trHeight w:val="5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Marker Level (ng/mL)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2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4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0.88, 1.28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0.5</w:t>
            </w:r>
          </w:p>
        </w:tc>
      </w:tr>
      <w:tr>
        <w:trPr>
          <w:trHeight w:val="54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0.90, 1.37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0.3</w:t>
            </w:r>
          </w:p>
        </w:tc>
      </w:tr>
      <w:tr>
        <w:trPr>
          <w:trHeight w:val="54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1.21, 1.79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&lt;0.001</w:t>
            </w:r>
          </w:p>
        </w:tc>
      </w:tr>
      <w:tr>
        <w:trPr>
          <w:trHeight w:val="53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2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
            </w:r>
          </w:p>
        </w:tc>
      </w:tr>
      <w:tr>
        <w:trPr>
          <w:trHeight w:val="54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0.86, 1.23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0.7</w:t>
            </w:r>
          </w:p>
        </w:tc>
      </w:tr>
      <w:tr>
        <w:trPr>
          <w:trHeight w:val="54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III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0.053</w:t>
            </w:r>
          </w:p>
        </w:tc>
      </w:tr>
      <w:tr>
        <w:trPr>
          <w:trHeight w:val="55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Tumor Response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0.66, 0.90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CI = Confidence Interval</w:t>
            </w:r>
          </w:p>
        </w:tc>
      </w:tr>
    </w:tbl>
    <w:p>
      <w:r>
        <w:br w:type="page"/>
      </w:r>
    </w:p>
    <w:p>
      <w:pPr>
        <w:pStyle w:val="BodyText"/>
      </w:pPr>
      <w:r>
        <w:t xml:space="preserve">We can also make a plot:</w:t>
      </w:r>
    </w:p>
    <w:p>
      <w:pPr>
        <w:pStyle w:val="BodyText"/>
      </w:pPr>
      <w:r>
        <w:drawing>
          <wp:inline>
            <wp:extent cx="6096000" cy="4876800"/>
            <wp:effectExtent b="0" l="0" r="0" t="0"/>
            <wp:docPr descr="" title="" id="32" name="Picture"/>
            <a:graphic>
              <a:graphicData uri="http://schemas.openxmlformats.org/drawingml/2006/picture">
                <pic:pic>
                  <pic:nvPicPr>
                    <pic:cNvPr descr="ATC_publication_ready_tables_files/figure-docx/figure-1.png" id="33"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r>
        <w:br w:type="page"/>
      </w:r>
    </w:p>
    <w:p>
      <w:pPr>
        <w:pStyle w:val="TableCaption"/>
      </w:pPr>
      <w:bookmarkStart w:id="34" w:name="tab:nmc-table"/>
      <w:bookmarkEnd w:id="34"/>
      <w:r>
        <w:t xml:space="preserve">Table 2.5:</w:t>
      </w:r>
      <w:r>
        <w:t xml:space="preserve"> </w:t>
      </w:r>
      <w:r>
        <w:t xml:space="preserve">The number of notifications that are suspected and confirmed for category 1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7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Condition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Confirmed</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N = 415</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Suspected</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N = 646</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8"/>
                <w:szCs w:val="18"/>
                <w:color w:val="000000"/>
              </w:rPr>
              <w:t xml:space="preserve">N = 1061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8"/>
                <w:szCs w:val="18"/>
                <w:color w:val="000000"/>
              </w:rPr>
              <w:t xml:space="preserve">1</w:t>
            </w:r>
          </w:p>
        </w:tc>
      </w:tr>
      <w:tr>
        <w:trPr>
          <w:trHeight w:val="56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Acute Flaccid Paralysis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21</w:t>
            </w:r>
          </w:p>
        </w:tc>
      </w:tr>
      <w:tr>
        <w:trPr>
          <w:trHeight w:val="5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Cholera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32</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Congenital rubella syndrome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19</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Diphtheria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r>
      <w:tr>
        <w:trPr>
          <w:trHeight w:val="56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Enteric fever (typhoid or paratyphoid 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17</w:t>
            </w:r>
          </w:p>
        </w:tc>
      </w:tr>
      <w:tr>
        <w:trPr>
          <w:trHeight w:val="5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Food borne illness outbreak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105</w:t>
            </w:r>
          </w:p>
        </w:tc>
      </w:tr>
      <w:tr>
        <w:trPr>
          <w:trHeight w:val="5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Listeriosis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14</w:t>
            </w:r>
          </w:p>
        </w:tc>
      </w:tr>
      <w:tr>
        <w:trPr>
          <w:trHeight w:val="5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Malaria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204</w:t>
            </w:r>
          </w:p>
        </w:tc>
      </w:tr>
      <w:tr>
        <w:trPr>
          <w:trHeight w:val="53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Measles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253</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Meningococcal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18</w:t>
            </w:r>
          </w:p>
        </w:tc>
      </w:tr>
      <w:tr>
        <w:trPr>
          <w:trHeight w:val="5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Pertussis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121</w:t>
            </w:r>
          </w:p>
        </w:tc>
      </w:tr>
      <w:tr>
        <w:trPr>
          <w:trHeight w:val="53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Rabies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w:t>
            </w:r>
          </w:p>
        </w:tc>
      </w:tr>
      <w:tr>
        <w:trPr>
          <w:trHeight w:val="53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Rubella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246</w:t>
            </w:r>
          </w:p>
        </w:tc>
      </w:tr>
      <w:tr>
        <w:trPr>
          <w:trHeight w:val="534"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Waterborne illness outbreak - UNDEFINED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3</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entury Gothic" w:hAnsi="Helvetica" w:eastAsia="Helvetica" w:cs="Helvetica"/>
                <w:i w:val="false"/>
                <w:b w:val="false"/>
                <w:u w:val="none"/>
                <w:sz w:val="16"/>
                <w:szCs w:val="16"/>
                <w:color w:val="000000"/>
              </w:rPr>
              <w:t xml:space="preserve">Suspected and confirmed cases are independent and are not totalled - suspected and confirmed cases are distinct.</w:t>
            </w:r>
          </w:p>
        </w:tc>
      </w:tr>
    </w:tbl>
    <w:bookmarkEnd w:id="35"/>
    <w:sectPr w:rsidR="00687982" w:rsidSect="00C63DBA">
      <w:headerReference r:id="rId9" w:type="first"/>
      <w:pgSz w:h="12240" w:orient="landscape" w:w="15840"/>
      <w:pgMar w:bottom="1440" w:footer="720" w:gutter="0" w:header="20" w:left="1080" w:right="1080" w:top="978"/>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C874" w14:textId="77777777" w:rsidR="00247C77" w:rsidRDefault="00000000" w:rsidP="003A1CE4">
    <w:pPr>
      <w:pStyle w:val="Header"/>
      <w:ind w:left="-1440"/>
    </w:pPr>
    <w:r>
      <w:rPr>
        <w:noProof/>
      </w:rPr>
      <w:drawing>
        <wp:inline distT="0" distB="0" distL="0" distR="0" wp14:anchorId="24CB8BAD" wp14:editId="2FBA283E">
          <wp:extent cx="10236110" cy="1733794"/>
          <wp:effectExtent l="0" t="0" r="635" b="6350"/>
          <wp:docPr id="579388430" name="Picture 579388430" descr="A green rectangle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88430" name="Picture 579388430" descr="A green rectangle with a triangle&#10;&#10;Description automatically generated"/>
                  <pic:cNvPicPr>
                    <a:picLocks noChangeAspect="1" noChangeArrowheads="1"/>
                  </pic:cNvPicPr>
                </pic:nvPicPr>
                <pic:blipFill>
                  <a:blip r:embed="rId1"/>
                  <a:stretch>
                    <a:fillRect/>
                  </a:stretch>
                </pic:blipFill>
                <pic:spPr bwMode="auto">
                  <a:xfrm>
                    <a:off x="0" y="0"/>
                    <a:ext cx="10255773" cy="1737124"/>
                  </a:xfrm>
                  <a:prstGeom prst="rect">
                    <a:avLst/>
                  </a:prstGeom>
                  <a:noFill/>
                  <a:ln w="9525">
                    <a:noFill/>
                    <a:headEnd/>
                    <a:tailEnd/>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77A57B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7DC6E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C5CC6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DC02A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7D0CAF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DC0058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12A192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64206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1F4F7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92CC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948B7B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FF25B7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CE77875"/>
    <w:multiLevelType w:val="hybridMultilevel"/>
    <w:tmpl w:val="DBF630A8"/>
    <w:lvl w:ilvl="0" w:tplc="B61AAF74">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21E05896"/>
    <w:multiLevelType w:val="multilevel"/>
    <w:tmpl w:val="08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276A5822"/>
    <w:multiLevelType w:val="multilevel"/>
    <w:tmpl w:val="08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698D1725"/>
    <w:multiLevelType w:val="hybridMultilevel"/>
    <w:tmpl w:val="3EB2BAB4"/>
    <w:lvl w:ilvl="0" w:tplc="57E44D26">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9831774" w:numId="1">
    <w:abstractNumId w:val="10"/>
  </w:num>
  <w:num w16cid:durableId="725488214" w:numId="2">
    <w:abstractNumId w:val="11"/>
  </w:num>
  <w:num w16cid:durableId="1476025675" w:numId="3">
    <w:abstractNumId w:val="11"/>
  </w:num>
  <w:num w16cid:durableId="1177310258" w:numId="4">
    <w:abstractNumId w:val="11"/>
  </w:num>
  <w:num w16cid:durableId="428701770" w:numId="5">
    <w:abstractNumId w:val="0"/>
  </w:num>
  <w:num w16cid:durableId="841359851" w:numId="6">
    <w:abstractNumId w:val="1"/>
  </w:num>
  <w:num w16cid:durableId="278534182" w:numId="7">
    <w:abstractNumId w:val="2"/>
  </w:num>
  <w:num w16cid:durableId="1285847263" w:numId="8">
    <w:abstractNumId w:val="3"/>
  </w:num>
  <w:num w16cid:durableId="287401002" w:numId="9">
    <w:abstractNumId w:val="8"/>
  </w:num>
  <w:num w16cid:durableId="671568521" w:numId="10">
    <w:abstractNumId w:val="4"/>
  </w:num>
  <w:num w16cid:durableId="1639335196" w:numId="11">
    <w:abstractNumId w:val="5"/>
  </w:num>
  <w:num w16cid:durableId="1003632561" w:numId="12">
    <w:abstractNumId w:val="6"/>
  </w:num>
  <w:num w16cid:durableId="1955553382" w:numId="13">
    <w:abstractNumId w:val="7"/>
  </w:num>
  <w:num w16cid:durableId="970941081" w:numId="14">
    <w:abstractNumId w:val="9"/>
  </w:num>
  <w:num w16cid:durableId="470905599" w:numId="15">
    <w:abstractNumId w:val="15"/>
  </w:num>
  <w:num w16cid:durableId="1215383887" w:numId="16">
    <w:abstractNumId w:val="12"/>
  </w:num>
  <w:num w16cid:durableId="2076198096" w:numId="17">
    <w:abstractNumId w:val="14"/>
  </w:num>
  <w:num w16cid:durableId="2057974093" w:numId="18">
    <w:abstractNumId w:val="13"/>
  </w:num>
  <w:num w16cid:durableId="1938562927" w:numId="19">
    <w:abstractNumId w:val="10"/>
  </w:num>
  <w:num w16cid:durableId="1723628396" w:numId="20">
    <w:abstractNumId w:val="11"/>
  </w:num>
  <w:num w16cid:durableId="928275226" w:numId="21">
    <w:abstractNumId w:val="11"/>
  </w:num>
  <w:num w16cid:durableId="73285834" w:numId="2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13354"/>
    <w:rPr>
      <w:rFonts w:ascii="Century Gothic" w:hAnsi="Century Gothic"/>
      <w:sz w:val="20"/>
    </w:rPr>
  </w:style>
  <w:style w:styleId="Heading1" w:type="paragraph">
    <w:name w:val="heading 1"/>
    <w:basedOn w:val="Normal"/>
    <w:next w:val="BodyText"/>
    <w:uiPriority w:val="9"/>
    <w:qFormat/>
    <w:rsid w:val="002F09EF"/>
    <w:pPr>
      <w:keepNext/>
      <w:keepLines/>
      <w:spacing w:after="0" w:before="480"/>
      <w:outlineLvl w:val="0"/>
    </w:pPr>
    <w:rPr>
      <w:rFonts w:cstheme="majorBidi" w:eastAsiaTheme="majorEastAsia"/>
      <w:b/>
      <w:bCs/>
      <w:color w:themeColor="text1" w:val="000000"/>
    </w:rPr>
  </w:style>
  <w:style w:styleId="Heading2" w:type="paragraph">
    <w:name w:val="heading 2"/>
    <w:basedOn w:val="Heading1"/>
    <w:next w:val="BodyText"/>
    <w:uiPriority w:val="9"/>
    <w:unhideWhenUsed/>
    <w:qFormat/>
    <w:rsid w:val="00273EF4"/>
    <w:pPr>
      <w:outlineLvl w:val="1"/>
    </w:pPr>
  </w:style>
  <w:style w:styleId="Heading3" w:type="paragraph">
    <w:name w:val="heading 3"/>
    <w:basedOn w:val="Heading2"/>
    <w:next w:val="BodyText"/>
    <w:uiPriority w:val="9"/>
    <w:unhideWhenUsed/>
    <w:qFormat/>
    <w:rsid w:val="00273EF4"/>
    <w:pPr>
      <w:outlineLvl w:val="2"/>
    </w:pPr>
  </w:style>
  <w:style w:styleId="Heading4" w:type="paragraph">
    <w:name w:val="heading 4"/>
    <w:basedOn w:val="Heading3"/>
    <w:next w:val="BodyText"/>
    <w:uiPriority w:val="9"/>
    <w:unhideWhenUsed/>
    <w:qFormat/>
    <w:rsid w:val="00273EF4"/>
    <w:pPr>
      <w:outlineLvl w:val="3"/>
    </w:p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F09EF"/>
    <w:pPr>
      <w:spacing w:after="180" w:before="180"/>
    </w:pPr>
  </w:style>
  <w:style w:customStyle="1" w:styleId="FirstParagraph" w:type="paragraph">
    <w:name w:val="First Paragraph"/>
    <w:basedOn w:val="BodyText"/>
    <w:next w:val="BodyText"/>
    <w:qFormat/>
    <w:rsid w:val="002F09EF"/>
  </w:style>
  <w:style w:customStyle="1" w:styleId="Compact" w:type="paragraph">
    <w:name w:val="Compact"/>
    <w:basedOn w:val="BodyText"/>
    <w:qFormat/>
    <w:pPr>
      <w:spacing w:after="36" w:before="36"/>
    </w:pPr>
  </w:style>
  <w:style w:styleId="Title" w:type="paragraph">
    <w:name w:val="Title"/>
    <w:basedOn w:val="Normal"/>
    <w:next w:val="BodyText"/>
    <w:qFormat/>
    <w:rsid w:val="00784D76"/>
    <w:pPr>
      <w:keepNext/>
      <w:keepLines/>
      <w:spacing w:after="240"/>
      <w:ind w:left="-2268" w:right="-2268"/>
      <w:jc w:val="center"/>
    </w:pPr>
    <w:rPr>
      <w:rFonts w:cstheme="majorBidi" w:eastAsiaTheme="majorEastAsia"/>
      <w:b/>
      <w:bCs/>
      <w:color w:themeColor="accent3" w:val="9BBB59"/>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F09EF"/>
    <w:pPr>
      <w:keepNext/>
      <w:keepLines/>
      <w:jc w:val="center"/>
    </w:pPr>
    <w:rPr>
      <w:rFonts w:ascii="Century Gothic" w:hAnsi="Century Gothic"/>
    </w:r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F09EF"/>
    <w:pPr>
      <w:keepNext/>
    </w:pPr>
    <w:rPr>
      <w:sz w:val="14"/>
    </w:rPr>
  </w:style>
  <w:style w:customStyle="1" w:styleId="ImageCaption" w:type="paragraph">
    <w:name w:val="Image Caption"/>
    <w:basedOn w:val="Caption"/>
    <w:rsid w:val="002F09EF"/>
    <w:rPr>
      <w:sz w:val="14"/>
    </w:rPr>
  </w:style>
  <w:style w:customStyle="1" w:styleId="Figure" w:type="paragraph">
    <w:name w:val="Figure"/>
    <w:basedOn w:val="Normal"/>
  </w:style>
  <w:style w:customStyle="1" w:styleId="CaptionedFigure" w:type="paragraph">
    <w:name w:val="Captioned Figure"/>
    <w:basedOn w:val="Figure"/>
    <w:rsid w:val="00813354"/>
    <w:pPr>
      <w:keepNext/>
    </w:pPr>
  </w:style>
  <w:style w:customStyle="1" w:styleId="CaptionChar" w:type="character">
    <w:name w:val="Caption Char"/>
    <w:basedOn w:val="DefaultParagraphFont"/>
    <w:link w:val="Caption"/>
    <w:rPr>
      <w:rFonts w:ascii="Century Gothic" w:hAnsi="Century Gothic"/>
      <w:sz w:val="20"/>
    </w:rPr>
  </w:style>
  <w:style w:customStyle="1" w:styleId="VerbatimChar" w:type="character">
    <w:name w:val="Verbatim Char"/>
    <w:basedOn w:val="CaptionChar"/>
    <w:link w:val="SourceCode"/>
    <w:rPr>
      <w:rFonts w:ascii="Consolas" w:hAnsi="Consolas"/>
      <w:sz w:val="22"/>
    </w:rPr>
  </w:style>
  <w:style w:styleId="Header" w:type="paragraph">
    <w:name w:val="header"/>
    <w:basedOn w:val="Normal"/>
    <w:link w:val="HeaderChar"/>
    <w:rsid w:val="003A1CE4"/>
    <w:pPr>
      <w:tabs>
        <w:tab w:pos="4513" w:val="center"/>
        <w:tab w:pos="9026" w:val="right"/>
      </w:tabs>
      <w:spacing w:after="0"/>
    </w:pPr>
  </w:style>
  <w:style w:styleId="FootnoteReference" w:type="character">
    <w:name w:val="footnote reference"/>
    <w:basedOn w:val="CaptionChar"/>
    <w:rPr>
      <w:rFonts w:ascii="Century Gothic" w:hAnsi="Century Gothic"/>
      <w:sz w:val="20"/>
      <w:vertAlign w:val="superscript"/>
    </w:rPr>
  </w:style>
  <w:style w:styleId="Hyperlink" w:type="character">
    <w:name w:val="Hyperlink"/>
    <w:basedOn w:val="CaptionChar"/>
    <w:uiPriority w:val="99"/>
    <w:rPr>
      <w:rFonts w:ascii="Century Gothic" w:hAnsi="Century Gothic"/>
      <w:color w:themeColor="accent1" w:val="4F81BD"/>
      <w:sz w:val="20"/>
    </w:rPr>
  </w:style>
  <w:style w:styleId="TOCHeading" w:type="paragraph">
    <w:name w:val="TOC Heading"/>
    <w:basedOn w:val="Heading1"/>
    <w:next w:val="BodyText"/>
    <w:uiPriority w:val="39"/>
    <w:unhideWhenUsed/>
    <w:qFormat/>
    <w:rsid w:val="002F09EF"/>
    <w:pPr>
      <w:spacing w:before="240" w:line="259" w:lineRule="auto"/>
      <w:outlineLvl w:val="9"/>
    </w:pPr>
    <w:rPr>
      <w:szCs w:val="2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rsid w:val="002F09EF"/>
    <w:pPr>
      <w:spacing w:after="100"/>
    </w:pPr>
  </w:style>
  <w:style w:styleId="TOC2" w:type="paragraph">
    <w:name w:val="toc 2"/>
    <w:basedOn w:val="Normal"/>
    <w:next w:val="Normal"/>
    <w:autoRedefine/>
    <w:uiPriority w:val="39"/>
    <w:rsid w:val="002F09EF"/>
    <w:pPr>
      <w:spacing w:after="100"/>
      <w:ind w:left="240"/>
    </w:pPr>
  </w:style>
  <w:style w:styleId="TOC3" w:type="paragraph">
    <w:name w:val="toc 3"/>
    <w:basedOn w:val="Normal"/>
    <w:next w:val="Normal"/>
    <w:autoRedefine/>
    <w:uiPriority w:val="39"/>
    <w:rsid w:val="002F09EF"/>
    <w:pPr>
      <w:spacing w:after="100"/>
      <w:ind w:left="480"/>
    </w:pPr>
  </w:style>
  <w:style w:customStyle="1" w:styleId="HeaderChar" w:type="character">
    <w:name w:val="Header Char"/>
    <w:basedOn w:val="DefaultParagraphFont"/>
    <w:link w:val="Header"/>
    <w:rsid w:val="003A1CE4"/>
    <w:rPr>
      <w:rFonts w:ascii="Century Gothic" w:hAnsi="Century Gothic"/>
      <w:sz w:val="20"/>
    </w:rPr>
  </w:style>
  <w:style w:customStyle="1" w:styleId="BodyTextChar" w:type="character">
    <w:name w:val="Body Text Char"/>
    <w:basedOn w:val="DefaultParagraphFont"/>
    <w:link w:val="BodyText"/>
    <w:rsid w:val="002F09EF"/>
    <w:rPr>
      <w:rFonts w:ascii="Century Gothic" w:hAnsi="Century Gothic"/>
      <w:sz w:val="20"/>
    </w:rPr>
  </w:style>
  <w:style w:styleId="Footer" w:type="paragraph">
    <w:name w:val="footer"/>
    <w:basedOn w:val="Normal"/>
    <w:link w:val="FooterChar"/>
    <w:rsid w:val="003A1CE4"/>
    <w:pPr>
      <w:tabs>
        <w:tab w:pos="4513" w:val="center"/>
        <w:tab w:pos="9026" w:val="right"/>
      </w:tabs>
      <w:spacing w:after="0"/>
    </w:pPr>
  </w:style>
  <w:style w:customStyle="1" w:styleId="FooterChar" w:type="character">
    <w:name w:val="Footer Char"/>
    <w:basedOn w:val="DefaultParagraphFont"/>
    <w:link w:val="Footer"/>
    <w:rsid w:val="003A1CE4"/>
    <w:rPr>
      <w:rFonts w:ascii="Century Gothic" w:hAnsi="Century Gothic"/>
      <w:sz w:val="20"/>
    </w:rPr>
  </w:style>
  <w:style w:customStyle="1" w:styleId="CurrentList1" w:type="numbering">
    <w:name w:val="Current List1"/>
    <w:uiPriority w:val="99"/>
    <w:rsid w:val="00563E2D"/>
    <w:pPr>
      <w:numPr>
        <w:numId w:val="17"/>
      </w:numPr>
    </w:pPr>
  </w:style>
  <w:style w:customStyle="1" w:styleId="CurrentList2" w:type="numbering">
    <w:name w:val="Current List2"/>
    <w:uiPriority w:val="99"/>
    <w:rsid w:val="00563E2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1" Target="media/rId31.png" /><Relationship Type="http://schemas.openxmlformats.org/officeDocument/2006/relationships/hyperlink" Id="rId23" Target="https://ardata-fr.github.io/flextable-book/" TargetMode="External" /><Relationship Type="http://schemas.openxmlformats.org/officeDocument/2006/relationships/hyperlink" Id="rId24" Target="https://ggplot2.tidyverse.org/" TargetMode="External" /><Relationship Type="http://schemas.openxmlformats.org/officeDocument/2006/relationships/hyperlink" Id="rId22" Target="https://www.danieldsjoberg.com/gtsummary/" TargetMode="External" /><Relationship Type="http://schemas.openxmlformats.org/officeDocument/2006/relationships/hyperlink" Id="rId26" Target="https://www.nicd.ac.za/nmc-overview/nmc-monthly-surveillance-report/" TargetMode="External" /><Relationship Type="http://schemas.openxmlformats.org/officeDocument/2006/relationships/hyperlink" Id="rId21" Target="https://www.tidyverse.org/packages/" TargetMode="External" /></Relationships>
</file>

<file path=word/_rels/footnotes.xml.rels><?xml version="1.0" encoding="UTF-8"?><Relationships xmlns="http://schemas.openxmlformats.org/package/2006/relationships"><Relationship Type="http://schemas.openxmlformats.org/officeDocument/2006/relationships/hyperlink" Id="rId23" Target="https://ardata-fr.github.io/flextable-book/" TargetMode="External" /><Relationship Type="http://schemas.openxmlformats.org/officeDocument/2006/relationships/hyperlink" Id="rId24" Target="https://ggplot2.tidyverse.org/" TargetMode="External" /><Relationship Type="http://schemas.openxmlformats.org/officeDocument/2006/relationships/hyperlink" Id="rId22" Target="https://www.danieldsjoberg.com/gtsummary/" TargetMode="External" /><Relationship Type="http://schemas.openxmlformats.org/officeDocument/2006/relationships/hyperlink" Id="rId26" Target="https://www.nicd.ac.za/nmc-overview/nmc-monthly-surveillance-report/" TargetMode="External" /><Relationship Type="http://schemas.openxmlformats.org/officeDocument/2006/relationships/hyperlink" Id="rId21" Target="https://www.tidyverse.org/package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NOTIFIABLE MEDICAL CONDITIONS SURVEILLANCE SYSTEM</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NOTIFIABLE MEDICAL CONDITIONS SURVEILLANCE SYSTEM</dc:title>
  <dc:creator>the National Institute for Communicable Diseases</dc:creator>
  <cp:keywords/>
  <dcterms:created xsi:type="dcterms:W3CDTF">2024-02-03T18:27:36Z</dcterms:created>
  <dcterms:modified xsi:type="dcterms:W3CDTF">2024-02-03T18:27:36Z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