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682CF" w14:textId="77777777" w:rsidR="00687982" w:rsidRDefault="00000000">
      <w:pPr>
        <w:pStyle w:val="Title"/>
      </w:pPr>
      <w:r>
        <w:t>NOTIFIABLE MEDICAL CONDITIONS SURVEILLANCE SYSTEM</w:t>
      </w:r>
    </w:p>
    <w:p w14:paraId="0F754241" w14:textId="77777777" w:rsidR="00687982" w:rsidRDefault="00000000">
      <w:pPr>
        <w:pStyle w:val="Author"/>
      </w:pPr>
      <w:r>
        <w:t>the National Institute for Communicable Diseases</w:t>
      </w:r>
    </w:p>
    <w:p w14:paraId="207B5F41" w14:textId="77777777" w:rsidR="00687982" w:rsidRDefault="00000000">
      <w:pPr>
        <w:pStyle w:val="Heading1"/>
      </w:pPr>
      <w:bookmarkStart w:id="0" w:name="introduction"/>
      <w:r>
        <w:t>Introduction</w:t>
      </w:r>
    </w:p>
    <w:p w14:paraId="3801F776" w14:textId="77777777" w:rsidR="00687982" w:rsidRDefault="00000000">
      <w:pPr>
        <w:pStyle w:val="FirstParagraph"/>
      </w:pPr>
      <w:r>
        <w:t xml:space="preserve">This report summarizes data from the National Notifiable Medical Conditions Surveillance System (NMCSS) on cases notified during </w:t>
      </w:r>
      <w:r>
        <w:rPr>
          <w:b/>
          <w:bCs/>
        </w:rPr>
        <w:t>November 2023</w:t>
      </w:r>
      <w:r>
        <w:t>. Additionally, this report includes information on the distribution of case notifications by sources, such as clinical or laboratory notifications, merged cases (</w:t>
      </w:r>
      <w:r>
        <w:rPr>
          <w:b/>
          <w:bCs/>
        </w:rPr>
        <w:t>see Appendix no. 3</w:t>
      </w:r>
      <w:r>
        <w:t>), and the number of reported deaths. It monitors the use of the electronic NMC Reporting Application (App) for notification, data quality, specifically the completeness and timeliness of clinical diagnosis and notifications over time, and back-captured cases notified in November 2023 (</w:t>
      </w:r>
      <w:r>
        <w:rPr>
          <w:b/>
          <w:bCs/>
        </w:rPr>
        <w:t>see Appendix nos. 1 and 3</w:t>
      </w:r>
      <w:r>
        <w:t>). Category 4 NMCs, COVID-19, and multi-system inflammatory syndrome (MIS-C) have been excluded from this report.</w:t>
      </w:r>
    </w:p>
    <w:p w14:paraId="3E7F4235" w14:textId="77777777" w:rsidR="00687982" w:rsidRDefault="00000000">
      <w:pPr>
        <w:pStyle w:val="Heading2"/>
      </w:pPr>
      <w:bookmarkStart w:id="1" w:name="highlights"/>
      <w:r>
        <w:t>Highlights</w:t>
      </w:r>
    </w:p>
    <w:p w14:paraId="331BCB03" w14:textId="77777777" w:rsidR="00687982" w:rsidRDefault="00000000">
      <w:pPr>
        <w:pStyle w:val="Compact"/>
        <w:numPr>
          <w:ilvl w:val="0"/>
          <w:numId w:val="20"/>
        </w:numPr>
      </w:pPr>
      <w:r>
        <w:t>A total of 11642 cases were notified in November 2023 and the majority were category 2 conditions.</w:t>
      </w:r>
    </w:p>
    <w:p w14:paraId="4C48112C" w14:textId="0E92BC8E" w:rsidR="00687982" w:rsidRDefault="00000000">
      <w:pPr>
        <w:pStyle w:val="Compact"/>
        <w:numPr>
          <w:ilvl w:val="0"/>
          <w:numId w:val="20"/>
        </w:numPr>
      </w:pPr>
      <w:r>
        <w:t xml:space="preserve">There were </w:t>
      </w:r>
      <w:r w:rsidR="00933B86">
        <w:t>445</w:t>
      </w:r>
      <w:r>
        <w:t xml:space="preserve"> average active users of the NMC App in November 2023</w:t>
      </w:r>
    </w:p>
    <w:p w14:paraId="03C7B215" w14:textId="3D22629A" w:rsidR="00687982" w:rsidRDefault="00000000">
      <w:pPr>
        <w:pStyle w:val="Compact"/>
        <w:numPr>
          <w:ilvl w:val="0"/>
          <w:numId w:val="20"/>
        </w:numPr>
      </w:pPr>
      <w:r>
        <w:t xml:space="preserve">Category 1 cases were reported in median (IQR) of </w:t>
      </w:r>
      <w:r w:rsidR="00F26F7A">
        <w:t>zero</w:t>
      </w:r>
      <w:r>
        <w:t xml:space="preserve"> (0, 1) days.</w:t>
      </w:r>
    </w:p>
    <w:p w14:paraId="1F079517" w14:textId="77777777" w:rsidR="00687982" w:rsidRDefault="00000000">
      <w:pPr>
        <w:pStyle w:val="Heading2"/>
      </w:pPr>
      <w:bookmarkStart w:id="2" w:name="nmc-reporting-application"/>
      <w:bookmarkEnd w:id="1"/>
      <w:r>
        <w:t>NMC Reporting application</w:t>
      </w:r>
    </w:p>
    <w:p w14:paraId="00EF5572" w14:textId="714FF740" w:rsidR="00687982" w:rsidRDefault="00000000">
      <w:pPr>
        <w:pStyle w:val="Compact"/>
        <w:numPr>
          <w:ilvl w:val="0"/>
          <w:numId w:val="21"/>
        </w:numPr>
      </w:pPr>
      <w:hyperlink r:id="rId7">
        <w:r>
          <w:rPr>
            <w:rStyle w:val="Hyperlink"/>
          </w:rPr>
          <w:t>NMC Reporting App</w:t>
        </w:r>
      </w:hyperlink>
      <w:r>
        <w:t xml:space="preserve"> is available on both web and mobile </w:t>
      </w:r>
      <w:proofErr w:type="gramStart"/>
      <w:r>
        <w:t>platforms</w:t>
      </w:r>
      <w:proofErr w:type="gramEnd"/>
    </w:p>
    <w:p w14:paraId="78ADB1D4" w14:textId="77777777" w:rsidR="00687982" w:rsidRDefault="00000000">
      <w:pPr>
        <w:pStyle w:val="Compact"/>
        <w:numPr>
          <w:ilvl w:val="0"/>
          <w:numId w:val="21"/>
        </w:numPr>
      </w:pPr>
      <w:r>
        <w:t>Use recommended browsers in order to access NMC reporting App for notifications, searching of cases and reports.</w:t>
      </w:r>
    </w:p>
    <w:p w14:paraId="3A8C13CB" w14:textId="77777777" w:rsidR="00687982" w:rsidRDefault="00000000">
      <w:pPr>
        <w:pStyle w:val="Compact"/>
        <w:numPr>
          <w:ilvl w:val="0"/>
          <w:numId w:val="21"/>
        </w:numPr>
      </w:pPr>
      <w:r>
        <w:t xml:space="preserve">Register if you have no NMC account and you can reset the password if you have not used the application over 12 months. </w:t>
      </w:r>
      <w:r>
        <w:rPr>
          <w:noProof/>
        </w:rPr>
        <w:drawing>
          <wp:inline distT="0" distB="0" distL="0" distR="0" wp14:anchorId="5C5DCDBA" wp14:editId="15AA35DC">
            <wp:extent cx="8546443" cy="917179"/>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images/NOTE.png"/>
                    <pic:cNvPicPr>
                      <a:picLocks noChangeAspect="1" noChangeArrowheads="1"/>
                    </pic:cNvPicPr>
                  </pic:nvPicPr>
                  <pic:blipFill>
                    <a:blip r:embed="rId8"/>
                    <a:stretch>
                      <a:fillRect/>
                    </a:stretch>
                  </pic:blipFill>
                  <pic:spPr bwMode="auto">
                    <a:xfrm>
                      <a:off x="0" y="0"/>
                      <a:ext cx="8546443" cy="917179"/>
                    </a:xfrm>
                    <a:prstGeom prst="rect">
                      <a:avLst/>
                    </a:prstGeom>
                    <a:noFill/>
                    <a:ln w="9525">
                      <a:noFill/>
                      <a:headEnd/>
                      <a:tailEnd/>
                    </a:ln>
                  </pic:spPr>
                </pic:pic>
              </a:graphicData>
            </a:graphic>
          </wp:inline>
        </w:drawing>
      </w:r>
      <w:r>
        <w:t xml:space="preserve"> </w:t>
      </w:r>
    </w:p>
    <w:p w14:paraId="2AE028D7" w14:textId="77777777" w:rsidR="00687982" w:rsidRDefault="00000000">
      <w:pPr>
        <w:pStyle w:val="Heading2"/>
      </w:pPr>
      <w:bookmarkStart w:id="3" w:name="category-1-conditions-at-a-glance"/>
      <w:bookmarkEnd w:id="2"/>
      <w:r>
        <w:lastRenderedPageBreak/>
        <w:t>Category 1 Conditions at a glance</w:t>
      </w:r>
    </w:p>
    <w:p w14:paraId="748B8EA1" w14:textId="77777777" w:rsidR="00687982" w:rsidRDefault="00000000">
      <w:pPr>
        <w:pStyle w:val="TableCaption"/>
      </w:pPr>
      <w:bookmarkStart w:id="4" w:name="tab:unnamed-chunk-5"/>
      <w:bookmarkEnd w:id="4"/>
      <w:r>
        <w:t>Table 1: The number of notifications that are suspected and confirmed for category 1 conditions.</w:t>
      </w:r>
    </w:p>
    <w:tbl>
      <w:tblPr>
        <w:tblW w:w="4950" w:type="pct"/>
        <w:jc w:val="center"/>
        <w:tblLook w:val="0420" w:firstRow="1" w:lastRow="0" w:firstColumn="0" w:lastColumn="0" w:noHBand="0" w:noVBand="1"/>
      </w:tblPr>
      <w:tblGrid>
        <w:gridCol w:w="8697"/>
        <w:gridCol w:w="2423"/>
        <w:gridCol w:w="2423"/>
      </w:tblGrid>
      <w:tr w:rsidR="00687982" w14:paraId="5DE4BC97"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8EB9E1E"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eastAsia="Helvetica" w:hAnsi="Helvetica" w:cs="Helvetica"/>
                <w:color w:val="000000"/>
                <w:sz w:val="18"/>
                <w:szCs w:val="18"/>
              </w:rPr>
              <w:t>Condition</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21DA077"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Suspected</w:t>
            </w:r>
            <w:r>
              <w:rPr>
                <w:rFonts w:eastAsia="Helvetica" w:hAnsi="Helvetica" w:cs="Helvetica"/>
                <w:color w:val="000000"/>
                <w:sz w:val="18"/>
                <w:szCs w:val="18"/>
              </w:rPr>
              <w:t xml:space="preserve">, </w:t>
            </w:r>
            <w:r>
              <w:rPr>
                <w:rFonts w:eastAsia="Helvetica" w:hAnsi="Helvetica" w:cs="Helvetica"/>
                <w:color w:val="000000"/>
                <w:sz w:val="18"/>
                <w:szCs w:val="18"/>
              </w:rPr>
              <w:br/>
              <w:t>N = 1262</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5A1DE94"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Confirmed</w:t>
            </w:r>
            <w:r>
              <w:rPr>
                <w:rFonts w:eastAsia="Helvetica" w:hAnsi="Helvetica" w:cs="Helvetica"/>
                <w:color w:val="000000"/>
                <w:sz w:val="18"/>
                <w:szCs w:val="18"/>
              </w:rPr>
              <w:t xml:space="preserve">, </w:t>
            </w:r>
            <w:r>
              <w:rPr>
                <w:rFonts w:eastAsia="Helvetica" w:hAnsi="Helvetica" w:cs="Helvetica"/>
                <w:color w:val="000000"/>
                <w:sz w:val="18"/>
                <w:szCs w:val="18"/>
              </w:rPr>
              <w:br/>
              <w:t>N = 639</w:t>
            </w:r>
            <w:r>
              <w:rPr>
                <w:rFonts w:eastAsia="Helvetica" w:hAnsi="Helvetica" w:cs="Helvetica"/>
                <w:color w:val="000000"/>
                <w:sz w:val="18"/>
                <w:szCs w:val="18"/>
                <w:vertAlign w:val="superscript"/>
              </w:rPr>
              <w:t>1</w:t>
            </w:r>
          </w:p>
        </w:tc>
      </w:tr>
      <w:tr w:rsidR="00687982" w14:paraId="03B3F93F"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CB3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Acute Flaccid Paralysis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6E49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BCA1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60DCEF6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D9E2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Acute rheumatic fever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94E2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918E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7EACB01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8C63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Cholera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9F61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39C3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4072D2F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D22F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Congenital rubella syndrome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38D9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B993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32</w:t>
            </w:r>
          </w:p>
        </w:tc>
      </w:tr>
      <w:tr w:rsidR="00687982" w14:paraId="5391C6D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50A3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Diphtheria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6368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5A7C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w:t>
            </w:r>
          </w:p>
        </w:tc>
      </w:tr>
      <w:tr w:rsidR="00687982" w14:paraId="0307CEC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53E1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Enteric fever (typhoid or paratyphoid fever)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C672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E18B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12</w:t>
            </w:r>
          </w:p>
        </w:tc>
      </w:tr>
      <w:tr w:rsidR="00687982" w14:paraId="17F3DA7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439A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Food borne illness outbreak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5811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5EE4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28B36F5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1B11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Listeriosis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2DA3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9CE7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w:t>
            </w:r>
          </w:p>
        </w:tc>
      </w:tr>
      <w:tr w:rsidR="00687982" w14:paraId="7C3377A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2F0E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Malaria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F8D2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766E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183</w:t>
            </w:r>
          </w:p>
        </w:tc>
      </w:tr>
      <w:tr w:rsidR="00687982" w14:paraId="08E43AA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2CD7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Measles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108E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F420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47</w:t>
            </w:r>
          </w:p>
        </w:tc>
      </w:tr>
      <w:tr w:rsidR="00687982" w14:paraId="243E50B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A7F6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Meningococcal Disease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6FD8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996E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r>
      <w:tr w:rsidR="00687982" w14:paraId="4BBEA64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A620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Pertussis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07F0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769B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64</w:t>
            </w:r>
          </w:p>
        </w:tc>
      </w:tr>
      <w:tr w:rsidR="00687982" w14:paraId="0EB99F7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D0E9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Rabies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5894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03B2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r>
      <w:tr w:rsidR="00687982" w14:paraId="16829158"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2271B0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Rubella</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143C47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227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FD5C21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285</w:t>
            </w:r>
          </w:p>
        </w:tc>
      </w:tr>
      <w:tr w:rsidR="00687982" w14:paraId="0C2712D2" w14:textId="77777777">
        <w:trPr>
          <w:jc w:val="center"/>
        </w:trPr>
        <w:tc>
          <w:tcPr>
            <w:tcW w:w="0" w:type="auto"/>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A0E92E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vertAlign w:val="superscript"/>
              </w:rPr>
              <w:t>1</w:t>
            </w:r>
            <w:r>
              <w:rPr>
                <w:rFonts w:eastAsia="Helvetica" w:hAnsi="Helvetica" w:cs="Helvetica"/>
                <w:color w:val="000000"/>
                <w:sz w:val="18"/>
                <w:szCs w:val="18"/>
              </w:rPr>
              <w:t>n</w:t>
            </w:r>
          </w:p>
        </w:tc>
      </w:tr>
    </w:tbl>
    <w:p w14:paraId="5209C6C6" w14:textId="77777777" w:rsidR="00687982" w:rsidRDefault="00000000">
      <w:r>
        <w:br w:type="page"/>
      </w:r>
    </w:p>
    <w:p w14:paraId="5C1B7484" w14:textId="77777777" w:rsidR="00687982" w:rsidRDefault="00000000">
      <w:pPr>
        <w:pStyle w:val="Heading1"/>
      </w:pPr>
      <w:bookmarkStart w:id="5" w:name="nmc-data-summary-november-2023"/>
      <w:bookmarkEnd w:id="0"/>
      <w:bookmarkEnd w:id="3"/>
      <w:r>
        <w:lastRenderedPageBreak/>
        <w:t>NMC data summary, November 2023</w:t>
      </w:r>
    </w:p>
    <w:p w14:paraId="4C7C2BF9" w14:textId="77777777" w:rsidR="00314787" w:rsidRDefault="00314787" w:rsidP="00314787">
      <w:pPr>
        <w:pStyle w:val="FirstParagraph"/>
      </w:pPr>
      <w:bookmarkStart w:id="6" w:name="tab:tbl-cat-bycase"/>
      <w:bookmarkEnd w:id="6"/>
      <w:r>
        <w:t xml:space="preserve">A total of n=12756 cases were notified to the NMCSS in November 2023 </w:t>
      </w:r>
      <w:r>
        <w:rPr>
          <w:b/>
          <w:bCs/>
        </w:rPr>
        <w:t>(See Appendix no.3 for definitions)</w:t>
      </w:r>
      <w:r>
        <w:t>. There were 11642 current notifications; the majority (n=9 613, 83%) were category 2 conditions. The provinces with the highest number of notifications were KZN (2 672, 23%), GP (2 558, 22%), and WC (2 532, 22%). The provinces with the least number of notifications were NW (390, 3.4%), and MP (400, 3.4%). (</w:t>
      </w:r>
      <w:r>
        <w:rPr>
          <w:b/>
          <w:bCs/>
        </w:rPr>
        <w:t>Figure 1</w:t>
      </w:r>
      <w:r>
        <w:t xml:space="preserve">) There were 1114 back captured clinical notifications diagnosed between </w:t>
      </w:r>
      <w:proofErr w:type="gramStart"/>
      <w:r>
        <w:t>February,</w:t>
      </w:r>
      <w:proofErr w:type="gramEnd"/>
      <w:r>
        <w:t xml:space="preserve"> 2021 and November 2023 and only notified in November 2023. The majority (812, 73%) of those notifications were cases </w:t>
      </w:r>
      <w:proofErr w:type="spellStart"/>
      <w:proofErr w:type="gramStart"/>
      <w:r>
        <w:t>TB:pulmonary</w:t>
      </w:r>
      <w:proofErr w:type="spellEnd"/>
      <w:proofErr w:type="gramEnd"/>
      <w:r>
        <w:t xml:space="preserve"> notifications. (</w:t>
      </w:r>
      <w:r>
        <w:rPr>
          <w:b/>
          <w:bCs/>
        </w:rPr>
        <w:t>See Appendix no.1</w:t>
      </w:r>
      <w:r>
        <w:t>).</w:t>
      </w:r>
    </w:p>
    <w:p w14:paraId="73960674" w14:textId="77777777" w:rsidR="00687982" w:rsidRDefault="00000000">
      <w:pPr>
        <w:pStyle w:val="TableCaption"/>
      </w:pPr>
      <w:r>
        <w:t>Table 2: Description of NMC notifications by case source</w:t>
      </w:r>
    </w:p>
    <w:tbl>
      <w:tblPr>
        <w:tblW w:w="4950" w:type="pct"/>
        <w:jc w:val="center"/>
        <w:tblLook w:val="0420" w:firstRow="1" w:lastRow="0" w:firstColumn="0" w:lastColumn="0" w:noHBand="0" w:noVBand="1"/>
      </w:tblPr>
      <w:tblGrid>
        <w:gridCol w:w="2237"/>
        <w:gridCol w:w="2697"/>
        <w:gridCol w:w="2967"/>
        <w:gridCol w:w="3389"/>
        <w:gridCol w:w="2253"/>
      </w:tblGrid>
      <w:tr w:rsidR="00687982" w14:paraId="7CE947D0"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828879"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eastAsia="Helvetica" w:hAnsi="Helvetica" w:cs="Helvetica"/>
                <w:b/>
                <w:color w:val="000000"/>
                <w:sz w:val="18"/>
                <w:szCs w:val="18"/>
              </w:rPr>
              <w:t>NMC Category</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3BA7F5E"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Overall</w:t>
            </w:r>
            <w:r>
              <w:rPr>
                <w:rFonts w:eastAsia="Helvetica" w:hAnsi="Helvetica" w:cs="Helvetica"/>
                <w:color w:val="000000"/>
                <w:sz w:val="18"/>
                <w:szCs w:val="18"/>
              </w:rPr>
              <w:t>, N = 11 642</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4B52B30"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Clinical notifications</w:t>
            </w:r>
            <w:r>
              <w:rPr>
                <w:rFonts w:eastAsia="Helvetica" w:hAnsi="Helvetica" w:cs="Helvetica"/>
                <w:color w:val="000000"/>
                <w:sz w:val="18"/>
                <w:szCs w:val="18"/>
              </w:rPr>
              <w:t xml:space="preserve">, </w:t>
            </w:r>
            <w:r>
              <w:rPr>
                <w:rFonts w:eastAsia="Helvetica" w:hAnsi="Helvetica" w:cs="Helvetica"/>
                <w:color w:val="000000"/>
                <w:sz w:val="18"/>
                <w:szCs w:val="18"/>
              </w:rPr>
              <w:br/>
              <w:t>n = 8427</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546BBF6"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Laboratory notifications</w:t>
            </w:r>
            <w:r>
              <w:rPr>
                <w:rFonts w:eastAsia="Helvetica" w:hAnsi="Helvetica" w:cs="Helvetica"/>
                <w:color w:val="000000"/>
                <w:sz w:val="18"/>
                <w:szCs w:val="18"/>
              </w:rPr>
              <w:t xml:space="preserve">, </w:t>
            </w:r>
            <w:r>
              <w:rPr>
                <w:rFonts w:eastAsia="Helvetica" w:hAnsi="Helvetica" w:cs="Helvetica"/>
                <w:color w:val="000000"/>
                <w:sz w:val="18"/>
                <w:szCs w:val="18"/>
              </w:rPr>
              <w:br/>
              <w:t>n = 2696</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5A598F2"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Merged Cases</w:t>
            </w:r>
            <w:r>
              <w:rPr>
                <w:rFonts w:eastAsia="Helvetica" w:hAnsi="Helvetica" w:cs="Helvetica"/>
                <w:color w:val="000000"/>
                <w:sz w:val="18"/>
                <w:szCs w:val="18"/>
              </w:rPr>
              <w:t xml:space="preserve">, </w:t>
            </w:r>
            <w:r>
              <w:rPr>
                <w:rFonts w:eastAsia="Helvetica" w:hAnsi="Helvetica" w:cs="Helvetica"/>
                <w:color w:val="000000"/>
                <w:sz w:val="18"/>
                <w:szCs w:val="18"/>
              </w:rPr>
              <w:br/>
              <w:t>n = 519</w:t>
            </w:r>
          </w:p>
        </w:tc>
      </w:tr>
      <w:tr w:rsidR="00687982" w14:paraId="607A9B5D"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4F6D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Category 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E6EB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1 901 (16%)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B6AA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1 264 (15%)</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77DA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377 (14%)</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781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260 (50%)</w:t>
            </w:r>
          </w:p>
        </w:tc>
      </w:tr>
      <w:tr w:rsidR="00687982" w14:paraId="046C5B2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7218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Category 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E946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9 613 (83%)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03B7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7 163 (85%)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6FED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2 210 (82%)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BE63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240 (46%)</w:t>
            </w:r>
          </w:p>
        </w:tc>
      </w:tr>
      <w:tr w:rsidR="00687982" w14:paraId="0F534F8B"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BF181F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Category 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B14C82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128 (1.1%)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74FB36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7A2161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109 (4.0%)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0372A0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19 (3.7%)</w:t>
            </w:r>
          </w:p>
        </w:tc>
      </w:tr>
    </w:tbl>
    <w:p w14:paraId="0A1F3F9F" w14:textId="77777777" w:rsidR="00687982" w:rsidRDefault="00000000">
      <w:r>
        <w:br w:type="page"/>
      </w:r>
    </w:p>
    <w:p w14:paraId="6BD86C1C" w14:textId="77777777" w:rsidR="00687982" w:rsidRDefault="00000000">
      <w:pPr>
        <w:pStyle w:val="Heading2"/>
      </w:pPr>
      <w:bookmarkStart w:id="7" w:name="app-use"/>
      <w:r>
        <w:lastRenderedPageBreak/>
        <w:t>App use</w:t>
      </w:r>
    </w:p>
    <w:p w14:paraId="68B85499" w14:textId="0983AACD" w:rsidR="00687982" w:rsidRDefault="00A84172">
      <w:pPr>
        <w:pStyle w:val="CaptionedFigure"/>
      </w:pPr>
      <w:r>
        <w:rPr>
          <w:noProof/>
        </w:rPr>
        <w:drawing>
          <wp:inline distT="0" distB="0" distL="0" distR="0" wp14:anchorId="1B3C3957" wp14:editId="7070814A">
            <wp:extent cx="6407207" cy="3661261"/>
            <wp:effectExtent l="0" t="0" r="0" b="0"/>
            <wp:docPr id="31" name="Picture" descr="Figure 1: Distribution of notifications by province and notification type"/>
            <wp:cNvGraphicFramePr/>
            <a:graphic xmlns:a="http://schemas.openxmlformats.org/drawingml/2006/main">
              <a:graphicData uri="http://schemas.openxmlformats.org/drawingml/2006/picture">
                <pic:pic xmlns:pic="http://schemas.openxmlformats.org/drawingml/2006/picture">
                  <pic:nvPicPr>
                    <pic:cNvPr id="32" name="Picture" descr="plot.png"/>
                    <pic:cNvPicPr>
                      <a:picLocks noChangeAspect="1" noChangeArrowheads="1"/>
                    </pic:cNvPicPr>
                  </pic:nvPicPr>
                  <pic:blipFill>
                    <a:blip r:embed="rId9"/>
                    <a:stretch>
                      <a:fillRect/>
                    </a:stretch>
                  </pic:blipFill>
                  <pic:spPr bwMode="auto">
                    <a:xfrm>
                      <a:off x="0" y="0"/>
                      <a:ext cx="6407207" cy="3661261"/>
                    </a:xfrm>
                    <a:prstGeom prst="rect">
                      <a:avLst/>
                    </a:prstGeom>
                    <a:noFill/>
                    <a:ln w="9525">
                      <a:noFill/>
                      <a:headEnd/>
                      <a:tailEnd/>
                    </a:ln>
                  </pic:spPr>
                </pic:pic>
              </a:graphicData>
            </a:graphic>
          </wp:inline>
        </w:drawing>
      </w:r>
    </w:p>
    <w:p w14:paraId="0292571D" w14:textId="77777777" w:rsidR="00687982" w:rsidRDefault="00000000">
      <w:pPr>
        <w:pStyle w:val="ImageCaption"/>
      </w:pPr>
      <w:bookmarkStart w:id="8" w:name="fig:unnamed-chunk-7"/>
      <w:bookmarkEnd w:id="8"/>
      <w:r>
        <w:t>Figure 1: Distribution of notifications by province and notification type</w:t>
      </w:r>
    </w:p>
    <w:p w14:paraId="4324ABBB" w14:textId="77777777" w:rsidR="00687982" w:rsidRDefault="00000000">
      <w:pPr>
        <w:pStyle w:val="BodyText"/>
      </w:pPr>
      <w:r>
        <w:t>There were 689 (7.7%) Clinical notifications from from the private sector (i.e. private hospitals, private practice and mining industry) compared to 8 253 (92%) in the public sector. Clinical notifications using the NMC Reporting Application made up 8452 (99%) (see Table 3 ).</w:t>
      </w:r>
    </w:p>
    <w:p w14:paraId="70DD079D" w14:textId="77777777" w:rsidR="00687982" w:rsidRDefault="00000000">
      <w:r>
        <w:br w:type="page"/>
      </w:r>
    </w:p>
    <w:p w14:paraId="6A7A0B58" w14:textId="77777777" w:rsidR="00687982" w:rsidRDefault="00000000">
      <w:pPr>
        <w:pStyle w:val="TableCaption"/>
      </w:pPr>
      <w:bookmarkStart w:id="9" w:name="tab:tab-notifications"/>
      <w:bookmarkEnd w:id="9"/>
      <w:r>
        <w:lastRenderedPageBreak/>
        <w:t>Table 3: Clinical notifications notified by provinces, reporting platform, and sector</w:t>
      </w:r>
    </w:p>
    <w:tbl>
      <w:tblPr>
        <w:tblW w:w="4950" w:type="pct"/>
        <w:jc w:val="center"/>
        <w:tblLook w:val="0420" w:firstRow="1" w:lastRow="0" w:firstColumn="0" w:lastColumn="0" w:noHBand="0" w:noVBand="1"/>
      </w:tblPr>
      <w:tblGrid>
        <w:gridCol w:w="1344"/>
        <w:gridCol w:w="2417"/>
        <w:gridCol w:w="1950"/>
        <w:gridCol w:w="1864"/>
        <w:gridCol w:w="3027"/>
        <w:gridCol w:w="2941"/>
      </w:tblGrid>
      <w:tr w:rsidR="00687982" w14:paraId="2689FA96"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7120BCE"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eastAsia="Helvetica" w:hAnsi="Helvetica" w:cs="Helvetica"/>
                <w:b/>
                <w:color w:val="000000"/>
                <w:sz w:val="18"/>
                <w:szCs w:val="18"/>
              </w:rPr>
              <w:t>Province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A5BB9B3"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Overall</w:t>
            </w:r>
            <w:r>
              <w:rPr>
                <w:rFonts w:eastAsia="Helvetica" w:hAnsi="Helvetica" w:cs="Helvetica"/>
                <w:color w:val="000000"/>
                <w:sz w:val="18"/>
                <w:szCs w:val="18"/>
              </w:rPr>
              <w:t>, N = 8 578</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BEFD606"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App - Private</w:t>
            </w:r>
            <w:r>
              <w:rPr>
                <w:rFonts w:eastAsia="Helvetica" w:hAnsi="Helvetica" w:cs="Helvetica"/>
                <w:color w:val="000000"/>
                <w:sz w:val="18"/>
                <w:szCs w:val="18"/>
              </w:rPr>
              <w:t xml:space="preserve">, </w:t>
            </w:r>
            <w:r>
              <w:rPr>
                <w:rFonts w:eastAsia="Helvetica" w:hAnsi="Helvetica" w:cs="Helvetica"/>
                <w:color w:val="000000"/>
                <w:sz w:val="18"/>
                <w:szCs w:val="18"/>
              </w:rPr>
              <w:br/>
              <w:t>n = 684</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AF2A7C0"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App - Public</w:t>
            </w:r>
            <w:r>
              <w:rPr>
                <w:rFonts w:eastAsia="Helvetica" w:hAnsi="Helvetica" w:cs="Helvetica"/>
                <w:color w:val="000000"/>
                <w:sz w:val="18"/>
                <w:szCs w:val="18"/>
              </w:rPr>
              <w:t xml:space="preserve">, </w:t>
            </w:r>
            <w:r>
              <w:rPr>
                <w:rFonts w:eastAsia="Helvetica" w:hAnsi="Helvetica" w:cs="Helvetica"/>
                <w:color w:val="000000"/>
                <w:sz w:val="18"/>
                <w:szCs w:val="18"/>
              </w:rPr>
              <w:br/>
              <w:t>n = 7768</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A1A6F73"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Paper-based - Private</w:t>
            </w:r>
            <w:r>
              <w:rPr>
                <w:rFonts w:eastAsia="Helvetica" w:hAnsi="Helvetica" w:cs="Helvetica"/>
                <w:color w:val="000000"/>
                <w:sz w:val="18"/>
                <w:szCs w:val="18"/>
              </w:rPr>
              <w:t xml:space="preserve">, </w:t>
            </w:r>
            <w:r>
              <w:rPr>
                <w:rFonts w:eastAsia="Helvetica" w:hAnsi="Helvetica" w:cs="Helvetica"/>
                <w:color w:val="000000"/>
                <w:sz w:val="18"/>
                <w:szCs w:val="18"/>
              </w:rPr>
              <w:br/>
              <w:t>n = 4</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33294F9"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Paper-based - Public</w:t>
            </w:r>
            <w:r>
              <w:rPr>
                <w:rFonts w:eastAsia="Helvetica" w:hAnsi="Helvetica" w:cs="Helvetica"/>
                <w:color w:val="000000"/>
                <w:sz w:val="18"/>
                <w:szCs w:val="18"/>
              </w:rPr>
              <w:t xml:space="preserve">, </w:t>
            </w:r>
            <w:r>
              <w:rPr>
                <w:rFonts w:eastAsia="Helvetica" w:hAnsi="Helvetica" w:cs="Helvetica"/>
                <w:color w:val="000000"/>
                <w:sz w:val="18"/>
                <w:szCs w:val="18"/>
              </w:rPr>
              <w:br/>
              <w:t>n = 122</w:t>
            </w:r>
          </w:p>
        </w:tc>
      </w:tr>
      <w:tr w:rsidR="00687982" w14:paraId="6A1B5F11"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F161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GP</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989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2 257 (100%)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1A45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234 (10%)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A674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2 021 (90%)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83E1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(&lt;0.1%)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306D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75778B9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B090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WC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578E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2 174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C145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96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4AF4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1 982 (91%)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4618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E36C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96 (4.4%)</w:t>
            </w:r>
          </w:p>
        </w:tc>
      </w:tr>
      <w:tr w:rsidR="00687982" w14:paraId="2F45561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30BE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KZN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C740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1 307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D46C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139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2214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1 165 (89%)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395D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7DBB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 (0.2%)</w:t>
            </w:r>
          </w:p>
        </w:tc>
      </w:tr>
      <w:tr w:rsidR="00687982" w14:paraId="31C72AF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5BE2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EC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C9E5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1 026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202C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53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09FF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966 (94%)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4F98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6932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 (0.6%)</w:t>
            </w:r>
          </w:p>
        </w:tc>
      </w:tr>
      <w:tr w:rsidR="00687982" w14:paraId="7C88D7D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7EE4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FS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C8AC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442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5F47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41 (9.3%)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FC40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401 (91%)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0421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46EB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2E17B89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E5AF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LP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5286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416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C9DE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18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1E17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397 (95%)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3371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592A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(0.2%)</w:t>
            </w:r>
          </w:p>
        </w:tc>
      </w:tr>
      <w:tr w:rsidR="00687982" w14:paraId="4F7CA94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1E50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NC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C2BC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415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7B91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22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4C51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393 (95%)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977A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0A81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0D5728E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71AD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NW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D118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321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6521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60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730D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244 (76%)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9881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6A7F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16 (5.0%)</w:t>
            </w:r>
          </w:p>
        </w:tc>
      </w:tr>
      <w:tr w:rsidR="00687982" w14:paraId="4837F6D3"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3C985F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MP</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524BF8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220 (100%)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DD4686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21 (9.5%)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8B4E58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199 (90%)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D6E7F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58D490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bl>
    <w:p w14:paraId="13EDB8AB" w14:textId="77777777" w:rsidR="00462054" w:rsidRDefault="00462054" w:rsidP="00462054"/>
    <w:p w14:paraId="219CFD58" w14:textId="538AEE88" w:rsidR="00687982" w:rsidRDefault="00000000" w:rsidP="00462054">
      <w:r>
        <w:t xml:space="preserve">The majority of the notified cases were Males </w:t>
      </w:r>
      <w:proofErr w:type="gramStart"/>
      <w:r>
        <w:t>n(</w:t>
      </w:r>
      <w:proofErr w:type="gramEnd"/>
      <w:r>
        <w:t>%) 6 917 (59%). Individuals in the 35-39 year age group represented the majority (1 211 (10%)) of notified cases (Table 3). At the time of notificaiton, approximately 2 602 (22%) of the notified cases were hospitalized, while 75 (0.6%) were transferred to another healthcare facility. There were 74 deaths notified during the reporting period with case fatality rate of 0.6%.</w:t>
      </w:r>
    </w:p>
    <w:p w14:paraId="1EAFEDDD" w14:textId="77777777" w:rsidR="00687982" w:rsidRDefault="00000000">
      <w:r>
        <w:br w:type="page"/>
      </w:r>
    </w:p>
    <w:p w14:paraId="5E450968" w14:textId="77777777" w:rsidR="00687982" w:rsidRDefault="00000000">
      <w:pPr>
        <w:pStyle w:val="Heading2"/>
      </w:pPr>
      <w:bookmarkStart w:id="10" w:name="hospital-form-completeness"/>
      <w:bookmarkEnd w:id="7"/>
      <w:r>
        <w:lastRenderedPageBreak/>
        <w:t>Hospital Form Completeness</w:t>
      </w:r>
    </w:p>
    <w:p w14:paraId="1986B79F" w14:textId="77777777" w:rsidR="00687982" w:rsidRDefault="00000000">
      <w:pPr>
        <w:pStyle w:val="TableCaption"/>
      </w:pPr>
      <w:bookmarkStart w:id="11" w:name="tab:unnamed-chunk-12"/>
      <w:bookmarkEnd w:id="11"/>
      <w:r>
        <w:t>Table 4: Completion of hospitalisation form for notificatiosn reported as inpatients with category 1 conditions. Comlpete refers to &gt;80% of variables completed.</w:t>
      </w:r>
    </w:p>
    <w:tbl>
      <w:tblPr>
        <w:tblW w:w="5000" w:type="pct"/>
        <w:jc w:val="center"/>
        <w:tblLook w:val="0420" w:firstRow="1" w:lastRow="0" w:firstColumn="0" w:lastColumn="0" w:noHBand="0" w:noVBand="1"/>
      </w:tblPr>
      <w:tblGrid>
        <w:gridCol w:w="3762"/>
        <w:gridCol w:w="2056"/>
        <w:gridCol w:w="2148"/>
        <w:gridCol w:w="3348"/>
        <w:gridCol w:w="2366"/>
      </w:tblGrid>
      <w:tr w:rsidR="00687982" w14:paraId="6294E219"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03F0442"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eastAsia="Helvetica" w:hAnsi="Helvetica" w:cs="Helvetica"/>
                <w:b/>
                <w:color w:val="000000"/>
                <w:sz w:val="18"/>
                <w:szCs w:val="18"/>
              </w:rPr>
              <w:t>Hospital Form Completed</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934C56"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Complete</w:t>
            </w:r>
            <w:r>
              <w:rPr>
                <w:rFonts w:eastAsia="Helvetica" w:hAnsi="Helvetica" w:cs="Helvetica"/>
                <w:color w:val="000000"/>
                <w:sz w:val="18"/>
                <w:szCs w:val="18"/>
              </w:rPr>
              <w:t>, n = 27 (7.3%)</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9E482D0"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Incomplete</w:t>
            </w:r>
            <w:r>
              <w:rPr>
                <w:rFonts w:eastAsia="Helvetica" w:hAnsi="Helvetica" w:cs="Helvetica"/>
                <w:color w:val="000000"/>
                <w:sz w:val="18"/>
                <w:szCs w:val="18"/>
              </w:rPr>
              <w:t>, n = 86 (23%)</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E7B6443"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Only Symptoms completed</w:t>
            </w:r>
            <w:r>
              <w:rPr>
                <w:rFonts w:eastAsia="Helvetica" w:hAnsi="Helvetica" w:cs="Helvetica"/>
                <w:color w:val="000000"/>
                <w:sz w:val="18"/>
                <w:szCs w:val="18"/>
              </w:rPr>
              <w:t>, n = 169 (46%)</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C26476"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Not Attempted</w:t>
            </w:r>
            <w:r>
              <w:rPr>
                <w:rFonts w:eastAsia="Helvetica" w:hAnsi="Helvetica" w:cs="Helvetica"/>
                <w:color w:val="000000"/>
                <w:sz w:val="18"/>
                <w:szCs w:val="18"/>
              </w:rPr>
              <w:t>, n = 88 (24%)</w:t>
            </w:r>
          </w:p>
        </w:tc>
      </w:tr>
      <w:tr w:rsidR="00687982" w14:paraId="438EB10B"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2D41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Acute Flaccid Paralysis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0401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 (11%)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881B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 (4.7%)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5E40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12 (7.1%)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A05D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(1.1%)</w:t>
            </w:r>
          </w:p>
        </w:tc>
      </w:tr>
      <w:tr w:rsidR="00687982" w14:paraId="68E9EB0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AC5B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Congenital rubella syndrome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FEBB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2134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AA88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FB75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67F0536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99A7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Diphtheria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7D94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6E04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767D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8D2E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4F6E035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D05D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Enteric fever (typhoid or paratyphoid fever)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4E38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9087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6519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5B71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(1.1%)</w:t>
            </w:r>
          </w:p>
        </w:tc>
      </w:tr>
      <w:tr w:rsidR="00687982" w14:paraId="17415DF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3D32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Food borne illness outbreak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7C31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3962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19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53A3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40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7A2E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33 (38%)</w:t>
            </w:r>
          </w:p>
        </w:tc>
      </w:tr>
      <w:tr w:rsidR="00687982" w14:paraId="73A1FD5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EDC1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Listeriosis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D645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0757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63D3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7B75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(2.3%)</w:t>
            </w:r>
          </w:p>
        </w:tc>
      </w:tr>
      <w:tr w:rsidR="00687982" w14:paraId="4218C05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1DAC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Malaria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3308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A81C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18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10F4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45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4C14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21 (24%)</w:t>
            </w:r>
          </w:p>
        </w:tc>
      </w:tr>
      <w:tr w:rsidR="00687982" w14:paraId="69AD1F8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80F9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Measles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A037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3EB9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2916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9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1963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7 (8.0%)</w:t>
            </w:r>
          </w:p>
        </w:tc>
      </w:tr>
      <w:tr w:rsidR="00687982" w14:paraId="147DE5A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FBD4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Meningococcal Disease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C7BC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60D6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 (5.8%)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C655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13 (7.7%)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93E7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 (4.5%)</w:t>
            </w:r>
          </w:p>
        </w:tc>
      </w:tr>
      <w:tr w:rsidR="00687982" w14:paraId="7FB3334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FCE4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Pertussis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A0DE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8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43E0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29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C1D4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36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B45D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18 (20%)</w:t>
            </w:r>
          </w:p>
        </w:tc>
      </w:tr>
      <w:tr w:rsidR="00687982" w14:paraId="001BB38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3136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Rabies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BD30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C468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A9AB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E00A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597FA22E"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1C3FA9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Rubella</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6707E6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(3.7%)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4AEACC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(2.3%)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C2658C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(0.6%)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629B7D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(1.1%)</w:t>
            </w:r>
          </w:p>
        </w:tc>
      </w:tr>
    </w:tbl>
    <w:p w14:paraId="107D9315" w14:textId="77777777" w:rsidR="00687982" w:rsidRDefault="00000000">
      <w:r>
        <w:br w:type="page"/>
      </w:r>
    </w:p>
    <w:p w14:paraId="3C805456" w14:textId="77777777" w:rsidR="00687982" w:rsidRDefault="00000000">
      <w:pPr>
        <w:pStyle w:val="Heading2"/>
      </w:pPr>
      <w:bookmarkStart w:id="12" w:name="X1571ad7fa13dd0b17d8fc0049b5f3e092110cb2"/>
      <w:bookmarkEnd w:id="10"/>
      <w:r>
        <w:lastRenderedPageBreak/>
        <w:t>Distribution of Category 1 NMCs by province and case definition</w:t>
      </w:r>
    </w:p>
    <w:p w14:paraId="22303A91" w14:textId="0F6ADD95" w:rsidR="00687982" w:rsidRDefault="00000000">
      <w:pPr>
        <w:pStyle w:val="FirstParagraph"/>
      </w:pPr>
      <w:r>
        <w:t xml:space="preserve">The majority of category 1 notifications were for Measles n(%) 539 (28%). The majority of Measles cases were notified in WC </w:t>
      </w:r>
      <w:proofErr w:type="gramStart"/>
      <w:r>
        <w:t>n(</w:t>
      </w:r>
      <w:proofErr w:type="gramEnd"/>
      <w:r>
        <w:t>%) 3</w:t>
      </w:r>
      <w:r w:rsidR="00314787">
        <w:t>69</w:t>
      </w:r>
      <w:r>
        <w:t>(72.4%).</w:t>
      </w:r>
    </w:p>
    <w:p w14:paraId="2F437F8E" w14:textId="47FF4A6B" w:rsidR="00687982" w:rsidRDefault="00000000">
      <w:pPr>
        <w:pStyle w:val="TableCaption"/>
      </w:pPr>
      <w:bookmarkStart w:id="13" w:name="tab:unnamed-chunk-14"/>
      <w:bookmarkEnd w:id="13"/>
      <w:r>
        <w:t xml:space="preserve">Table 5: The number of notifications by </w:t>
      </w:r>
      <w:proofErr w:type="gramStart"/>
      <w:r w:rsidR="00F26F7A">
        <w:t xml:space="preserve">province </w:t>
      </w:r>
      <w:r>
        <w:t xml:space="preserve"> and</w:t>
      </w:r>
      <w:proofErr w:type="gramEnd"/>
      <w:r>
        <w:t xml:space="preserve"> the</w:t>
      </w:r>
      <w:r w:rsidR="00F26F7A">
        <w:t xml:space="preserve"> number of notifications by case definition and vital status of category 1 conditions</w:t>
      </w:r>
      <w:r>
        <w:t>.</w:t>
      </w:r>
    </w:p>
    <w:tbl>
      <w:tblPr>
        <w:tblW w:w="4950" w:type="pct"/>
        <w:jc w:val="center"/>
        <w:tblLook w:val="0420" w:firstRow="1" w:lastRow="0" w:firstColumn="0" w:lastColumn="0" w:noHBand="0" w:noVBand="1"/>
      </w:tblPr>
      <w:tblGrid>
        <w:gridCol w:w="4083"/>
        <w:gridCol w:w="501"/>
        <w:gridCol w:w="447"/>
        <w:gridCol w:w="519"/>
        <w:gridCol w:w="602"/>
        <w:gridCol w:w="447"/>
        <w:gridCol w:w="530"/>
        <w:gridCol w:w="541"/>
        <w:gridCol w:w="562"/>
        <w:gridCol w:w="569"/>
        <w:gridCol w:w="1186"/>
        <w:gridCol w:w="1185"/>
        <w:gridCol w:w="1186"/>
        <w:gridCol w:w="1185"/>
      </w:tblGrid>
      <w:tr w:rsidR="00687982" w14:paraId="6F4625DB"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B812AE0"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eastAsia="Helvetica" w:hAnsi="Helvetica" w:cs="Helvetica"/>
                <w:color w:val="000000"/>
                <w:sz w:val="18"/>
                <w:szCs w:val="18"/>
              </w:rPr>
              <w:t xml:space="preserve"> </w:t>
            </w:r>
          </w:p>
        </w:tc>
        <w:tc>
          <w:tcPr>
            <w:tcW w:w="0" w:type="auto"/>
            <w:gridSpan w:val="9"/>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556A75F"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Provinces</w:t>
            </w:r>
          </w:p>
        </w:tc>
        <w:tc>
          <w:tcPr>
            <w:tcW w:w="0" w:type="auto"/>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85FB2BD" w14:textId="22FAE1E8"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Case</w:t>
            </w:r>
            <w:r w:rsidR="00D17563">
              <w:rPr>
                <w:rFonts w:eastAsia="Helvetica" w:hAnsi="Helvetica" w:cs="Helvetica"/>
                <w:b/>
                <w:color w:val="000000"/>
                <w:sz w:val="18"/>
                <w:szCs w:val="18"/>
              </w:rPr>
              <w:t>s</w:t>
            </w:r>
          </w:p>
        </w:tc>
        <w:tc>
          <w:tcPr>
            <w:tcW w:w="0" w:type="auto"/>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A58E495"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Deaths</w:t>
            </w:r>
          </w:p>
        </w:tc>
      </w:tr>
      <w:tr w:rsidR="00687982" w14:paraId="6EC5F9A2"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1273AD1"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eastAsia="Helvetica" w:hAnsi="Helvetica" w:cs="Helvetica"/>
                <w:color w:val="000000"/>
                <w:sz w:val="18"/>
                <w:szCs w:val="18"/>
              </w:rPr>
              <w:t>Condition</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08524D"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EC</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F49F684"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FS</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382F5AD"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GP</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217D1E2"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KZN</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6DB6B18"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LP</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AA86711"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MP</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986BE81"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NC</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1475812"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NW</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90A7218"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WC</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C7EE77" w14:textId="77C9774E" w:rsidR="00687982" w:rsidRPr="00F26F7A" w:rsidRDefault="00000000">
            <w:pPr>
              <w:pBdr>
                <w:top w:val="none" w:sz="0" w:space="0" w:color="000000"/>
                <w:left w:val="none" w:sz="0" w:space="0" w:color="000000"/>
                <w:bottom w:val="none" w:sz="0" w:space="0" w:color="000000"/>
                <w:right w:val="none" w:sz="0" w:space="0" w:color="000000"/>
              </w:pBdr>
              <w:spacing w:before="40" w:after="40"/>
              <w:ind w:left="100" w:right="100"/>
              <w:jc w:val="center"/>
              <w:rPr>
                <w:vertAlign w:val="superscript"/>
              </w:rPr>
            </w:pPr>
            <w:r>
              <w:rPr>
                <w:rFonts w:eastAsia="Helvetica" w:hAnsi="Helvetica" w:cs="Helvetica"/>
                <w:b/>
                <w:color w:val="000000"/>
                <w:sz w:val="18"/>
                <w:szCs w:val="18"/>
              </w:rPr>
              <w:t>Suspected</w:t>
            </w:r>
            <w:r w:rsidR="00F26F7A">
              <w:rPr>
                <w:rFonts w:eastAsia="Helvetica" w:hAnsi="Helvetica" w:cs="Helvetica"/>
                <w:b/>
                <w:color w:val="000000"/>
                <w:sz w:val="18"/>
                <w:szCs w:val="18"/>
                <w:vertAlign w:val="superscript"/>
              </w:rPr>
              <w:t>$</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1142CB7"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Confirmed</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E042806" w14:textId="782C0DE0" w:rsidR="00687982" w:rsidRPr="00F26F7A" w:rsidRDefault="00000000">
            <w:pPr>
              <w:pBdr>
                <w:top w:val="none" w:sz="0" w:space="0" w:color="000000"/>
                <w:left w:val="none" w:sz="0" w:space="0" w:color="000000"/>
                <w:bottom w:val="none" w:sz="0" w:space="0" w:color="000000"/>
                <w:right w:val="none" w:sz="0" w:space="0" w:color="000000"/>
              </w:pBdr>
              <w:spacing w:before="40" w:after="40"/>
              <w:ind w:left="100" w:right="100"/>
              <w:jc w:val="center"/>
              <w:rPr>
                <w:vertAlign w:val="superscript"/>
              </w:rPr>
            </w:pPr>
            <w:r>
              <w:rPr>
                <w:rFonts w:eastAsia="Helvetica" w:hAnsi="Helvetica" w:cs="Helvetica"/>
                <w:b/>
                <w:color w:val="000000"/>
                <w:sz w:val="18"/>
                <w:szCs w:val="18"/>
              </w:rPr>
              <w:t>Suspected</w:t>
            </w:r>
            <w:r w:rsidR="00F26F7A">
              <w:rPr>
                <w:rFonts w:eastAsia="Helvetica" w:hAnsi="Helvetica" w:cs="Helvetica"/>
                <w:b/>
                <w:color w:val="000000"/>
                <w:sz w:val="18"/>
                <w:szCs w:val="18"/>
                <w:vertAlign w:val="superscript"/>
              </w:rPr>
              <w:t>$</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08022DB"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Confirmed</w:t>
            </w:r>
            <w:r>
              <w:rPr>
                <w:rFonts w:eastAsia="Helvetica" w:hAnsi="Helvetica" w:cs="Helvetica"/>
                <w:color w:val="000000"/>
                <w:sz w:val="18"/>
                <w:szCs w:val="18"/>
                <w:vertAlign w:val="superscript"/>
              </w:rPr>
              <w:t>1</w:t>
            </w:r>
          </w:p>
        </w:tc>
      </w:tr>
      <w:tr w:rsidR="00687982" w14:paraId="312C9B68"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6A00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Acute Flaccid Paralysis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6273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AB6A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D15E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F245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8</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16E5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24EC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40B7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8E4C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D1BE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3571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FCFD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61CF7"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1F4E4"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87982" w14:paraId="3FCFA0D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2B0B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Acute rheumatic fever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1037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FAB0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1E6F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76D0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E555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D0CD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1DE2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486C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2C5B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73C3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E022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5EC96"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1FC7A"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87982" w14:paraId="2B21BEC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9839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 xml:space="preserve">Cholera </w:t>
            </w:r>
            <w:r>
              <w:rPr>
                <w:rFonts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9EF8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6E65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E3D7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9C79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BD5C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59C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418A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1B85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907D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EAC1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C677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9FECC"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0A549"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87982" w14:paraId="0F287BA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1C42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Congenital rubella syndrome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E9B1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02DB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6FBC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60A5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7678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C4BB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0730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8E5E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9728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BEFE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E32C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DC970"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5B7C9"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87982" w14:paraId="0FD1D50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C833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Diphtheria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2D51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65DE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C37E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8CD5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96BB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5929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649A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57E5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C993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D882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CFF1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39ED3"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0F3B3"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87982" w14:paraId="17CAA0A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5129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Enteric fever (typhoid or paratyphoid fever)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7813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55B7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2FCC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87DF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5497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13BA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AE13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FE45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8794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1B38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0D28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95D62"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0585C"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87982" w14:paraId="6A456B5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221B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Food borne illness outbreak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3B39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E2A8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197F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FB74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7ACE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1395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2930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E6E9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69AC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BEBE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4E3B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FC5AE"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F9008"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87982" w14:paraId="4407805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463D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Listeriosis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70A8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B5AE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9EC9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60C9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DBC0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2EA6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6478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3F4E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6B4A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D651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C68A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73F62"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76A57"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87982" w14:paraId="0D3448D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389C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Malaria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A9BD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A938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B646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6ED7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12E0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05C3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DE23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B981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5A05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4ED1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964A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627F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8006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r>
      <w:tr w:rsidR="00687982" w14:paraId="7EE8485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9FB6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Measles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F505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A58A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89F5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6ADA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14EC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7804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1242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47F0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AFDE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A404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0F60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C4024"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582D0"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87982" w14:paraId="6B4FF77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B34D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Meningococcal Disease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7588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CEC6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5A9F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7642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A98D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74EE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B782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F70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EEF9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93D7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86D2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13AD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B9F6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0576CBB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51BD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Pertussis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A0D4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D291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E940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1924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4ACE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A7D0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B3E3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EF1E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281E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F79F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64E1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EE16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B3CC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r>
      <w:tr w:rsidR="00687982" w14:paraId="749D3B9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24B9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Rabies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B332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641B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3447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6A4A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6AA0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68E5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F5C6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78E4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993C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81C2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CE79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DB3D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9487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r>
      <w:tr w:rsidR="00687982" w14:paraId="092D1BB1"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040B9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Rubella</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93C68F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D934A1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68DE19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C154A0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7C4FFE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B99035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822586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105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8A656F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063ED2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390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48D77F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227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240ECC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285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FC7FC77"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62D0BDF"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87982" w14:paraId="73AF0FA4" w14:textId="77777777">
        <w:trPr>
          <w:jc w:val="center"/>
        </w:trPr>
        <w:tc>
          <w:tcPr>
            <w:tcW w:w="0" w:type="auto"/>
            <w:gridSpan w:val="1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59AFA57" w14:textId="77777777" w:rsidR="00F26F7A" w:rsidRDefault="00000000">
            <w:pPr>
              <w:pBdr>
                <w:top w:val="none" w:sz="0" w:space="0" w:color="000000"/>
                <w:left w:val="none" w:sz="0" w:space="0" w:color="000000"/>
                <w:bottom w:val="none" w:sz="0" w:space="0" w:color="000000"/>
                <w:right w:val="none" w:sz="0" w:space="0" w:color="000000"/>
              </w:pBdr>
              <w:spacing w:before="100" w:after="100"/>
              <w:ind w:left="100" w:right="100"/>
              <w:rPr>
                <w:rFonts w:eastAsia="Helvetica" w:hAnsi="Helvetica" w:cs="Helvetica"/>
                <w:color w:val="000000"/>
                <w:sz w:val="18"/>
                <w:szCs w:val="18"/>
              </w:rPr>
            </w:pPr>
            <w:r>
              <w:rPr>
                <w:rFonts w:eastAsia="Helvetica" w:hAnsi="Helvetica" w:cs="Helvetica"/>
                <w:color w:val="000000"/>
                <w:sz w:val="18"/>
                <w:szCs w:val="18"/>
                <w:vertAlign w:val="superscript"/>
              </w:rPr>
              <w:t>1</w:t>
            </w:r>
            <w:proofErr w:type="gramStart"/>
            <w:r>
              <w:rPr>
                <w:rFonts w:eastAsia="Helvetica" w:hAnsi="Helvetica" w:cs="Helvetica"/>
                <w:color w:val="000000"/>
                <w:sz w:val="18"/>
                <w:szCs w:val="18"/>
              </w:rPr>
              <w:t>n(</w:t>
            </w:r>
            <w:proofErr w:type="gramEnd"/>
            <w:r>
              <w:rPr>
                <w:rFonts w:eastAsia="Helvetica" w:hAnsi="Helvetica" w:cs="Helvetica"/>
                <w:color w:val="000000"/>
                <w:sz w:val="18"/>
                <w:szCs w:val="18"/>
              </w:rPr>
              <w:t xml:space="preserve">%); </w:t>
            </w:r>
          </w:p>
          <w:p w14:paraId="228C1930" w14:textId="403A8031" w:rsidR="00687982" w:rsidRDefault="00F26F7A">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 suspected cases are both suspected and probable</w:t>
            </w:r>
            <w:r w:rsidR="00933B86">
              <w:rPr>
                <w:rFonts w:eastAsia="Helvetica" w:hAnsi="Helvetica" w:cs="Helvetica"/>
                <w:color w:val="000000"/>
                <w:sz w:val="18"/>
                <w:szCs w:val="18"/>
              </w:rPr>
              <w:t>;</w:t>
            </w:r>
            <w:r>
              <w:rPr>
                <w:rFonts w:eastAsia="Helvetica" w:hAnsi="Helvetica" w:cs="Helvetica"/>
                <w:color w:val="000000"/>
                <w:sz w:val="18"/>
                <w:szCs w:val="18"/>
              </w:rPr>
              <w:br/>
              <w:t xml:space="preserve">* Toxin producing results not available on NMC; </w:t>
            </w:r>
            <w:r>
              <w:rPr>
                <w:rFonts w:eastAsia="Helvetica" w:hAnsi="Helvetica" w:cs="Helvetica"/>
                <w:color w:val="000000"/>
                <w:sz w:val="18"/>
                <w:szCs w:val="18"/>
              </w:rPr>
              <w:br/>
            </w:r>
            <w:r>
              <w:rPr>
                <w:rFonts w:eastAsia="Helvetica" w:hAnsi="Helvetica" w:cs="Helvetica"/>
                <w:color w:val="000000"/>
                <w:sz w:val="18"/>
                <w:szCs w:val="18"/>
              </w:rPr>
              <w:t>§</w:t>
            </w:r>
            <w:r>
              <w:rPr>
                <w:rFonts w:eastAsia="Helvetica" w:hAnsi="Helvetica" w:cs="Helvetica"/>
                <w:color w:val="000000"/>
                <w:sz w:val="18"/>
                <w:szCs w:val="18"/>
              </w:rPr>
              <w:t xml:space="preserve"> Serotype information not avaialble on NMC; </w:t>
            </w:r>
            <w:r>
              <w:rPr>
                <w:rFonts w:eastAsia="Helvetica" w:hAnsi="Helvetica" w:cs="Helvetica"/>
                <w:color w:val="000000"/>
                <w:sz w:val="18"/>
                <w:szCs w:val="18"/>
              </w:rPr>
              <w:br/>
            </w:r>
          </w:p>
        </w:tc>
      </w:tr>
    </w:tbl>
    <w:p w14:paraId="4C127BE4" w14:textId="77777777" w:rsidR="00687982" w:rsidRDefault="00000000">
      <w:pPr>
        <w:pStyle w:val="Heading2"/>
      </w:pPr>
      <w:bookmarkStart w:id="14" w:name="Xbdf2e092c5c7de479b17dcc91c5f3d817728c4f"/>
      <w:bookmarkEnd w:id="12"/>
      <w:r>
        <w:lastRenderedPageBreak/>
        <w:t>Distribution of Category 2 NMCs by province and case definition</w:t>
      </w:r>
    </w:p>
    <w:p w14:paraId="7C27C7F8" w14:textId="77777777" w:rsidR="00687982" w:rsidRDefault="00000000">
      <w:pPr>
        <w:pStyle w:val="TableCaption"/>
      </w:pPr>
      <w:bookmarkStart w:id="15" w:name="tab:unnamed-chunk-15"/>
      <w:bookmarkEnd w:id="15"/>
      <w:r>
        <w:t>Table 6: Distribution of Category 2 NMC by Province</w:t>
      </w:r>
    </w:p>
    <w:p w14:paraId="203614C5" w14:textId="14F30072" w:rsidR="00687982" w:rsidRDefault="00000000">
      <w:pPr>
        <w:pStyle w:val="BodyText"/>
      </w:pPr>
      <w:r>
        <w:t xml:space="preserve">The majority of category 2 notifications were for </w:t>
      </w:r>
      <w:proofErr w:type="spellStart"/>
      <w:proofErr w:type="gramStart"/>
      <w:r>
        <w:t>Tuberculosis:pulmonary</w:t>
      </w:r>
      <w:proofErr w:type="spellEnd"/>
      <w:proofErr w:type="gramEnd"/>
      <w:r>
        <w:t xml:space="preserve"> n(%) 6 193 (58%). The majority of </w:t>
      </w:r>
      <w:proofErr w:type="gramStart"/>
      <w:r>
        <w:t>Tuberculosis:pulmonary</w:t>
      </w:r>
      <w:proofErr w:type="gramEnd"/>
      <w:r>
        <w:t xml:space="preserve"> cases were notified in GP n(%) 1</w:t>
      </w:r>
      <w:r w:rsidR="00314787">
        <w:t>395</w:t>
      </w:r>
      <w:r>
        <w:t>(25.6%).</w:t>
      </w:r>
    </w:p>
    <w:p w14:paraId="55C78E59" w14:textId="33AF63AE" w:rsidR="00687982" w:rsidRDefault="00000000">
      <w:pPr>
        <w:pStyle w:val="TableCaption"/>
      </w:pPr>
      <w:bookmarkStart w:id="16" w:name="tab:unnamed-chunk-16"/>
      <w:bookmarkEnd w:id="16"/>
      <w:r>
        <w:t xml:space="preserve">Table 7: </w:t>
      </w:r>
      <w:r w:rsidR="00F26F7A">
        <w:t xml:space="preserve">The number of notifications by </w:t>
      </w:r>
      <w:proofErr w:type="gramStart"/>
      <w:r w:rsidR="00F26F7A">
        <w:t>province  and</w:t>
      </w:r>
      <w:proofErr w:type="gramEnd"/>
      <w:r w:rsidR="00F26F7A">
        <w:t xml:space="preserve"> the number of notifications by case definition and vital status of category 2 conditions</w:t>
      </w:r>
      <w:r>
        <w:t>.</w:t>
      </w:r>
    </w:p>
    <w:tbl>
      <w:tblPr>
        <w:tblW w:w="4692" w:type="pct"/>
        <w:jc w:val="center"/>
        <w:tblLook w:val="0420" w:firstRow="1" w:lastRow="0" w:firstColumn="0" w:lastColumn="0" w:noHBand="0" w:noVBand="1"/>
      </w:tblPr>
      <w:tblGrid>
        <w:gridCol w:w="2574"/>
        <w:gridCol w:w="501"/>
        <w:gridCol w:w="500"/>
        <w:gridCol w:w="972"/>
        <w:gridCol w:w="602"/>
        <w:gridCol w:w="500"/>
        <w:gridCol w:w="530"/>
        <w:gridCol w:w="541"/>
        <w:gridCol w:w="562"/>
        <w:gridCol w:w="781"/>
        <w:gridCol w:w="1185"/>
        <w:gridCol w:w="1185"/>
        <w:gridCol w:w="1185"/>
        <w:gridCol w:w="395"/>
        <w:gridCol w:w="412"/>
        <w:gridCol w:w="412"/>
      </w:tblGrid>
      <w:tr w:rsidR="0084393E" w14:paraId="63A20B72" w14:textId="77777777" w:rsidTr="0084393E">
        <w:trPr>
          <w:tblHeader/>
          <w:jc w:val="center"/>
        </w:trPr>
        <w:tc>
          <w:tcPr>
            <w:tcW w:w="1003"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3ACE2CB"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eastAsia="Helvetica" w:hAnsi="Helvetica" w:cs="Helvetica"/>
                <w:color w:val="000000"/>
                <w:sz w:val="18"/>
                <w:szCs w:val="18"/>
              </w:rPr>
              <w:t xml:space="preserve"> </w:t>
            </w:r>
          </w:p>
        </w:tc>
        <w:tc>
          <w:tcPr>
            <w:tcW w:w="2145" w:type="pct"/>
            <w:gridSpan w:val="9"/>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A856640" w14:textId="77777777" w:rsidR="00687982" w:rsidRDefault="00000000" w:rsidP="00F26F7A">
            <w:pPr>
              <w:pBdr>
                <w:top w:val="none" w:sz="0" w:space="0" w:color="000000"/>
                <w:left w:val="none" w:sz="0" w:space="0" w:color="000000"/>
                <w:bottom w:val="none" w:sz="0" w:space="0" w:color="000000"/>
                <w:right w:val="none" w:sz="0" w:space="0" w:color="000000"/>
              </w:pBdr>
              <w:spacing w:before="40" w:after="40"/>
              <w:ind w:left="-473" w:right="100"/>
              <w:jc w:val="center"/>
            </w:pPr>
            <w:r>
              <w:rPr>
                <w:rFonts w:eastAsia="Helvetica" w:hAnsi="Helvetica" w:cs="Helvetica"/>
                <w:b/>
                <w:color w:val="000000"/>
                <w:sz w:val="18"/>
                <w:szCs w:val="18"/>
              </w:rPr>
              <w:t>Provinces</w:t>
            </w:r>
          </w:p>
        </w:tc>
        <w:tc>
          <w:tcPr>
            <w:tcW w:w="0" w:type="auto"/>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AB0A3A7"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Case</w:t>
            </w:r>
          </w:p>
        </w:tc>
        <w:tc>
          <w:tcPr>
            <w:tcW w:w="0" w:type="auto"/>
            <w:gridSpan w:val="4"/>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58327FE"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Deaths</w:t>
            </w:r>
          </w:p>
        </w:tc>
      </w:tr>
      <w:tr w:rsidR="0084393E" w14:paraId="75A932B7" w14:textId="77777777" w:rsidTr="0084393E">
        <w:trPr>
          <w:tblHeader/>
          <w:jc w:val="center"/>
        </w:trPr>
        <w:tc>
          <w:tcPr>
            <w:tcW w:w="1003"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A9DFBE4"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eastAsia="Helvetica" w:hAnsi="Helvetica" w:cs="Helvetica"/>
                <w:color w:val="000000"/>
                <w:sz w:val="18"/>
                <w:szCs w:val="18"/>
              </w:rPr>
              <w:t>Condition</w:t>
            </w:r>
          </w:p>
        </w:tc>
        <w:tc>
          <w:tcPr>
            <w:tcW w:w="19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9D52DBF"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EC</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248E304"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FS</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139AFD9"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GP</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1BF5CB"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KZN</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B1550D"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LP</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2188134"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MP</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1218B8C"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NC</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EF343D0"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NW</w:t>
            </w:r>
            <w:r>
              <w:rPr>
                <w:rFonts w:eastAsia="Helvetica" w:hAnsi="Helvetica" w:cs="Helvetica"/>
                <w:color w:val="000000"/>
                <w:sz w:val="18"/>
                <w:szCs w:val="18"/>
                <w:vertAlign w:val="superscript"/>
              </w:rPr>
              <w:t>1</w:t>
            </w:r>
          </w:p>
        </w:tc>
        <w:tc>
          <w:tcPr>
            <w:tcW w:w="307"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57D671F"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WC</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E9BABF"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Suspected</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FAE0ADA"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Confirmed</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2E32264"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Suspected</w:t>
            </w:r>
            <w:r>
              <w:rPr>
                <w:rFonts w:eastAsia="Helvetica" w:hAnsi="Helvetica" w:cs="Helvetica"/>
                <w:color w:val="000000"/>
                <w:sz w:val="18"/>
                <w:szCs w:val="18"/>
                <w:vertAlign w:val="superscript"/>
              </w:rPr>
              <w:t>1</w:t>
            </w:r>
          </w:p>
        </w:tc>
        <w:tc>
          <w:tcPr>
            <w:tcW w:w="0" w:type="auto"/>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EAB1DF6"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Confirmed</w:t>
            </w:r>
            <w:r>
              <w:rPr>
                <w:rFonts w:eastAsia="Helvetica" w:hAnsi="Helvetica" w:cs="Helvetica"/>
                <w:color w:val="000000"/>
                <w:sz w:val="18"/>
                <w:szCs w:val="18"/>
                <w:vertAlign w:val="superscript"/>
              </w:rPr>
              <w:t>1</w:t>
            </w:r>
          </w:p>
        </w:tc>
      </w:tr>
      <w:tr w:rsidR="0084393E" w14:paraId="57207D19" w14:textId="77777777" w:rsidTr="0084393E">
        <w:trPr>
          <w:gridAfter w:val="1"/>
          <w:jc w:val="center"/>
        </w:trPr>
        <w:tc>
          <w:tcPr>
            <w:tcW w:w="100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B9A34" w14:textId="77777777" w:rsidR="00687982" w:rsidRDefault="00000000" w:rsidP="0084393E">
            <w:pPr>
              <w:pBdr>
                <w:top w:val="none" w:sz="0" w:space="0" w:color="000000"/>
                <w:left w:val="none" w:sz="0" w:space="0" w:color="000000"/>
                <w:bottom w:val="none" w:sz="0" w:space="0" w:color="000000"/>
                <w:right w:val="none" w:sz="0" w:space="0" w:color="000000"/>
              </w:pBdr>
              <w:spacing w:before="100" w:after="100"/>
              <w:ind w:left="142" w:right="975"/>
            </w:pPr>
            <w:r>
              <w:rPr>
                <w:rFonts w:eastAsia="Helvetica" w:hAnsi="Helvetica" w:cs="Helvetica"/>
                <w:color w:val="000000"/>
                <w:sz w:val="18"/>
                <w:szCs w:val="18"/>
              </w:rPr>
              <w:t>Agricultural or stock remedy poisoning</w:t>
            </w:r>
          </w:p>
        </w:tc>
        <w:tc>
          <w:tcPr>
            <w:tcW w:w="195"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7A35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13FF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14</w:t>
            </w:r>
          </w:p>
        </w:tc>
        <w:tc>
          <w:tcPr>
            <w:tcW w:w="382"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F523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60</w:t>
            </w:r>
          </w:p>
        </w:tc>
        <w:tc>
          <w:tcPr>
            <w:tcW w:w="234"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1515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B004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7679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CADC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329B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307"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4667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9</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AB46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95</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875F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3543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8</w:t>
            </w:r>
          </w:p>
        </w:tc>
        <w:tc>
          <w:tcPr>
            <w:tcW w:w="0" w:type="auto"/>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170C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84393E" w14:paraId="20BB8D03" w14:textId="77777777" w:rsidTr="0084393E">
        <w:trPr>
          <w:jc w:val="center"/>
        </w:trPr>
        <w:tc>
          <w:tcPr>
            <w:tcW w:w="10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C1D1F" w14:textId="77777777" w:rsidR="00687982" w:rsidRDefault="00000000" w:rsidP="0084393E">
            <w:pPr>
              <w:pBdr>
                <w:top w:val="none" w:sz="0" w:space="0" w:color="000000"/>
                <w:left w:val="none" w:sz="0" w:space="0" w:color="000000"/>
                <w:bottom w:val="none" w:sz="0" w:space="0" w:color="000000"/>
                <w:right w:val="none" w:sz="0" w:space="0" w:color="000000"/>
              </w:pBdr>
              <w:spacing w:before="100" w:after="100"/>
              <w:ind w:left="142" w:right="100"/>
            </w:pPr>
            <w:r>
              <w:rPr>
                <w:rFonts w:eastAsia="Helvetica" w:hAnsi="Helvetica" w:cs="Helvetica"/>
                <w:color w:val="000000"/>
                <w:sz w:val="18"/>
                <w:szCs w:val="18"/>
              </w:rPr>
              <w:t>Bilharzia (schistosomiasis)</w:t>
            </w:r>
          </w:p>
        </w:tc>
        <w:tc>
          <w:tcPr>
            <w:tcW w:w="1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5FD7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9717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35ED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9375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BEBA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D302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E109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EDCA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2D55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E738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383A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932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E3D3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F2C8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r>
      <w:tr w:rsidR="0084393E" w14:paraId="6B11518B" w14:textId="77777777" w:rsidTr="0084393E">
        <w:trPr>
          <w:jc w:val="center"/>
        </w:trPr>
        <w:tc>
          <w:tcPr>
            <w:tcW w:w="10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D6363" w14:textId="77777777" w:rsidR="00687982" w:rsidRDefault="00000000" w:rsidP="0084393E">
            <w:pPr>
              <w:pBdr>
                <w:top w:val="none" w:sz="0" w:space="0" w:color="000000"/>
                <w:left w:val="none" w:sz="0" w:space="0" w:color="000000"/>
                <w:bottom w:val="none" w:sz="0" w:space="0" w:color="000000"/>
                <w:right w:val="none" w:sz="0" w:space="0" w:color="000000"/>
              </w:pBdr>
              <w:spacing w:before="100" w:after="100"/>
              <w:ind w:left="142" w:right="100"/>
            </w:pPr>
            <w:r>
              <w:rPr>
                <w:rFonts w:eastAsia="Helvetica" w:hAnsi="Helvetica" w:cs="Helvetica"/>
                <w:color w:val="000000"/>
                <w:sz w:val="18"/>
                <w:szCs w:val="18"/>
              </w:rPr>
              <w:t>Brucellosis</w:t>
            </w:r>
          </w:p>
        </w:tc>
        <w:tc>
          <w:tcPr>
            <w:tcW w:w="1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AA8C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8BB2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05BC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D92E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93E7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E754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6366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0FE4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D2D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E9B5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B344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13413"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7A427"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4393E" w14:paraId="09D0BA80" w14:textId="77777777" w:rsidTr="0084393E">
        <w:trPr>
          <w:jc w:val="center"/>
        </w:trPr>
        <w:tc>
          <w:tcPr>
            <w:tcW w:w="10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2387C" w14:textId="77777777" w:rsidR="00687982" w:rsidRDefault="00000000" w:rsidP="0084393E">
            <w:pPr>
              <w:pBdr>
                <w:top w:val="none" w:sz="0" w:space="0" w:color="000000"/>
                <w:left w:val="none" w:sz="0" w:space="0" w:color="000000"/>
                <w:bottom w:val="none" w:sz="0" w:space="0" w:color="000000"/>
                <w:right w:val="none" w:sz="0" w:space="0" w:color="000000"/>
              </w:pBdr>
              <w:spacing w:before="100" w:after="100"/>
              <w:ind w:left="142" w:right="100"/>
            </w:pPr>
            <w:r>
              <w:rPr>
                <w:rFonts w:eastAsia="Helvetica" w:hAnsi="Helvetica" w:cs="Helvetica"/>
                <w:color w:val="000000"/>
                <w:sz w:val="18"/>
                <w:szCs w:val="18"/>
              </w:rPr>
              <w:t>Congenital syphilis</w:t>
            </w:r>
          </w:p>
        </w:tc>
        <w:tc>
          <w:tcPr>
            <w:tcW w:w="1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DB19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368D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AD32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37C7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A163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38FB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DB88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DB4F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3527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FCC6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0E96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6DC9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8CA2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r>
      <w:tr w:rsidR="0084393E" w14:paraId="31841041" w14:textId="77777777" w:rsidTr="0084393E">
        <w:trPr>
          <w:jc w:val="center"/>
        </w:trPr>
        <w:tc>
          <w:tcPr>
            <w:tcW w:w="10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F830A" w14:textId="77777777" w:rsidR="00687982" w:rsidRDefault="00000000" w:rsidP="0084393E">
            <w:pPr>
              <w:pBdr>
                <w:top w:val="none" w:sz="0" w:space="0" w:color="000000"/>
                <w:left w:val="none" w:sz="0" w:space="0" w:color="000000"/>
                <w:bottom w:val="none" w:sz="0" w:space="0" w:color="000000"/>
                <w:right w:val="none" w:sz="0" w:space="0" w:color="000000"/>
              </w:pBdr>
              <w:spacing w:before="100" w:after="100"/>
              <w:ind w:left="142" w:right="100"/>
            </w:pPr>
            <w:proofErr w:type="spellStart"/>
            <w:r>
              <w:rPr>
                <w:rFonts w:eastAsia="Helvetica" w:hAnsi="Helvetica" w:cs="Helvetica"/>
                <w:color w:val="000000"/>
                <w:sz w:val="18"/>
                <w:szCs w:val="18"/>
              </w:rPr>
              <w:t>Haemophilus</w:t>
            </w:r>
            <w:proofErr w:type="spellEnd"/>
            <w:r>
              <w:rPr>
                <w:rFonts w:eastAsia="Helvetica" w:hAnsi="Helvetica" w:cs="Helvetica"/>
                <w:color w:val="000000"/>
                <w:sz w:val="18"/>
                <w:szCs w:val="18"/>
              </w:rPr>
              <w:t xml:space="preserve"> influenzae type B</w:t>
            </w:r>
          </w:p>
        </w:tc>
        <w:tc>
          <w:tcPr>
            <w:tcW w:w="1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2D57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5523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EC83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4ACF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C73A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D5AB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D9C9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DD1C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4C51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9AD0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F4BF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32B70"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62B33"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4393E" w14:paraId="1064A7E2" w14:textId="77777777" w:rsidTr="0084393E">
        <w:trPr>
          <w:jc w:val="center"/>
        </w:trPr>
        <w:tc>
          <w:tcPr>
            <w:tcW w:w="10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06774" w14:textId="77777777" w:rsidR="00687982" w:rsidRDefault="00000000" w:rsidP="0084393E">
            <w:pPr>
              <w:pBdr>
                <w:top w:val="none" w:sz="0" w:space="0" w:color="000000"/>
                <w:left w:val="none" w:sz="0" w:space="0" w:color="000000"/>
                <w:bottom w:val="none" w:sz="0" w:space="0" w:color="000000"/>
                <w:right w:val="none" w:sz="0" w:space="0" w:color="000000"/>
              </w:pBdr>
              <w:spacing w:before="100" w:after="100"/>
              <w:ind w:left="142" w:right="100"/>
            </w:pPr>
            <w:r>
              <w:rPr>
                <w:rFonts w:eastAsia="Helvetica" w:hAnsi="Helvetica" w:cs="Helvetica"/>
                <w:color w:val="000000"/>
                <w:sz w:val="18"/>
                <w:szCs w:val="18"/>
              </w:rPr>
              <w:t>Hepatitis A</w:t>
            </w:r>
          </w:p>
        </w:tc>
        <w:tc>
          <w:tcPr>
            <w:tcW w:w="1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D9ED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26AF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DE0D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8706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CEB6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F629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575E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9B46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21</w:t>
            </w:r>
          </w:p>
        </w:tc>
        <w:tc>
          <w:tcPr>
            <w:tcW w:w="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9B86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3B54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E987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C2377"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946F9"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4393E" w14:paraId="203C5BD0" w14:textId="77777777" w:rsidTr="0084393E">
        <w:trPr>
          <w:jc w:val="center"/>
        </w:trPr>
        <w:tc>
          <w:tcPr>
            <w:tcW w:w="10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95263" w14:textId="77777777" w:rsidR="00687982" w:rsidRDefault="00000000" w:rsidP="0084393E">
            <w:pPr>
              <w:pBdr>
                <w:top w:val="none" w:sz="0" w:space="0" w:color="000000"/>
                <w:left w:val="none" w:sz="0" w:space="0" w:color="000000"/>
                <w:bottom w:val="none" w:sz="0" w:space="0" w:color="000000"/>
                <w:right w:val="none" w:sz="0" w:space="0" w:color="000000"/>
              </w:pBdr>
              <w:spacing w:before="100" w:after="100"/>
              <w:ind w:left="142" w:right="100"/>
            </w:pPr>
            <w:r>
              <w:rPr>
                <w:rFonts w:eastAsia="Helvetica" w:hAnsi="Helvetica" w:cs="Helvetica"/>
                <w:color w:val="000000"/>
                <w:sz w:val="18"/>
                <w:szCs w:val="18"/>
              </w:rPr>
              <w:t>Hepatitis B</w:t>
            </w:r>
          </w:p>
        </w:tc>
        <w:tc>
          <w:tcPr>
            <w:tcW w:w="1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A45C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4BF4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A410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C5C0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767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4460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EB6C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6854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3A2E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48</w:t>
            </w:r>
          </w:p>
        </w:tc>
        <w:tc>
          <w:tcPr>
            <w:tcW w:w="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C3A0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BD3E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DDE5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960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7DF7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497B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r>
      <w:tr w:rsidR="0084393E" w14:paraId="229FA403" w14:textId="77777777" w:rsidTr="0084393E">
        <w:trPr>
          <w:jc w:val="center"/>
        </w:trPr>
        <w:tc>
          <w:tcPr>
            <w:tcW w:w="10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AED5D" w14:textId="77777777" w:rsidR="00687982" w:rsidRDefault="00000000" w:rsidP="0084393E">
            <w:pPr>
              <w:pBdr>
                <w:top w:val="none" w:sz="0" w:space="0" w:color="000000"/>
                <w:left w:val="none" w:sz="0" w:space="0" w:color="000000"/>
                <w:bottom w:val="none" w:sz="0" w:space="0" w:color="000000"/>
                <w:right w:val="none" w:sz="0" w:space="0" w:color="000000"/>
              </w:pBdr>
              <w:spacing w:before="100" w:after="100"/>
              <w:ind w:left="142" w:right="100"/>
            </w:pPr>
            <w:r>
              <w:rPr>
                <w:rFonts w:eastAsia="Helvetica" w:hAnsi="Helvetica" w:cs="Helvetica"/>
                <w:color w:val="000000"/>
                <w:sz w:val="18"/>
                <w:szCs w:val="18"/>
              </w:rPr>
              <w:t>Hepatitis C</w:t>
            </w:r>
          </w:p>
        </w:tc>
        <w:tc>
          <w:tcPr>
            <w:tcW w:w="1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0E87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31BB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ADFF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F188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D521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3A5D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DB5E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8D48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E4F6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A099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010B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E5BB4"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0E1B5"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4393E" w14:paraId="3FD5F4D2" w14:textId="77777777" w:rsidTr="0084393E">
        <w:trPr>
          <w:jc w:val="center"/>
        </w:trPr>
        <w:tc>
          <w:tcPr>
            <w:tcW w:w="10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3D6F6" w14:textId="77777777" w:rsidR="00687982" w:rsidRDefault="00000000" w:rsidP="0084393E">
            <w:pPr>
              <w:pBdr>
                <w:top w:val="none" w:sz="0" w:space="0" w:color="000000"/>
                <w:left w:val="none" w:sz="0" w:space="0" w:color="000000"/>
                <w:bottom w:val="none" w:sz="0" w:space="0" w:color="000000"/>
                <w:right w:val="none" w:sz="0" w:space="0" w:color="000000"/>
              </w:pBdr>
              <w:spacing w:before="100" w:after="100"/>
              <w:ind w:left="142" w:right="100"/>
            </w:pPr>
            <w:r>
              <w:rPr>
                <w:rFonts w:eastAsia="Helvetica" w:hAnsi="Helvetica" w:cs="Helvetica"/>
                <w:color w:val="000000"/>
                <w:sz w:val="18"/>
                <w:szCs w:val="18"/>
              </w:rPr>
              <w:t>Hepatitis E</w:t>
            </w:r>
          </w:p>
        </w:tc>
        <w:tc>
          <w:tcPr>
            <w:tcW w:w="1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A8D5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CDA4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EE54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ECEE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536C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38AF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63C2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EA6F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93DA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F38A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CA08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82B3E"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FEA8D"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4393E" w14:paraId="1D0A11A8" w14:textId="77777777" w:rsidTr="0084393E">
        <w:trPr>
          <w:jc w:val="center"/>
        </w:trPr>
        <w:tc>
          <w:tcPr>
            <w:tcW w:w="10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DEEB7" w14:textId="77777777" w:rsidR="00687982" w:rsidRDefault="00000000" w:rsidP="0084393E">
            <w:pPr>
              <w:pBdr>
                <w:top w:val="none" w:sz="0" w:space="0" w:color="000000"/>
                <w:left w:val="none" w:sz="0" w:space="0" w:color="000000"/>
                <w:bottom w:val="none" w:sz="0" w:space="0" w:color="000000"/>
                <w:right w:val="none" w:sz="0" w:space="0" w:color="000000"/>
              </w:pBdr>
              <w:spacing w:before="100" w:after="100"/>
              <w:ind w:left="142" w:right="100"/>
            </w:pPr>
            <w:r>
              <w:rPr>
                <w:rFonts w:eastAsia="Helvetica" w:hAnsi="Helvetica" w:cs="Helvetica"/>
                <w:color w:val="000000"/>
                <w:sz w:val="18"/>
                <w:szCs w:val="18"/>
              </w:rPr>
              <w:t>Legionellosis</w:t>
            </w:r>
          </w:p>
        </w:tc>
        <w:tc>
          <w:tcPr>
            <w:tcW w:w="1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B8E7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5369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CCE2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E3D1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B2DD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9922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9ADB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A894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0E79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18FA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0E6E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7726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CB9A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r>
      <w:tr w:rsidR="0084393E" w14:paraId="54D05F86" w14:textId="77777777" w:rsidTr="0084393E">
        <w:trPr>
          <w:jc w:val="center"/>
        </w:trPr>
        <w:tc>
          <w:tcPr>
            <w:tcW w:w="10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42E67" w14:textId="77777777" w:rsidR="00687982" w:rsidRDefault="00000000" w:rsidP="0084393E">
            <w:pPr>
              <w:pBdr>
                <w:top w:val="none" w:sz="0" w:space="0" w:color="000000"/>
                <w:left w:val="none" w:sz="0" w:space="0" w:color="000000"/>
                <w:bottom w:val="none" w:sz="0" w:space="0" w:color="000000"/>
                <w:right w:val="none" w:sz="0" w:space="0" w:color="000000"/>
              </w:pBdr>
              <w:spacing w:before="100" w:after="100"/>
              <w:ind w:left="142" w:right="100"/>
            </w:pPr>
            <w:r>
              <w:rPr>
                <w:rFonts w:eastAsia="Helvetica" w:hAnsi="Helvetica" w:cs="Helvetica"/>
                <w:color w:val="000000"/>
                <w:sz w:val="18"/>
                <w:szCs w:val="18"/>
              </w:rPr>
              <w:t xml:space="preserve">Maternal death (pregnancy, </w:t>
            </w:r>
            <w:proofErr w:type="gramStart"/>
            <w:r>
              <w:rPr>
                <w:rFonts w:eastAsia="Helvetica" w:hAnsi="Helvetica" w:cs="Helvetica"/>
                <w:color w:val="000000"/>
                <w:sz w:val="18"/>
                <w:szCs w:val="18"/>
              </w:rPr>
              <w:t>childbirth</w:t>
            </w:r>
            <w:proofErr w:type="gramEnd"/>
            <w:r>
              <w:rPr>
                <w:rFonts w:eastAsia="Helvetica" w:hAnsi="Helvetica" w:cs="Helvetica"/>
                <w:color w:val="000000"/>
                <w:sz w:val="18"/>
                <w:szCs w:val="18"/>
              </w:rPr>
              <w:t xml:space="preserve"> and puerperium)</w:t>
            </w:r>
          </w:p>
        </w:tc>
        <w:tc>
          <w:tcPr>
            <w:tcW w:w="1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4ED2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9B7F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2982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3F6D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0AA4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17DB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1F05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D046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FC1D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CDCD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17F6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21F1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05D1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84393E" w14:paraId="44B6136B" w14:textId="77777777" w:rsidTr="0084393E">
        <w:trPr>
          <w:jc w:val="center"/>
        </w:trPr>
        <w:tc>
          <w:tcPr>
            <w:tcW w:w="10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D709E" w14:textId="77777777" w:rsidR="00687982" w:rsidRDefault="00000000" w:rsidP="0084393E">
            <w:pPr>
              <w:pBdr>
                <w:top w:val="none" w:sz="0" w:space="0" w:color="000000"/>
                <w:left w:val="none" w:sz="0" w:space="0" w:color="000000"/>
                <w:bottom w:val="none" w:sz="0" w:space="0" w:color="000000"/>
                <w:right w:val="none" w:sz="0" w:space="0" w:color="000000"/>
              </w:pBdr>
              <w:spacing w:before="100" w:after="100"/>
              <w:ind w:left="142" w:right="100"/>
            </w:pPr>
            <w:r>
              <w:rPr>
                <w:rFonts w:eastAsia="Helvetica" w:hAnsi="Helvetica" w:cs="Helvetica"/>
                <w:color w:val="000000"/>
                <w:sz w:val="18"/>
                <w:szCs w:val="18"/>
              </w:rPr>
              <w:t>Soil transmitted helminths</w:t>
            </w:r>
          </w:p>
        </w:tc>
        <w:tc>
          <w:tcPr>
            <w:tcW w:w="1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64E8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FE89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B98C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066D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6964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F2C6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66D3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99B7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F24F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ACD2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E64A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8600A"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945C3"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4393E" w14:paraId="22F7653F" w14:textId="77777777" w:rsidTr="0084393E">
        <w:trPr>
          <w:jc w:val="center"/>
        </w:trPr>
        <w:tc>
          <w:tcPr>
            <w:tcW w:w="10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3D7F3" w14:textId="77777777" w:rsidR="00687982" w:rsidRDefault="00000000" w:rsidP="0084393E">
            <w:pPr>
              <w:pBdr>
                <w:top w:val="none" w:sz="0" w:space="0" w:color="000000"/>
                <w:left w:val="none" w:sz="0" w:space="0" w:color="000000"/>
                <w:bottom w:val="none" w:sz="0" w:space="0" w:color="000000"/>
                <w:right w:val="none" w:sz="0" w:space="0" w:color="000000"/>
              </w:pBdr>
              <w:spacing w:before="100" w:after="100"/>
              <w:ind w:left="142" w:right="100"/>
            </w:pPr>
            <w:r>
              <w:rPr>
                <w:rFonts w:eastAsia="Helvetica" w:hAnsi="Helvetica" w:cs="Helvetica"/>
                <w:color w:val="000000"/>
                <w:sz w:val="18"/>
                <w:szCs w:val="18"/>
              </w:rPr>
              <w:t>Tetanus</w:t>
            </w:r>
          </w:p>
        </w:tc>
        <w:tc>
          <w:tcPr>
            <w:tcW w:w="1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0443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5E20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BE2A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40E6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902C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D183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7A49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30DA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07C3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B1A8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6B71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AD0B6"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5AA69"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4393E" w14:paraId="4846EF7A" w14:textId="77777777" w:rsidTr="0084393E">
        <w:trPr>
          <w:jc w:val="center"/>
        </w:trPr>
        <w:tc>
          <w:tcPr>
            <w:tcW w:w="10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3F955" w14:textId="77777777" w:rsidR="00687982" w:rsidRDefault="00000000" w:rsidP="0084393E">
            <w:pPr>
              <w:pBdr>
                <w:top w:val="none" w:sz="0" w:space="0" w:color="000000"/>
                <w:left w:val="none" w:sz="0" w:space="0" w:color="000000"/>
                <w:bottom w:val="none" w:sz="0" w:space="0" w:color="000000"/>
                <w:right w:val="none" w:sz="0" w:space="0" w:color="000000"/>
              </w:pBdr>
              <w:spacing w:before="100" w:after="100"/>
              <w:ind w:left="142" w:right="100"/>
            </w:pPr>
            <w:r>
              <w:rPr>
                <w:rFonts w:eastAsia="Helvetica" w:hAnsi="Helvetica" w:cs="Helvetica"/>
                <w:color w:val="000000"/>
                <w:sz w:val="18"/>
                <w:szCs w:val="18"/>
              </w:rPr>
              <w:t>Tuberculosis: extensively drug -resistant (XDR -TB)</w:t>
            </w:r>
          </w:p>
        </w:tc>
        <w:tc>
          <w:tcPr>
            <w:tcW w:w="1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0E46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6476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E6FB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1BBB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C3B3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7B87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C9C2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E4AD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B1F4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BF7E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33929" w14:textId="71CE06F2" w:rsidR="00687982" w:rsidRDefault="00F26F7A">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4893F" w14:textId="77777777" w:rsidR="00687982" w:rsidRDefault="00687982">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22E4D" w14:textId="5E62F697" w:rsidR="00687982" w:rsidRDefault="00F26F7A">
            <w:pPr>
              <w:pBdr>
                <w:top w:val="none" w:sz="0" w:space="0" w:color="000000"/>
                <w:left w:val="none" w:sz="0" w:space="0" w:color="000000"/>
                <w:bottom w:val="none" w:sz="0" w:space="0" w:color="000000"/>
                <w:right w:val="none" w:sz="0" w:space="0" w:color="000000"/>
              </w:pBdr>
              <w:spacing w:before="100" w:after="100"/>
              <w:ind w:left="100" w:right="100"/>
              <w:jc w:val="center"/>
            </w:pPr>
            <w:r>
              <w:t>*</w:t>
            </w:r>
          </w:p>
        </w:tc>
      </w:tr>
      <w:tr w:rsidR="0084393E" w14:paraId="4D6F5B91" w14:textId="77777777" w:rsidTr="0084393E">
        <w:trPr>
          <w:jc w:val="center"/>
        </w:trPr>
        <w:tc>
          <w:tcPr>
            <w:tcW w:w="10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DFB4D" w14:textId="77777777" w:rsidR="00687982" w:rsidRDefault="00000000" w:rsidP="0084393E">
            <w:pPr>
              <w:pBdr>
                <w:top w:val="none" w:sz="0" w:space="0" w:color="000000"/>
                <w:left w:val="none" w:sz="0" w:space="0" w:color="000000"/>
                <w:bottom w:val="none" w:sz="0" w:space="0" w:color="000000"/>
                <w:right w:val="none" w:sz="0" w:space="0" w:color="000000"/>
              </w:pBdr>
              <w:spacing w:before="100" w:after="100"/>
              <w:ind w:left="142" w:right="100"/>
            </w:pPr>
            <w:r>
              <w:rPr>
                <w:rFonts w:eastAsia="Helvetica" w:hAnsi="Helvetica" w:cs="Helvetica"/>
                <w:color w:val="000000"/>
                <w:sz w:val="18"/>
                <w:szCs w:val="18"/>
              </w:rPr>
              <w:lastRenderedPageBreak/>
              <w:t>Tuberculosis: multidrug- resistant (MDR -TB)</w:t>
            </w:r>
          </w:p>
        </w:tc>
        <w:tc>
          <w:tcPr>
            <w:tcW w:w="1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EACF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E3A1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7BE0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1F06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1764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3D5E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2547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F26A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w:t>
            </w:r>
          </w:p>
        </w:tc>
        <w:tc>
          <w:tcPr>
            <w:tcW w:w="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9E0A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D462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9495F" w14:textId="36ADCF35" w:rsidR="00687982" w:rsidRDefault="00F26F7A">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0770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27C17" w14:textId="4DB5E02A" w:rsidR="00687982" w:rsidRDefault="00F26F7A">
            <w:pPr>
              <w:pBdr>
                <w:top w:val="none" w:sz="0" w:space="0" w:color="000000"/>
                <w:left w:val="none" w:sz="0" w:space="0" w:color="000000"/>
                <w:bottom w:val="none" w:sz="0" w:space="0" w:color="000000"/>
                <w:right w:val="none" w:sz="0" w:space="0" w:color="000000"/>
              </w:pBdr>
              <w:spacing w:before="100" w:after="100"/>
              <w:ind w:left="100" w:right="100"/>
              <w:jc w:val="center"/>
            </w:pPr>
            <w:r>
              <w:t>*</w:t>
            </w:r>
          </w:p>
        </w:tc>
      </w:tr>
      <w:tr w:rsidR="0084393E" w14:paraId="1057076A" w14:textId="77777777" w:rsidTr="0084393E">
        <w:trPr>
          <w:jc w:val="center"/>
        </w:trPr>
        <w:tc>
          <w:tcPr>
            <w:tcW w:w="10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8A204" w14:textId="77777777" w:rsidR="00687982" w:rsidRDefault="00000000" w:rsidP="0084393E">
            <w:pPr>
              <w:pBdr>
                <w:top w:val="none" w:sz="0" w:space="0" w:color="000000"/>
                <w:left w:val="none" w:sz="0" w:space="0" w:color="000000"/>
                <w:bottom w:val="none" w:sz="0" w:space="0" w:color="000000"/>
                <w:right w:val="none" w:sz="0" w:space="0" w:color="000000"/>
              </w:pBdr>
              <w:spacing w:before="100" w:after="100"/>
              <w:ind w:left="142" w:right="100"/>
            </w:pPr>
            <w:proofErr w:type="spellStart"/>
            <w:proofErr w:type="gramStart"/>
            <w:r>
              <w:rPr>
                <w:rFonts w:eastAsia="Helvetica" w:hAnsi="Helvetica" w:cs="Helvetica"/>
                <w:color w:val="000000"/>
                <w:sz w:val="18"/>
                <w:szCs w:val="18"/>
              </w:rPr>
              <w:t>Tuberculosis:extra</w:t>
            </w:r>
            <w:proofErr w:type="gramEnd"/>
            <w:r>
              <w:rPr>
                <w:rFonts w:eastAsia="Helvetica" w:hAnsi="Helvetica" w:cs="Helvetica"/>
                <w:color w:val="000000"/>
                <w:sz w:val="18"/>
                <w:szCs w:val="18"/>
              </w:rPr>
              <w:t>-pulmonary</w:t>
            </w:r>
            <w:proofErr w:type="spellEnd"/>
          </w:p>
        </w:tc>
        <w:tc>
          <w:tcPr>
            <w:tcW w:w="1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C533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11DB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D492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B23D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BF44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758E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B761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DE96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66</w:t>
            </w:r>
          </w:p>
        </w:tc>
        <w:tc>
          <w:tcPr>
            <w:tcW w:w="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F21D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28C7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1 273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2F2F6" w14:textId="375E63A9" w:rsidR="00687982" w:rsidRDefault="00F26F7A">
            <w:pPr>
              <w:pBdr>
                <w:top w:val="none" w:sz="0" w:space="0" w:color="000000"/>
                <w:left w:val="none" w:sz="0" w:space="0" w:color="000000"/>
                <w:bottom w:val="none" w:sz="0" w:space="0" w:color="000000"/>
                <w:right w:val="none" w:sz="0" w:space="0" w:color="000000"/>
              </w:pBdr>
              <w:spacing w:before="100" w:after="100"/>
              <w:ind w:left="100" w:right="100"/>
              <w:jc w:val="center"/>
            </w:pPr>
            <w: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FC9B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11</w:t>
            </w:r>
          </w:p>
        </w:tc>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B59F7" w14:textId="3228C7D5" w:rsidR="00687982" w:rsidRDefault="00F26F7A">
            <w:pPr>
              <w:pBdr>
                <w:top w:val="none" w:sz="0" w:space="0" w:color="000000"/>
                <w:left w:val="none" w:sz="0" w:space="0" w:color="000000"/>
                <w:bottom w:val="none" w:sz="0" w:space="0" w:color="000000"/>
                <w:right w:val="none" w:sz="0" w:space="0" w:color="000000"/>
              </w:pBdr>
              <w:spacing w:before="100" w:after="100"/>
              <w:ind w:left="100" w:right="100"/>
              <w:jc w:val="center"/>
            </w:pPr>
            <w:r>
              <w:t>*</w:t>
            </w:r>
          </w:p>
        </w:tc>
      </w:tr>
      <w:tr w:rsidR="0084393E" w14:paraId="5A4FCF0B" w14:textId="77777777" w:rsidTr="0084393E">
        <w:trPr>
          <w:jc w:val="center"/>
        </w:trPr>
        <w:tc>
          <w:tcPr>
            <w:tcW w:w="100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5C42733" w14:textId="77777777" w:rsidR="00687982" w:rsidRDefault="00000000" w:rsidP="0084393E">
            <w:pPr>
              <w:pBdr>
                <w:top w:val="none" w:sz="0" w:space="0" w:color="000000"/>
                <w:left w:val="none" w:sz="0" w:space="0" w:color="000000"/>
                <w:bottom w:val="none" w:sz="0" w:space="0" w:color="000000"/>
                <w:right w:val="none" w:sz="0" w:space="0" w:color="000000"/>
              </w:pBdr>
              <w:spacing w:before="100" w:after="100"/>
              <w:ind w:left="142" w:right="408"/>
            </w:pPr>
            <w:proofErr w:type="spellStart"/>
            <w:proofErr w:type="gramStart"/>
            <w:r>
              <w:rPr>
                <w:rFonts w:eastAsia="Helvetica" w:hAnsi="Helvetica" w:cs="Helvetica"/>
                <w:color w:val="000000"/>
                <w:sz w:val="18"/>
                <w:szCs w:val="18"/>
              </w:rPr>
              <w:t>Tuberculosis:pulmonary</w:t>
            </w:r>
            <w:proofErr w:type="spellEnd"/>
            <w:proofErr w:type="gramEnd"/>
          </w:p>
        </w:tc>
        <w:tc>
          <w:tcPr>
            <w:tcW w:w="195"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120CA7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661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204D3B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305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E3BA13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1 394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0A4E96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945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19B5BF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300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0236E5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115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A4BF41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266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EDFE7F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230</w:t>
            </w:r>
          </w:p>
        </w:tc>
        <w:tc>
          <w:tcPr>
            <w:tcW w:w="30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ED24E2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1 165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50C6E0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5 381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8E5F02A" w14:textId="27CC43DC" w:rsidR="00687982" w:rsidRDefault="00F26F7A">
            <w:pPr>
              <w:pBdr>
                <w:top w:val="none" w:sz="0" w:space="0" w:color="000000"/>
                <w:left w:val="none" w:sz="0" w:space="0" w:color="000000"/>
                <w:bottom w:val="none" w:sz="0" w:space="0" w:color="000000"/>
                <w:right w:val="none" w:sz="0" w:space="0" w:color="000000"/>
              </w:pBdr>
              <w:spacing w:before="100" w:after="100"/>
              <w:ind w:left="100" w:right="100"/>
              <w:jc w:val="center"/>
            </w:pPr>
            <w:r>
              <w:t>*</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83B4B2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27</w:t>
            </w:r>
          </w:p>
        </w:tc>
        <w:tc>
          <w:tcPr>
            <w:tcW w:w="0" w:type="auto"/>
            <w:gridSpan w:val="3"/>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BE22F5" w14:textId="15BCA390" w:rsidR="00687982" w:rsidRDefault="00F26F7A">
            <w:pPr>
              <w:pBdr>
                <w:top w:val="none" w:sz="0" w:space="0" w:color="000000"/>
                <w:left w:val="none" w:sz="0" w:space="0" w:color="000000"/>
                <w:bottom w:val="none" w:sz="0" w:space="0" w:color="000000"/>
                <w:right w:val="none" w:sz="0" w:space="0" w:color="000000"/>
              </w:pBdr>
              <w:spacing w:before="100" w:after="100"/>
              <w:ind w:left="100" w:right="100"/>
              <w:jc w:val="center"/>
            </w:pPr>
            <w:r>
              <w:t>*</w:t>
            </w:r>
          </w:p>
        </w:tc>
      </w:tr>
      <w:tr w:rsidR="0084393E" w14:paraId="5E11F308" w14:textId="77777777" w:rsidTr="0084393E">
        <w:trPr>
          <w:gridAfter w:val="2"/>
          <w:jc w:val="center"/>
        </w:trPr>
        <w:tc>
          <w:tcPr>
            <w:tcW w:w="4679" w:type="pct"/>
            <w:gridSpan w:val="1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2D41A6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rPr>
                <w:rFonts w:eastAsia="Helvetica" w:hAnsi="Helvetica" w:cs="Helvetica"/>
                <w:color w:val="000000"/>
                <w:sz w:val="18"/>
                <w:szCs w:val="18"/>
              </w:rPr>
            </w:pPr>
            <w:r>
              <w:rPr>
                <w:rFonts w:eastAsia="Helvetica" w:hAnsi="Helvetica" w:cs="Helvetica"/>
                <w:color w:val="000000"/>
                <w:sz w:val="18"/>
                <w:szCs w:val="18"/>
                <w:vertAlign w:val="superscript"/>
              </w:rPr>
              <w:t>1</w:t>
            </w:r>
            <w:proofErr w:type="gramStart"/>
            <w:r>
              <w:rPr>
                <w:rFonts w:eastAsia="Helvetica" w:hAnsi="Helvetica" w:cs="Helvetica"/>
                <w:color w:val="000000"/>
                <w:sz w:val="18"/>
                <w:szCs w:val="18"/>
              </w:rPr>
              <w:t>n(</w:t>
            </w:r>
            <w:proofErr w:type="gramEnd"/>
            <w:r>
              <w:rPr>
                <w:rFonts w:eastAsia="Helvetica" w:hAnsi="Helvetica" w:cs="Helvetica"/>
                <w:color w:val="000000"/>
                <w:sz w:val="18"/>
                <w:szCs w:val="18"/>
              </w:rPr>
              <w:t>%);</w:t>
            </w:r>
          </w:p>
          <w:p w14:paraId="42C6C21F" w14:textId="3719BA96" w:rsidR="00F26F7A" w:rsidRDefault="00F26F7A">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w:t>
            </w:r>
            <w:r>
              <w:t>* TB module is under development to align with laboratory confirmed TB cases.</w:t>
            </w:r>
          </w:p>
        </w:tc>
      </w:tr>
    </w:tbl>
    <w:p w14:paraId="71A55697" w14:textId="77777777" w:rsidR="00687982" w:rsidRDefault="00000000">
      <w:r>
        <w:br w:type="page"/>
      </w:r>
    </w:p>
    <w:p w14:paraId="6EF7D324" w14:textId="77777777" w:rsidR="00687982" w:rsidRDefault="00000000">
      <w:pPr>
        <w:pStyle w:val="Heading2"/>
      </w:pPr>
      <w:bookmarkStart w:id="17" w:name="the-average-active-users-on-the-nmc-app"/>
      <w:bookmarkEnd w:id="14"/>
      <w:r>
        <w:lastRenderedPageBreak/>
        <w:t>The average active users on the NMC App</w:t>
      </w:r>
    </w:p>
    <w:p w14:paraId="2F95FE1D" w14:textId="297E33CD" w:rsidR="00687982" w:rsidRDefault="00933B86">
      <w:r>
        <w:rPr>
          <w:noProof/>
        </w:rPr>
        <w:drawing>
          <wp:inline distT="0" distB="0" distL="0" distR="0" wp14:anchorId="0D4F4127" wp14:editId="5B687B76">
            <wp:extent cx="8361303" cy="3996831"/>
            <wp:effectExtent l="0" t="0" r="8255" b="16510"/>
            <wp:docPr id="603474717"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 xml:space="preserve"> </w:t>
      </w:r>
      <w:r>
        <w:br w:type="page"/>
      </w:r>
    </w:p>
    <w:p w14:paraId="28425E87" w14:textId="77777777" w:rsidR="00687982" w:rsidRDefault="00000000">
      <w:pPr>
        <w:pStyle w:val="Heading2"/>
      </w:pPr>
      <w:bookmarkStart w:id="18" w:name="data-quality"/>
      <w:bookmarkEnd w:id="17"/>
      <w:r>
        <w:lastRenderedPageBreak/>
        <w:t>Data quality</w:t>
      </w:r>
    </w:p>
    <w:p w14:paraId="1531192B" w14:textId="3F2D4865" w:rsidR="00687982" w:rsidRDefault="00000000">
      <w:pPr>
        <w:pStyle w:val="FirstParagraph"/>
      </w:pPr>
      <w:r>
        <w:rPr>
          <w:b/>
          <w:bCs/>
        </w:rPr>
        <w:t>Completeness</w:t>
      </w:r>
      <w:r>
        <w:t xml:space="preserve"> refers to the proportion of complete data entries per variable in the dataset among clinical and merged notifications. In November 2023, there was an increase in completeness of date of diagnosis and patient folder number, while demographic details and patient vital status remain </w:t>
      </w:r>
      <w:r w:rsidR="00314787">
        <w:t>high.</w:t>
      </w:r>
    </w:p>
    <w:p w14:paraId="179F3BF9" w14:textId="0672AFBF" w:rsidR="00687982" w:rsidRDefault="00000000">
      <w:pPr>
        <w:pStyle w:val="BodyText"/>
      </w:pPr>
      <w:r>
        <w:rPr>
          <w:b/>
          <w:bCs/>
        </w:rPr>
        <w:t>Timeliness</w:t>
      </w:r>
      <w:r>
        <w:t xml:space="preserve"> is measured by the number of days from the time of diagnosis of the NMC to the time of notification. Overall, it took a median (IQR) of </w:t>
      </w:r>
      <w:r w:rsidR="00F26F7A">
        <w:t>zero</w:t>
      </w:r>
      <w:r>
        <w:t xml:space="preserve"> (0, 1) days to report category 1 NMCs.</w:t>
      </w:r>
    </w:p>
    <w:p w14:paraId="52CC7F85" w14:textId="77777777" w:rsidR="00687982" w:rsidRDefault="00000000">
      <w:pPr>
        <w:pStyle w:val="TableCaption"/>
      </w:pPr>
      <w:bookmarkStart w:id="19" w:name="tab:unnamed-chunk-17"/>
      <w:bookmarkEnd w:id="19"/>
      <w:r>
        <w:t>Table 8: NMC data completeness of clinical notifications on both reporting platforms</w:t>
      </w:r>
    </w:p>
    <w:tbl>
      <w:tblPr>
        <w:tblW w:w="4950" w:type="pct"/>
        <w:jc w:val="center"/>
        <w:tblLook w:val="0420" w:firstRow="1" w:lastRow="0" w:firstColumn="0" w:lastColumn="0" w:noHBand="0" w:noVBand="1"/>
      </w:tblPr>
      <w:tblGrid>
        <w:gridCol w:w="4961"/>
        <w:gridCol w:w="3543"/>
        <w:gridCol w:w="5039"/>
      </w:tblGrid>
      <w:tr w:rsidR="00687982" w14:paraId="1269A2D0"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A44F6C6" w14:textId="77777777" w:rsidR="00687982" w:rsidRDefault="00687982">
            <w:pPr>
              <w:pBdr>
                <w:top w:val="none" w:sz="0" w:space="0" w:color="000000"/>
                <w:left w:val="none" w:sz="0" w:space="0" w:color="000000"/>
                <w:bottom w:val="none" w:sz="0" w:space="0" w:color="000000"/>
                <w:right w:val="none" w:sz="0" w:space="0" w:color="000000"/>
              </w:pBdr>
              <w:spacing w:before="40" w:after="40"/>
              <w:ind w:left="100" w:right="100"/>
            </w:pP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2BBBB29"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App</w:t>
            </w:r>
            <w:r>
              <w:rPr>
                <w:rFonts w:eastAsia="Helvetica" w:hAnsi="Helvetica" w:cs="Helvetica"/>
                <w:color w:val="000000"/>
                <w:sz w:val="18"/>
                <w:szCs w:val="18"/>
              </w:rPr>
              <w:t>, N = 8 455</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07D455"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Paper-based</w:t>
            </w:r>
            <w:r>
              <w:rPr>
                <w:rFonts w:eastAsia="Helvetica" w:hAnsi="Helvetica" w:cs="Helvetica"/>
                <w:color w:val="000000"/>
                <w:sz w:val="18"/>
                <w:szCs w:val="18"/>
              </w:rPr>
              <w:t>, N = 127</w:t>
            </w:r>
          </w:p>
        </w:tc>
      </w:tr>
      <w:tr w:rsidR="00687982" w14:paraId="64A962A3"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7C88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b/>
                <w:color w:val="000000"/>
                <w:sz w:val="18"/>
                <w:szCs w:val="18"/>
              </w:rPr>
              <w:t>Folder Number</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58B8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6 922 (82%)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6D72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106 (83%)</w:t>
            </w:r>
          </w:p>
        </w:tc>
      </w:tr>
      <w:tr w:rsidR="00687982" w14:paraId="3E8F873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9F52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b/>
                <w:color w:val="000000"/>
                <w:sz w:val="18"/>
                <w:szCs w:val="18"/>
              </w:rPr>
              <w:t>First 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E051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8 455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6719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127 (100%)</w:t>
            </w:r>
          </w:p>
        </w:tc>
      </w:tr>
      <w:tr w:rsidR="00687982" w14:paraId="398BFCF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3240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b/>
                <w:color w:val="000000"/>
                <w:sz w:val="18"/>
                <w:szCs w:val="18"/>
              </w:rPr>
              <w:t>Surname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9A1E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8 455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48C0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127 (100%)</w:t>
            </w:r>
          </w:p>
        </w:tc>
      </w:tr>
      <w:tr w:rsidR="00687982" w14:paraId="322BA56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3B00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b/>
                <w:color w:val="000000"/>
                <w:sz w:val="18"/>
                <w:szCs w:val="18"/>
              </w:rPr>
              <w:t>Symptom Onset Date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597E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8 440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2113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127 (100%)</w:t>
            </w:r>
          </w:p>
        </w:tc>
      </w:tr>
      <w:tr w:rsidR="00687982" w14:paraId="117466C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5374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b/>
                <w:color w:val="000000"/>
                <w:sz w:val="18"/>
                <w:szCs w:val="18"/>
              </w:rPr>
              <w:t>Date of Diagnosis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5CCD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8 454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F791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127 (100%)</w:t>
            </w:r>
          </w:p>
        </w:tc>
      </w:tr>
      <w:tr w:rsidR="00687982" w14:paraId="04154DE6"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997C5D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b/>
                <w:color w:val="000000"/>
                <w:sz w:val="18"/>
                <w:szCs w:val="18"/>
              </w:rPr>
              <w:t>Outcome</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E8CE7D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8 455 (100%)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EA7528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127 (100%)</w:t>
            </w:r>
          </w:p>
        </w:tc>
      </w:tr>
    </w:tbl>
    <w:p w14:paraId="405A3005" w14:textId="77777777" w:rsidR="00687982" w:rsidRDefault="00000000">
      <w:r>
        <w:br w:type="page"/>
      </w:r>
    </w:p>
    <w:p w14:paraId="5EF103E2" w14:textId="77777777" w:rsidR="00687982" w:rsidRDefault="00000000">
      <w:pPr>
        <w:pStyle w:val="Heading3"/>
      </w:pPr>
      <w:bookmarkStart w:id="20" w:name="id-number-completeness"/>
      <w:r>
        <w:lastRenderedPageBreak/>
        <w:t>ID number completeness</w:t>
      </w:r>
    </w:p>
    <w:p w14:paraId="5F2EEDA9" w14:textId="77777777" w:rsidR="00687982" w:rsidRDefault="00000000">
      <w:pPr>
        <w:pStyle w:val="TableCaption"/>
      </w:pPr>
      <w:bookmarkStart w:id="21" w:name="tab:tbl-qualID"/>
      <w:bookmarkEnd w:id="21"/>
      <w:r>
        <w:t>Table 9: Length of ID numbers inputted on NMC system</w:t>
      </w:r>
    </w:p>
    <w:tbl>
      <w:tblPr>
        <w:tblW w:w="4950" w:type="pct"/>
        <w:jc w:val="center"/>
        <w:tblLook w:val="0420" w:firstRow="1" w:lastRow="0" w:firstColumn="0" w:lastColumn="0" w:noHBand="0" w:noVBand="1"/>
      </w:tblPr>
      <w:tblGrid>
        <w:gridCol w:w="2277"/>
        <w:gridCol w:w="2159"/>
        <w:gridCol w:w="3284"/>
        <w:gridCol w:w="2502"/>
        <w:gridCol w:w="1810"/>
        <w:gridCol w:w="1511"/>
      </w:tblGrid>
      <w:tr w:rsidR="00687982" w14:paraId="633E78A5"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6605033"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eastAsia="Helvetica" w:hAnsi="Helvetica" w:cs="Helvetica"/>
                <w:b/>
                <w:color w:val="000000"/>
                <w:sz w:val="18"/>
                <w:szCs w:val="18"/>
              </w:rPr>
              <w:t>Length of ID number</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7F18C44"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Android</w:t>
            </w:r>
            <w:r>
              <w:rPr>
                <w:rFonts w:eastAsia="Helvetica" w:hAnsi="Helvetica" w:cs="Helvetica"/>
                <w:color w:val="000000"/>
                <w:sz w:val="18"/>
                <w:szCs w:val="18"/>
              </w:rPr>
              <w:t>, N = 2 931</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89F0170"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Microstrategy/SDW</w:t>
            </w:r>
            <w:r>
              <w:rPr>
                <w:rFonts w:eastAsia="Helvetica" w:hAnsi="Helvetica" w:cs="Helvetica"/>
                <w:color w:val="000000"/>
                <w:sz w:val="18"/>
                <w:szCs w:val="18"/>
              </w:rPr>
              <w:t>, N = 3 060</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70725BE"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Paper-based</w:t>
            </w:r>
            <w:r>
              <w:rPr>
                <w:rFonts w:eastAsia="Helvetica" w:hAnsi="Helvetica" w:cs="Helvetica"/>
                <w:color w:val="000000"/>
                <w:sz w:val="18"/>
                <w:szCs w:val="18"/>
              </w:rPr>
              <w:t>, N = 127</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83FADC3"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Web</w:t>
            </w:r>
            <w:r>
              <w:rPr>
                <w:rFonts w:eastAsia="Helvetica" w:hAnsi="Helvetica" w:cs="Helvetica"/>
                <w:color w:val="000000"/>
                <w:sz w:val="18"/>
                <w:szCs w:val="18"/>
              </w:rPr>
              <w:t>, N = 4 884</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DF9CD1C"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iOS</w:t>
            </w:r>
            <w:r>
              <w:rPr>
                <w:rFonts w:eastAsia="Helvetica" w:hAnsi="Helvetica" w:cs="Helvetica"/>
                <w:color w:val="000000"/>
                <w:sz w:val="18"/>
                <w:szCs w:val="18"/>
              </w:rPr>
              <w:t>, N = 640</w:t>
            </w:r>
            <w:r>
              <w:rPr>
                <w:rFonts w:eastAsia="Helvetica" w:hAnsi="Helvetica" w:cs="Helvetica"/>
                <w:color w:val="000000"/>
                <w:sz w:val="18"/>
                <w:szCs w:val="18"/>
                <w:vertAlign w:val="superscript"/>
              </w:rPr>
              <w:t>1</w:t>
            </w:r>
          </w:p>
        </w:tc>
      </w:tr>
      <w:tr w:rsidR="00687982" w14:paraId="64856F35"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74B1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8F34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1 132 (39%)</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97B3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2 977 (97%)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4B4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93 (73%)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C2D3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1 724 (35%)</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F9C2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299 (47%)</w:t>
            </w:r>
          </w:p>
        </w:tc>
      </w:tr>
      <w:tr w:rsidR="00687982" w14:paraId="7C146E6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8408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194E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A2B9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66F1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059D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24A9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5CBD0F9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B4BD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85CF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3CAA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2F8E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2CC3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068B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6D086F7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AE92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FF90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 (0.1%)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061C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16 (0.5%)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49F0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6D51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418 (8.6%)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9E0F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56 (8.8%)</w:t>
            </w:r>
          </w:p>
        </w:tc>
      </w:tr>
      <w:tr w:rsidR="00687982" w14:paraId="4F05FE8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9459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F29B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F269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77C8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0A6C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11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9E29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(0.2%)</w:t>
            </w:r>
          </w:p>
        </w:tc>
      </w:tr>
      <w:tr w:rsidR="00687982" w14:paraId="21A7A41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2C58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FC9B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B5CB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1628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E954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50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1F81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 (0.5%)</w:t>
            </w:r>
          </w:p>
        </w:tc>
      </w:tr>
      <w:tr w:rsidR="00687982" w14:paraId="3942FF6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F958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7F6D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67D8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AD74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1757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34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52D2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30E4EDD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DB79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9D2A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361F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1AF4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DDDE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79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6E03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(0.3%)</w:t>
            </w:r>
          </w:p>
        </w:tc>
      </w:tr>
      <w:tr w:rsidR="00687982" w14:paraId="3618B18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4D94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0248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7120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CA54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EBC1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18F0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621CBCB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F1B1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E86F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D5EB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7854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08C6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33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6E0D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45FC51F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0E18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87CC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1 796 (61%)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72FB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67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D4D8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34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415A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2 530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05B5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279 (44%)</w:t>
            </w:r>
          </w:p>
        </w:tc>
      </w:tr>
      <w:tr w:rsidR="00687982" w14:paraId="1E45850B"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BE0A61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Unknown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451109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4F5F59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ADAF35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CB598B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DB0449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675C8712" w14:textId="77777777">
        <w:trPr>
          <w:jc w:val="center"/>
        </w:trPr>
        <w:tc>
          <w:tcPr>
            <w:tcW w:w="0" w:type="auto"/>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0DC57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vertAlign w:val="superscript"/>
              </w:rPr>
              <w:t>1</w:t>
            </w:r>
            <w:r>
              <w:rPr>
                <w:rFonts w:eastAsia="Helvetica" w:hAnsi="Helvetica" w:cs="Helvetica"/>
                <w:color w:val="000000"/>
                <w:sz w:val="18"/>
                <w:szCs w:val="18"/>
              </w:rPr>
              <w:t>n (%)</w:t>
            </w:r>
          </w:p>
        </w:tc>
      </w:tr>
    </w:tbl>
    <w:p w14:paraId="63B6A3AA" w14:textId="77777777" w:rsidR="00687982" w:rsidRDefault="00000000">
      <w:r>
        <w:br w:type="page"/>
      </w:r>
    </w:p>
    <w:p w14:paraId="70B1A0B3" w14:textId="77777777" w:rsidR="00687982" w:rsidRDefault="00000000">
      <w:pPr>
        <w:pStyle w:val="Heading3"/>
      </w:pPr>
      <w:bookmarkStart w:id="22" w:name="symptomatology"/>
      <w:bookmarkEnd w:id="20"/>
      <w:r>
        <w:lastRenderedPageBreak/>
        <w:t>Symptomatology</w:t>
      </w:r>
    </w:p>
    <w:p w14:paraId="696EDB1A" w14:textId="77777777" w:rsidR="00687982" w:rsidRDefault="00000000">
      <w:pPr>
        <w:pStyle w:val="TableCaption"/>
      </w:pPr>
      <w:bookmarkStart w:id="23" w:name="tab:tbl-qualsymps"/>
      <w:bookmarkEnd w:id="23"/>
      <w:r>
        <w:t>Table 10: Symptoms of patients clinically notified and merged with lab notifications to the NMC</w:t>
      </w:r>
    </w:p>
    <w:tbl>
      <w:tblPr>
        <w:tblW w:w="4950" w:type="pct"/>
        <w:jc w:val="center"/>
        <w:tblLook w:val="0420" w:firstRow="1" w:lastRow="0" w:firstColumn="0" w:lastColumn="0" w:noHBand="0" w:noVBand="1"/>
      </w:tblPr>
      <w:tblGrid>
        <w:gridCol w:w="3061"/>
        <w:gridCol w:w="2360"/>
        <w:gridCol w:w="2817"/>
        <w:gridCol w:w="2817"/>
        <w:gridCol w:w="2488"/>
      </w:tblGrid>
      <w:tr w:rsidR="00687982" w14:paraId="6582B411"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CD859D2"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eastAsia="Helvetica" w:hAnsi="Helvetica" w:cs="Helvetica"/>
                <w:b/>
                <w:color w:val="000000"/>
                <w:sz w:val="18"/>
                <w:szCs w:val="18"/>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2FAC446"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Overall</w:t>
            </w:r>
            <w:r>
              <w:rPr>
                <w:rFonts w:eastAsia="Helvetica" w:hAnsi="Helvetica" w:cs="Helvetica"/>
                <w:color w:val="000000"/>
                <w:sz w:val="18"/>
                <w:szCs w:val="18"/>
              </w:rPr>
              <w:t>, N = 8 946</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9489C5B"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Category 1</w:t>
            </w:r>
            <w:r>
              <w:rPr>
                <w:rFonts w:eastAsia="Helvetica" w:hAnsi="Helvetica" w:cs="Helvetica"/>
                <w:color w:val="000000"/>
                <w:sz w:val="18"/>
                <w:szCs w:val="18"/>
              </w:rPr>
              <w:t>, N = 1 524</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1A30A54"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Category 2</w:t>
            </w:r>
            <w:r>
              <w:rPr>
                <w:rFonts w:eastAsia="Helvetica" w:hAnsi="Helvetica" w:cs="Helvetica"/>
                <w:color w:val="000000"/>
                <w:sz w:val="18"/>
                <w:szCs w:val="18"/>
              </w:rPr>
              <w:t>, N = 7 403</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D005FE"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Category 3</w:t>
            </w:r>
            <w:r>
              <w:rPr>
                <w:rFonts w:eastAsia="Helvetica" w:hAnsi="Helvetica" w:cs="Helvetica"/>
                <w:color w:val="000000"/>
                <w:sz w:val="18"/>
                <w:szCs w:val="18"/>
              </w:rPr>
              <w:t>, N = 19</w:t>
            </w:r>
            <w:r>
              <w:rPr>
                <w:rFonts w:eastAsia="Helvetica" w:hAnsi="Helvetica" w:cs="Helvetica"/>
                <w:color w:val="000000"/>
                <w:sz w:val="18"/>
                <w:szCs w:val="18"/>
                <w:vertAlign w:val="superscript"/>
              </w:rPr>
              <w:t>1</w:t>
            </w:r>
          </w:p>
        </w:tc>
      </w:tr>
      <w:tr w:rsidR="00687982" w14:paraId="55DF6DA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186A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Cough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8154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4 143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61A3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274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98C3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3 869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630E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54889E3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E880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No Symptoms Reported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5E8C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2 852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12CB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784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DF27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2 052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C056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16 (84%)</w:t>
            </w:r>
          </w:p>
        </w:tc>
      </w:tr>
      <w:tr w:rsidR="00687982" w14:paraId="687B08B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A23E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Loss of weight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04E2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2 492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303F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BCD6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2 491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2FA5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(5.3%)</w:t>
            </w:r>
          </w:p>
        </w:tc>
      </w:tr>
      <w:tr w:rsidR="00687982" w14:paraId="56890BB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9386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Loss of appetite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5B9E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1 859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9E81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15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9F9B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1 844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E04C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0516918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3871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Night Sweats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2FAE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1 610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0B04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6B83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1 610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68AC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6D9F8C9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948A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Fever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4DE0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1 536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65E3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372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9ACF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1 164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C532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3E9DE30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21D6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Chest pains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EE57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1 230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4DE8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A40B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1 230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11AC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7ABB726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BFC3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Shortness of breath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8381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631 (7.1%)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D210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8CC6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631 (8.5%)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57FF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1327B87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00E4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Flu like symptoms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0197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591 (6.6%)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F125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12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ED74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579 (7.8%)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6034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4ADE367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D987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Weakness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F974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580 (6.5%)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C3F1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E02B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580 (7.8%)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B15C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0A83C92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CA3F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Muscle weakness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BE73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541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12B2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21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2382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520 (7.0%)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15C6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3200574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85A8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Other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678F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538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C4A5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46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DC46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489 (6.6%)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55FF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 (16%)</w:t>
            </w:r>
          </w:p>
        </w:tc>
      </w:tr>
      <w:tr w:rsidR="00687982" w14:paraId="49FFD33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248D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Maculopapular rash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1437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411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5DA2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411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F3DF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A371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24C5672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6630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Conjuctivitis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20E6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213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EB5C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213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01D4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F4CE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5444123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1F51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Vomiting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5461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107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F5B3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107 (7.0%)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B2BE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08F3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5CFA9B7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AC58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Paroxysmal coughing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8C32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50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48E3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50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0609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5884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0DB1CBF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BAFA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Headache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E57B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43 (0.5%)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7A3E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43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6C28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0D1E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2603B45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9661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Inspirational whoop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D76A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34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D2AC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34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DD1E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B6A8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4635810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B010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Tiredness / Body malaise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3D1B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24 (0.3%)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262A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24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E96F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1C7A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0064582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2B85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Acute febrile illness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6A53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19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C1C7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19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E09D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CE89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66A6EC2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8760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t>Rice-water stools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594D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B98F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90FC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FB3F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6614BA7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F936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rPr>
              <w:lastRenderedPageBreak/>
              <w:t>Coryza (running nose)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799F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A324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7CBA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D655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 (0%)</w:t>
            </w:r>
          </w:p>
        </w:tc>
      </w:tr>
      <w:tr w:rsidR="00687982" w14:paraId="3216DC7E" w14:textId="77777777">
        <w:trPr>
          <w:jc w:val="center"/>
        </w:trPr>
        <w:tc>
          <w:tcPr>
            <w:tcW w:w="0" w:type="auto"/>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1284CC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vertAlign w:val="superscript"/>
              </w:rPr>
              <w:t>1</w:t>
            </w:r>
            <w:r>
              <w:rPr>
                <w:rFonts w:eastAsia="Helvetica" w:hAnsi="Helvetica" w:cs="Helvetica"/>
                <w:color w:val="000000"/>
                <w:sz w:val="18"/>
                <w:szCs w:val="18"/>
              </w:rPr>
              <w:t>n (%)</w:t>
            </w:r>
          </w:p>
        </w:tc>
      </w:tr>
    </w:tbl>
    <w:p w14:paraId="32159209" w14:textId="77777777" w:rsidR="00687982" w:rsidRDefault="00000000">
      <w:r>
        <w:br w:type="page"/>
      </w:r>
    </w:p>
    <w:p w14:paraId="009028F5" w14:textId="77777777" w:rsidR="00687982" w:rsidRDefault="00000000">
      <w:pPr>
        <w:pStyle w:val="Heading1"/>
      </w:pPr>
      <w:bookmarkStart w:id="24" w:name="conclusion"/>
      <w:bookmarkEnd w:id="5"/>
      <w:bookmarkEnd w:id="18"/>
      <w:bookmarkEnd w:id="22"/>
      <w:r>
        <w:lastRenderedPageBreak/>
        <w:t>Conclusion</w:t>
      </w:r>
    </w:p>
    <w:p w14:paraId="357FEFA2" w14:textId="77777777" w:rsidR="00687982" w:rsidRDefault="00000000">
      <w:pPr>
        <w:pStyle w:val="FirstParagraph"/>
      </w:pPr>
      <w:r>
        <w:t>The majority of notifications were clinical notifications. The increase in average active users and newly registered users over time is an indication of an increase in the acceptance of the NMC App in the provinces. The completeness of patient clinical details and patient demographic details have improved, due to the application of mandatory fields on the NMC App. There was a delay in reporting tuberculosis cases. The data harmonization processes between the current and improved NMC system are underway to improve reporting.</w:t>
      </w:r>
    </w:p>
    <w:p w14:paraId="0818EF46" w14:textId="77777777" w:rsidR="00687982" w:rsidRDefault="00000000">
      <w:pPr>
        <w:pStyle w:val="Heading1"/>
      </w:pPr>
      <w:bookmarkStart w:id="25" w:name="recommendations"/>
      <w:bookmarkEnd w:id="24"/>
      <w:r>
        <w:t>Recommendations</w:t>
      </w:r>
    </w:p>
    <w:p w14:paraId="3FA01211" w14:textId="77777777" w:rsidR="00687982" w:rsidRDefault="00000000">
      <w:pPr>
        <w:pStyle w:val="Compact"/>
        <w:numPr>
          <w:ilvl w:val="0"/>
          <w:numId w:val="22"/>
        </w:numPr>
      </w:pPr>
      <w:r>
        <w:t>We recommend the expedition of NMC App “whitelisting” on the provincial departmental intranet to make the electronic notification platform more accessible to health facilities.</w:t>
      </w:r>
    </w:p>
    <w:p w14:paraId="7AE1F482" w14:textId="77777777" w:rsidR="00687982" w:rsidRDefault="00000000">
      <w:pPr>
        <w:pStyle w:val="Compact"/>
        <w:numPr>
          <w:ilvl w:val="0"/>
          <w:numId w:val="22"/>
        </w:numPr>
      </w:pPr>
      <w:r>
        <w:t>We recommend that clinicians should complete all patient clinical and demographic details to improve completeness.</w:t>
      </w:r>
    </w:p>
    <w:p w14:paraId="496E135D" w14:textId="77777777" w:rsidR="00687982" w:rsidRDefault="00000000">
      <w:pPr>
        <w:pStyle w:val="Compact"/>
        <w:numPr>
          <w:ilvl w:val="0"/>
          <w:numId w:val="22"/>
        </w:numPr>
      </w:pPr>
      <w:r>
        <w:t>NMC Trainers to emphasize the importance of timeous reporting of Category 1 and 2 NMCs, in order to ensure real-time availability of data for public health action.</w:t>
      </w:r>
    </w:p>
    <w:p w14:paraId="1EE9C59B" w14:textId="77777777" w:rsidR="00687982" w:rsidRDefault="00000000">
      <w:r>
        <w:br w:type="page"/>
      </w:r>
    </w:p>
    <w:p w14:paraId="094E9797" w14:textId="77777777" w:rsidR="00687982" w:rsidRDefault="00000000">
      <w:pPr>
        <w:pStyle w:val="Heading1"/>
      </w:pPr>
      <w:bookmarkStart w:id="26" w:name="appendices"/>
      <w:bookmarkEnd w:id="25"/>
      <w:r>
        <w:lastRenderedPageBreak/>
        <w:t>Appendices</w:t>
      </w:r>
    </w:p>
    <w:p w14:paraId="271A2BE3" w14:textId="77777777" w:rsidR="00687982" w:rsidRDefault="00000000">
      <w:pPr>
        <w:pStyle w:val="Heading2"/>
      </w:pPr>
      <w:bookmarkStart w:id="27" w:name="X06064ce3df4d96250fc4d7ea5ad47da2292d7eb"/>
      <w:r>
        <w:t>Appendix no.1: Back captured clinical notifications</w:t>
      </w:r>
    </w:p>
    <w:p w14:paraId="32126780" w14:textId="77777777" w:rsidR="00687982" w:rsidRDefault="00000000">
      <w:pPr>
        <w:pStyle w:val="TableCaption"/>
      </w:pPr>
      <w:bookmarkStart w:id="28" w:name="tab:unnamed-chunk-18"/>
      <w:bookmarkEnd w:id="28"/>
      <w:r>
        <w:t>Table 11: Back captured notifications by reporting province</w:t>
      </w:r>
    </w:p>
    <w:tbl>
      <w:tblPr>
        <w:tblW w:w="4950" w:type="pct"/>
        <w:jc w:val="center"/>
        <w:tblLook w:val="0420" w:firstRow="1" w:lastRow="0" w:firstColumn="0" w:lastColumn="0" w:noHBand="0" w:noVBand="1"/>
      </w:tblPr>
      <w:tblGrid>
        <w:gridCol w:w="2799"/>
        <w:gridCol w:w="897"/>
        <w:gridCol w:w="542"/>
        <w:gridCol w:w="468"/>
        <w:gridCol w:w="543"/>
        <w:gridCol w:w="616"/>
        <w:gridCol w:w="468"/>
        <w:gridCol w:w="540"/>
        <w:gridCol w:w="550"/>
        <w:gridCol w:w="568"/>
        <w:gridCol w:w="588"/>
        <w:gridCol w:w="945"/>
        <w:gridCol w:w="1910"/>
        <w:gridCol w:w="878"/>
        <w:gridCol w:w="669"/>
        <w:gridCol w:w="562"/>
      </w:tblGrid>
      <w:tr w:rsidR="00687982" w14:paraId="79481062"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71970A5"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eastAsia="Helvetica" w:hAnsi="Helvetica" w:cs="Helvetica"/>
                <w:color w:val="000000"/>
                <w:sz w:val="18"/>
                <w:szCs w:val="18"/>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60326EE"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Overall</w:t>
            </w:r>
          </w:p>
        </w:tc>
        <w:tc>
          <w:tcPr>
            <w:tcW w:w="0" w:type="auto"/>
            <w:gridSpan w:val="9"/>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1F9731E"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Province</w:t>
            </w:r>
          </w:p>
        </w:tc>
        <w:tc>
          <w:tcPr>
            <w:tcW w:w="0" w:type="auto"/>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C22D14"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Case Source</w:t>
            </w:r>
          </w:p>
        </w:tc>
      </w:tr>
      <w:tr w:rsidR="00687982" w14:paraId="67DCA022"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CA981AD"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eastAsia="Helvetica" w:hAnsi="Helvetica" w:cs="Helvetica"/>
                <w:b/>
                <w:color w:val="000000"/>
                <w:sz w:val="18"/>
                <w:szCs w:val="18"/>
              </w:rPr>
              <w:t>Condition</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DE0B046"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Overall</w:t>
            </w:r>
            <w:r>
              <w:rPr>
                <w:rFonts w:eastAsia="Helvetica" w:hAnsi="Helvetica" w:cs="Helvetica"/>
                <w:color w:val="000000"/>
                <w:sz w:val="18"/>
                <w:szCs w:val="18"/>
              </w:rPr>
              <w:t>,</w:t>
            </w:r>
            <w:r>
              <w:rPr>
                <w:rFonts w:eastAsia="Helvetica" w:hAnsi="Helvetica" w:cs="Helvetica"/>
                <w:color w:val="000000"/>
                <w:sz w:val="18"/>
                <w:szCs w:val="18"/>
              </w:rPr>
              <w:br/>
              <w:t>n = 1114</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FD752E2"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EC</w:t>
            </w:r>
            <w:r>
              <w:rPr>
                <w:rFonts w:eastAsia="Helvetica" w:hAnsi="Helvetica" w:cs="Helvetica"/>
                <w:color w:val="000000"/>
                <w:sz w:val="18"/>
                <w:szCs w:val="18"/>
              </w:rPr>
              <w:t>,</w:t>
            </w:r>
            <w:r>
              <w:rPr>
                <w:rFonts w:eastAsia="Helvetica" w:hAnsi="Helvetica" w:cs="Helvetica"/>
                <w:color w:val="000000"/>
                <w:sz w:val="18"/>
                <w:szCs w:val="18"/>
              </w:rPr>
              <w:br/>
              <w:t>n = 220</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2937FD7"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FS</w:t>
            </w:r>
            <w:r>
              <w:rPr>
                <w:rFonts w:eastAsia="Helvetica" w:hAnsi="Helvetica" w:cs="Helvetica"/>
                <w:color w:val="000000"/>
                <w:sz w:val="18"/>
                <w:szCs w:val="18"/>
              </w:rPr>
              <w:t>,</w:t>
            </w:r>
            <w:r>
              <w:rPr>
                <w:rFonts w:eastAsia="Helvetica" w:hAnsi="Helvetica" w:cs="Helvetica"/>
                <w:color w:val="000000"/>
                <w:sz w:val="18"/>
                <w:szCs w:val="18"/>
              </w:rPr>
              <w:br/>
              <w:t>n = 62</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9C4FD8"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GP</w:t>
            </w:r>
            <w:r>
              <w:rPr>
                <w:rFonts w:eastAsia="Helvetica" w:hAnsi="Helvetica" w:cs="Helvetica"/>
                <w:color w:val="000000"/>
                <w:sz w:val="18"/>
                <w:szCs w:val="18"/>
              </w:rPr>
              <w:t>,</w:t>
            </w:r>
            <w:r>
              <w:rPr>
                <w:rFonts w:eastAsia="Helvetica" w:hAnsi="Helvetica" w:cs="Helvetica"/>
                <w:color w:val="000000"/>
                <w:sz w:val="18"/>
                <w:szCs w:val="18"/>
              </w:rPr>
              <w:br/>
              <w:t>n = 374</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AAFEB29"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KZN</w:t>
            </w:r>
            <w:r>
              <w:rPr>
                <w:rFonts w:eastAsia="Helvetica" w:hAnsi="Helvetica" w:cs="Helvetica"/>
                <w:color w:val="000000"/>
                <w:sz w:val="18"/>
                <w:szCs w:val="18"/>
              </w:rPr>
              <w:t>,</w:t>
            </w:r>
            <w:r>
              <w:rPr>
                <w:rFonts w:eastAsia="Helvetica" w:hAnsi="Helvetica" w:cs="Helvetica"/>
                <w:color w:val="000000"/>
                <w:sz w:val="18"/>
                <w:szCs w:val="18"/>
              </w:rPr>
              <w:br/>
              <w:t>n = 177</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DD47A2"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LP</w:t>
            </w:r>
            <w:r>
              <w:rPr>
                <w:rFonts w:eastAsia="Helvetica" w:hAnsi="Helvetica" w:cs="Helvetica"/>
                <w:color w:val="000000"/>
                <w:sz w:val="18"/>
                <w:szCs w:val="18"/>
              </w:rPr>
              <w:t>,</w:t>
            </w:r>
            <w:r>
              <w:rPr>
                <w:rFonts w:eastAsia="Helvetica" w:hAnsi="Helvetica" w:cs="Helvetica"/>
                <w:color w:val="000000"/>
                <w:sz w:val="18"/>
                <w:szCs w:val="18"/>
              </w:rPr>
              <w:br/>
              <w:t>n = 18</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11CD20"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MP</w:t>
            </w:r>
            <w:r>
              <w:rPr>
                <w:rFonts w:eastAsia="Helvetica" w:hAnsi="Helvetica" w:cs="Helvetica"/>
                <w:color w:val="000000"/>
                <w:sz w:val="18"/>
                <w:szCs w:val="18"/>
              </w:rPr>
              <w:t>,</w:t>
            </w:r>
            <w:r>
              <w:rPr>
                <w:rFonts w:eastAsia="Helvetica" w:hAnsi="Helvetica" w:cs="Helvetica"/>
                <w:color w:val="000000"/>
                <w:sz w:val="18"/>
                <w:szCs w:val="18"/>
              </w:rPr>
              <w:br/>
              <w:t>n = 10</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AF6EBBE"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NC</w:t>
            </w:r>
            <w:r>
              <w:rPr>
                <w:rFonts w:eastAsia="Helvetica" w:hAnsi="Helvetica" w:cs="Helvetica"/>
                <w:color w:val="000000"/>
                <w:sz w:val="18"/>
                <w:szCs w:val="18"/>
              </w:rPr>
              <w:t>,</w:t>
            </w:r>
            <w:r>
              <w:rPr>
                <w:rFonts w:eastAsia="Helvetica" w:hAnsi="Helvetica" w:cs="Helvetica"/>
                <w:color w:val="000000"/>
                <w:sz w:val="18"/>
                <w:szCs w:val="18"/>
              </w:rPr>
              <w:br/>
              <w:t>n = 76</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DBE8475"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NW</w:t>
            </w:r>
            <w:r>
              <w:rPr>
                <w:rFonts w:eastAsia="Helvetica" w:hAnsi="Helvetica" w:cs="Helvetica"/>
                <w:color w:val="000000"/>
                <w:sz w:val="18"/>
                <w:szCs w:val="18"/>
              </w:rPr>
              <w:t>,</w:t>
            </w:r>
            <w:r>
              <w:rPr>
                <w:rFonts w:eastAsia="Helvetica" w:hAnsi="Helvetica" w:cs="Helvetica"/>
                <w:color w:val="000000"/>
                <w:sz w:val="18"/>
                <w:szCs w:val="18"/>
              </w:rPr>
              <w:br/>
              <w:t>n = 31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EC4B54"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WC</w:t>
            </w:r>
            <w:r>
              <w:rPr>
                <w:rFonts w:eastAsia="Helvetica" w:hAnsi="Helvetica" w:cs="Helvetica"/>
                <w:color w:val="000000"/>
                <w:sz w:val="18"/>
                <w:szCs w:val="18"/>
              </w:rPr>
              <w:t>,</w:t>
            </w:r>
            <w:r>
              <w:rPr>
                <w:rFonts w:eastAsia="Helvetica" w:hAnsi="Helvetica" w:cs="Helvetica"/>
                <w:color w:val="000000"/>
                <w:sz w:val="18"/>
                <w:szCs w:val="18"/>
              </w:rPr>
              <w:br/>
              <w:t>n = 146</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12B2A8"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Android</w:t>
            </w:r>
            <w:r>
              <w:rPr>
                <w:rFonts w:eastAsia="Helvetica" w:hAnsi="Helvetica" w:cs="Helvetica"/>
                <w:color w:val="000000"/>
                <w:sz w:val="18"/>
                <w:szCs w:val="18"/>
              </w:rPr>
              <w:t xml:space="preserve">, </w:t>
            </w:r>
            <w:r>
              <w:rPr>
                <w:rFonts w:eastAsia="Helvetica" w:hAnsi="Helvetica" w:cs="Helvetica"/>
                <w:color w:val="000000"/>
                <w:sz w:val="18"/>
                <w:szCs w:val="18"/>
              </w:rPr>
              <w:br/>
              <w:t>n = 318</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C5C820B"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Microstrategy/SDW</w:t>
            </w:r>
            <w:r>
              <w:rPr>
                <w:rFonts w:eastAsia="Helvetica" w:hAnsi="Helvetica" w:cs="Helvetica"/>
                <w:color w:val="000000"/>
                <w:sz w:val="18"/>
                <w:szCs w:val="18"/>
              </w:rPr>
              <w:t xml:space="preserve">, </w:t>
            </w:r>
            <w:r>
              <w:rPr>
                <w:rFonts w:eastAsia="Helvetica" w:hAnsi="Helvetica" w:cs="Helvetica"/>
                <w:color w:val="000000"/>
                <w:sz w:val="18"/>
                <w:szCs w:val="18"/>
              </w:rPr>
              <w:br/>
              <w:t>n = 3</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3F59D82"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Paper-based</w:t>
            </w:r>
            <w:r>
              <w:rPr>
                <w:rFonts w:eastAsia="Helvetica" w:hAnsi="Helvetica" w:cs="Helvetica"/>
                <w:color w:val="000000"/>
                <w:sz w:val="18"/>
                <w:szCs w:val="18"/>
              </w:rPr>
              <w:t xml:space="preserve">, </w:t>
            </w:r>
            <w:r>
              <w:rPr>
                <w:rFonts w:eastAsia="Helvetica" w:hAnsi="Helvetica" w:cs="Helvetica"/>
                <w:color w:val="000000"/>
                <w:sz w:val="18"/>
                <w:szCs w:val="18"/>
              </w:rPr>
              <w:br/>
              <w:t>n = 4</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0A8894D"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Web</w:t>
            </w:r>
            <w:r>
              <w:rPr>
                <w:rFonts w:eastAsia="Helvetica" w:hAnsi="Helvetica" w:cs="Helvetica"/>
                <w:color w:val="000000"/>
                <w:sz w:val="18"/>
                <w:szCs w:val="18"/>
              </w:rPr>
              <w:t xml:space="preserve">, </w:t>
            </w:r>
            <w:r>
              <w:rPr>
                <w:rFonts w:eastAsia="Helvetica" w:hAnsi="Helvetica" w:cs="Helvetica"/>
                <w:color w:val="000000"/>
                <w:sz w:val="18"/>
                <w:szCs w:val="18"/>
              </w:rPr>
              <w:br/>
              <w:t>n = 754</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CA8193A"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iOS</w:t>
            </w:r>
            <w:r>
              <w:rPr>
                <w:rFonts w:eastAsia="Helvetica" w:hAnsi="Helvetica" w:cs="Helvetica"/>
                <w:color w:val="000000"/>
                <w:sz w:val="18"/>
                <w:szCs w:val="18"/>
              </w:rPr>
              <w:t xml:space="preserve">, </w:t>
            </w:r>
            <w:r>
              <w:rPr>
                <w:rFonts w:eastAsia="Helvetica" w:hAnsi="Helvetica" w:cs="Helvetica"/>
                <w:color w:val="000000"/>
                <w:sz w:val="18"/>
                <w:szCs w:val="18"/>
              </w:rPr>
              <w:br/>
              <w:t>n = 35</w:t>
            </w:r>
          </w:p>
        </w:tc>
      </w:tr>
      <w:tr w:rsidR="00687982" w14:paraId="36A3C37A"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81EE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Acute rheumatic fever</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75D7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(&lt;0.1%)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A53C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C211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EC46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0803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3F36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CC6E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8412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81A7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CCC0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D1A1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EB88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8DFA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95C7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C332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797EF21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EE46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Bilharzia (schistosomiasis)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D2F6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FDF5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8593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42EF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A56E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3C27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8291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C693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D162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7D8B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0E85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D92D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62D8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D401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0F7C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1957045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B852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Congenital syphilis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EEBD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 (0.3%)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9D74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42ED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5873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0D05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4D25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6842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80A7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5F8F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C894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C0E9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8728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D627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6E0B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6DD5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34071BA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D4E8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Food borne illness outbreak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94B6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 (0.5%)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DC1F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833D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9C80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A7C5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2103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507A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3DDF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8664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90FE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3134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6DA1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97BA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95A3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77BD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0B4E5BC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DD8F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Hepatitis 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99E7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16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175E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3FE1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8D84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CB73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C7F2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70FC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41A0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68FB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939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F949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5868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5EEB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2980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EFFF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7A9ABB4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3D23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Hepatitis 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4313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 (0.3%)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FFAE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8F1C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0C0F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8148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96E5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AE8E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4E17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9A6D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3149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A00C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CD24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B843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B57E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89F7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0AB1DE9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F4FD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Malaria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7864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67BE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D06F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02F3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FCE0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0EC1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D211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C46A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03F5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A435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5776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2C0B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8614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8F81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1C07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40E1317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416C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Maternal death (pregnancy, childbirth and puerperium)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A895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2A4A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40F7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1E57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C66D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1F58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561C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52DC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9988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E966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D530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5EF7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027C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2FA0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F88D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7C4B698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467A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Measles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8F99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CB94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BB57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CD78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4BB8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AAB9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69F3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6101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319E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6199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1CD0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2EDA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3889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BE4C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514C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r>
      <w:tr w:rsidR="00687982" w14:paraId="1C21BAD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BC88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Meningococcal Disease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8489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5C49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29DE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FAB3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814B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002C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86D9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0B15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F2F2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0533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453D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1658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0C0A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B09D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4D0F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7EC8D65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8E66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Pertussis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AD3C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B708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7DE5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911D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EFA7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C77E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FF73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BB1D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2CCD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A1DD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8909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E9FA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FC47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14AF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6E7D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38FA3D7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4442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Tuberculosis: extensively drug -resistant (XDR -TB)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8CB4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 (0.3%)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AC3D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834F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5FA5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0F3E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9D62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8CD4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8D73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452E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E766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08C9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EEB9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05B5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DED6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88E5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6BFB17B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489D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lastRenderedPageBreak/>
              <w:t>Tuberculosis: multidrug- resistant (MDR -TB)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9033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19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DA74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8301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959E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A458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9899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FEE8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F4D6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9020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03E7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9D06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C991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AF95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CC94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2DC5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r>
      <w:tr w:rsidR="00687982" w14:paraId="659F9E2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9D73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Tuberculosis:extra-pulmonary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15BA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242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4E76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D87C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E835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21E6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49E2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2E32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12B7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DDF2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5DFE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BCF3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8C46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353F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945E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BB5F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10</w:t>
            </w:r>
          </w:p>
        </w:tc>
      </w:tr>
      <w:tr w:rsidR="00687982" w14:paraId="7A1A8F32"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783935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Tuberculosis:pulmonary</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DB8418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812 (73%)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0B6B87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179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CCFF16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06C77B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194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C38D6E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148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B9A5E8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C2A105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4C2315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8EB14D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D8A83B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120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5EB217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269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87008A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D09E05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EF1320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516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618A26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23</w:t>
            </w:r>
          </w:p>
        </w:tc>
      </w:tr>
    </w:tbl>
    <w:p w14:paraId="26E79DE5" w14:textId="64A9117E" w:rsidR="00687982" w:rsidRDefault="00000000">
      <w:r>
        <w:br w:type="page"/>
      </w:r>
    </w:p>
    <w:p w14:paraId="1EA12AF7" w14:textId="77777777" w:rsidR="00687982" w:rsidRDefault="00000000">
      <w:pPr>
        <w:pStyle w:val="Heading2"/>
      </w:pPr>
      <w:bookmarkStart w:id="29" w:name="appendix-no.2-summary-of-nmcss-data-flow"/>
      <w:bookmarkEnd w:id="27"/>
      <w:r>
        <w:lastRenderedPageBreak/>
        <w:t>Appendix no.2: Summary of NMCSS Data Flow</w:t>
      </w:r>
    </w:p>
    <w:p w14:paraId="27FA183A" w14:textId="77777777" w:rsidR="00687982" w:rsidRDefault="00000000">
      <w:pPr>
        <w:pStyle w:val="FirstParagraph"/>
      </w:pPr>
      <w:r>
        <w:rPr>
          <w:noProof/>
        </w:rPr>
        <w:drawing>
          <wp:inline distT="0" distB="0" distL="0" distR="0" wp14:anchorId="4A23A8FA" wp14:editId="5516688B">
            <wp:extent cx="8686800" cy="428503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images/dataflow.png"/>
                    <pic:cNvPicPr>
                      <a:picLocks noChangeAspect="1" noChangeArrowheads="1"/>
                    </pic:cNvPicPr>
                  </pic:nvPicPr>
                  <pic:blipFill>
                    <a:blip r:embed="rId11"/>
                    <a:stretch>
                      <a:fillRect/>
                    </a:stretch>
                  </pic:blipFill>
                  <pic:spPr bwMode="auto">
                    <a:xfrm>
                      <a:off x="0" y="0"/>
                      <a:ext cx="8686800" cy="4285030"/>
                    </a:xfrm>
                    <a:prstGeom prst="rect">
                      <a:avLst/>
                    </a:prstGeom>
                    <a:noFill/>
                    <a:ln w="9525">
                      <a:noFill/>
                      <a:headEnd/>
                      <a:tailEnd/>
                    </a:ln>
                  </pic:spPr>
                </pic:pic>
              </a:graphicData>
            </a:graphic>
          </wp:inline>
        </w:drawing>
      </w:r>
    </w:p>
    <w:p w14:paraId="40804263" w14:textId="77777777" w:rsidR="00687982" w:rsidRDefault="00000000">
      <w:r>
        <w:br w:type="page"/>
      </w:r>
    </w:p>
    <w:p w14:paraId="137F973A" w14:textId="77777777" w:rsidR="00687982" w:rsidRDefault="00000000">
      <w:pPr>
        <w:pStyle w:val="Heading2"/>
      </w:pPr>
      <w:bookmarkStart w:id="30" w:name="X41912ee9326708701e7f35b6c7659f2dedf67a2"/>
      <w:bookmarkEnd w:id="29"/>
      <w:r>
        <w:lastRenderedPageBreak/>
        <w:t>Appendix no.3: NMC Categories, and Case Classification definitions</w:t>
      </w:r>
    </w:p>
    <w:p w14:paraId="20D93595" w14:textId="77777777" w:rsidR="00687982" w:rsidRDefault="00000000">
      <w:pPr>
        <w:pStyle w:val="FirstParagraph"/>
      </w:pPr>
      <w:r>
        <w:rPr>
          <w:b/>
          <w:bCs/>
        </w:rPr>
        <w:t>NMC categories</w:t>
      </w:r>
    </w:p>
    <w:p w14:paraId="47E960BB" w14:textId="77777777" w:rsidR="00687982" w:rsidRDefault="00000000">
      <w:pPr>
        <w:pStyle w:val="BodyText"/>
      </w:pPr>
      <w:r>
        <w:rPr>
          <w:b/>
          <w:bCs/>
        </w:rPr>
        <w:t>Category 1</w:t>
      </w:r>
      <w:r>
        <w:t>: NMCs notified by the most rapid means available upon diagnosis, followed by a written or electronic notification to the Department of Health within 24 hours of diagnosis by healthcare providers, private health laboratories or public health laboratories. These conditions must be notified based on clinical suspicion irrespective of laboratory confirmation.</w:t>
      </w:r>
    </w:p>
    <w:p w14:paraId="5F30CA56" w14:textId="77777777" w:rsidR="00687982" w:rsidRDefault="00000000">
      <w:pPr>
        <w:pStyle w:val="BodyText"/>
      </w:pPr>
      <w:r>
        <w:rPr>
          <w:b/>
          <w:bCs/>
        </w:rPr>
        <w:t>Category 2</w:t>
      </w:r>
      <w:r>
        <w:t>: NMCs notified through a written or an electronic notification to the Department of Health of clinical or laboratory diagnosis within 7 days by healthcare providers, private health laboratories or public health laboratories.</w:t>
      </w:r>
    </w:p>
    <w:p w14:paraId="6DCF2E5D" w14:textId="77777777" w:rsidR="00687982" w:rsidRDefault="00000000">
      <w:pPr>
        <w:pStyle w:val="BodyText"/>
      </w:pPr>
      <w:r>
        <w:rPr>
          <w:b/>
          <w:bCs/>
        </w:rPr>
        <w:t>Category 3</w:t>
      </w:r>
      <w:r>
        <w:t>: NMCs notified through a written or electronic notification to the Department of Health within 7 days of diagnosis by public and private health laboratories.</w:t>
      </w:r>
    </w:p>
    <w:p w14:paraId="40329FEB" w14:textId="77777777" w:rsidR="00687982" w:rsidRDefault="00000000">
      <w:pPr>
        <w:pStyle w:val="BodyText"/>
      </w:pPr>
      <w:r>
        <w:rPr>
          <w:b/>
          <w:bCs/>
        </w:rPr>
        <w:t>Category 4</w:t>
      </w:r>
      <w:r>
        <w:t>: NMCs notified through a written or electronic notification to the Department of Health within 1 month of diagnosis by public and private health laboratories.</w:t>
      </w:r>
    </w:p>
    <w:p w14:paraId="712DD734" w14:textId="77777777" w:rsidR="00687982" w:rsidRDefault="00000000">
      <w:pPr>
        <w:pStyle w:val="BodyText"/>
      </w:pPr>
      <w:r>
        <w:rPr>
          <w:b/>
          <w:bCs/>
        </w:rPr>
        <w:t>Case Classification definitions</w:t>
      </w:r>
    </w:p>
    <w:p w14:paraId="06A5E81F" w14:textId="77777777" w:rsidR="00687982" w:rsidRDefault="00000000">
      <w:pPr>
        <w:pStyle w:val="BodyText"/>
      </w:pPr>
      <w:r>
        <w:rPr>
          <w:b/>
          <w:bCs/>
        </w:rPr>
        <w:t>Clinical case</w:t>
      </w:r>
      <w:r>
        <w:t>: are cases reported to the NMC by health care providers at facilities, either through completion of a paper form that is faxed, emailed to National Institute of Communicable Diseases (NICD), or by direct data entry into the NMC application on a PC, laptop or mobile device. The diagnosis is made by the clinician on the basis of case definitions published on the NICD website.</w:t>
      </w:r>
    </w:p>
    <w:p w14:paraId="25C6950D" w14:textId="77777777" w:rsidR="00687982" w:rsidRDefault="00000000">
      <w:pPr>
        <w:pStyle w:val="BodyText"/>
      </w:pPr>
      <w:r>
        <w:rPr>
          <w:b/>
          <w:bCs/>
        </w:rPr>
        <w:t>Laboratory case</w:t>
      </w:r>
      <w:r>
        <w:t>: are cases that are downloaded into the NMC database directly from the National Health Laboratory Services (NHLS) laboratory information system. The NMC application applies the case definitions that are published on the NICD website. Private sector data is being sourced.</w:t>
      </w:r>
    </w:p>
    <w:p w14:paraId="4E50D882" w14:textId="77777777" w:rsidR="00687982" w:rsidRDefault="00000000">
      <w:pPr>
        <w:pStyle w:val="BodyText"/>
      </w:pPr>
      <w:r>
        <w:rPr>
          <w:b/>
          <w:bCs/>
        </w:rPr>
        <w:t>Merged cases</w:t>
      </w:r>
      <w:r>
        <w:t>: are cases where a case was notified by health care provider at the facility (a ‘clinical case’) AND the laboratory issued a report with a positive result for the same case (a ’laboratory case). The NMC App is set up to automatically detect and link clinical and laboratory case notifications. The NICD specialist Centres and NMC data team review all cases and manually link any remaining clinical and laboratory cases</w:t>
      </w:r>
    </w:p>
    <w:p w14:paraId="0E8EC354" w14:textId="77777777" w:rsidR="00687982" w:rsidRDefault="00000000">
      <w:pPr>
        <w:pStyle w:val="BodyText"/>
      </w:pPr>
      <w:r>
        <w:rPr>
          <w:b/>
          <w:bCs/>
        </w:rPr>
        <w:t>Notification capture times definitions</w:t>
      </w:r>
    </w:p>
    <w:p w14:paraId="15E827AA" w14:textId="77777777" w:rsidR="00687982" w:rsidRDefault="00000000">
      <w:pPr>
        <w:pStyle w:val="BodyText"/>
      </w:pPr>
      <w:r>
        <w:rPr>
          <w:b/>
          <w:bCs/>
        </w:rPr>
        <w:t>Current notification</w:t>
      </w:r>
      <w:r>
        <w:t>: All cases diagnosed and notified in the current month</w:t>
      </w:r>
    </w:p>
    <w:p w14:paraId="06465670" w14:textId="77777777" w:rsidR="00687982" w:rsidRDefault="00000000">
      <w:pPr>
        <w:pStyle w:val="BodyText"/>
      </w:pPr>
      <w:r>
        <w:rPr>
          <w:b/>
          <w:bCs/>
        </w:rPr>
        <w:t>Delayed notification</w:t>
      </w:r>
      <w:r>
        <w:t>: All cases diagnosed in the last 14 days from the previous month</w:t>
      </w:r>
    </w:p>
    <w:p w14:paraId="536ECA92" w14:textId="77777777" w:rsidR="00687982" w:rsidRDefault="00000000">
      <w:pPr>
        <w:pStyle w:val="BodyText"/>
      </w:pPr>
      <w:r>
        <w:rPr>
          <w:b/>
          <w:bCs/>
        </w:rPr>
        <w:t>Back capture notification</w:t>
      </w:r>
      <w:r>
        <w:t>: All cases diagnosed in previous months and before the last 14 days of the previous month.</w:t>
      </w:r>
    </w:p>
    <w:p w14:paraId="5C5E329B" w14:textId="77777777" w:rsidR="00687982" w:rsidRDefault="00000000">
      <w:r>
        <w:br w:type="page"/>
      </w:r>
    </w:p>
    <w:p w14:paraId="24C84FE8" w14:textId="77777777" w:rsidR="00687982" w:rsidRDefault="00000000">
      <w:pPr>
        <w:pStyle w:val="Heading2"/>
      </w:pPr>
      <w:bookmarkStart w:id="31" w:name="X5d5c19f7b4bfefebf7f268a90e1f80be5f80298"/>
      <w:bookmarkEnd w:id="30"/>
      <w:r>
        <w:lastRenderedPageBreak/>
        <w:t>Appendix no.4: IDSR reporting template for IDSR conditions existing on NMC by under-5 and 5-and-over years and vital status.</w:t>
      </w:r>
    </w:p>
    <w:p w14:paraId="33AE4AD4" w14:textId="77777777" w:rsidR="00687982" w:rsidRDefault="00000000">
      <w:pPr>
        <w:pStyle w:val="TableCaption"/>
      </w:pPr>
      <w:bookmarkStart w:id="32" w:name="tab:tbl-IDSR"/>
      <w:bookmarkEnd w:id="32"/>
      <w:r>
        <w:t>Table 12: The number of IDSR conditions laboratory notified to the NMC using the IDSR reporting template of under and 5-and-above years by vital status.</w:t>
      </w:r>
    </w:p>
    <w:tbl>
      <w:tblPr>
        <w:tblW w:w="4950" w:type="pct"/>
        <w:jc w:val="center"/>
        <w:tblLook w:val="0420" w:firstRow="1" w:lastRow="0" w:firstColumn="0" w:lastColumn="0" w:noHBand="0" w:noVBand="1"/>
      </w:tblPr>
      <w:tblGrid>
        <w:gridCol w:w="5792"/>
        <w:gridCol w:w="1520"/>
        <w:gridCol w:w="1585"/>
        <w:gridCol w:w="1575"/>
        <w:gridCol w:w="1510"/>
        <w:gridCol w:w="1561"/>
      </w:tblGrid>
      <w:tr w:rsidR="00687982" w14:paraId="62E15702"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0796ECC"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eastAsia="Helvetica" w:hAnsi="Helvetica" w:cs="Helvetica"/>
                <w:color w:val="000000"/>
                <w:sz w:val="18"/>
                <w:szCs w:val="18"/>
              </w:rPr>
              <w:t xml:space="preserve"> </w:t>
            </w:r>
          </w:p>
        </w:tc>
        <w:tc>
          <w:tcPr>
            <w:tcW w:w="0" w:type="auto"/>
            <w:gridSpan w:val="4"/>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9C6267"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color w:val="000000"/>
                <w:sz w:val="18"/>
                <w:szCs w:val="18"/>
              </w:rPr>
              <w:t>Notified/Suspected</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377B82C"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color w:val="000000"/>
                <w:sz w:val="18"/>
                <w:szCs w:val="18"/>
              </w:rPr>
              <w:t>Confirmed</w:t>
            </w:r>
          </w:p>
        </w:tc>
      </w:tr>
      <w:tr w:rsidR="00687982" w14:paraId="521DF26B"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9D3DE8F"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eastAsia="Helvetica" w:hAnsi="Helvetica" w:cs="Helvetica"/>
                <w:color w:val="000000"/>
                <w:sz w:val="18"/>
                <w:szCs w:val="18"/>
              </w:rPr>
              <w:t>Condition</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0E174C"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Under 5 A</w:t>
            </w:r>
            <w:r>
              <w:rPr>
                <w:rFonts w:eastAsia="Helvetica" w:hAnsi="Helvetica" w:cs="Helvetica"/>
                <w:color w:val="000000"/>
                <w:sz w:val="18"/>
                <w:szCs w:val="18"/>
              </w:rPr>
              <w:t xml:space="preserve">, </w:t>
            </w:r>
            <w:r>
              <w:rPr>
                <w:rFonts w:eastAsia="Helvetica" w:hAnsi="Helvetica" w:cs="Helvetica"/>
                <w:color w:val="000000"/>
                <w:sz w:val="18"/>
                <w:szCs w:val="18"/>
              </w:rPr>
              <w:br/>
              <w:t>N = 319</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A0A87C"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5 &amp; over A</w:t>
            </w:r>
            <w:r>
              <w:rPr>
                <w:rFonts w:eastAsia="Helvetica" w:hAnsi="Helvetica" w:cs="Helvetica"/>
                <w:color w:val="000000"/>
                <w:sz w:val="18"/>
                <w:szCs w:val="18"/>
              </w:rPr>
              <w:t xml:space="preserve">, </w:t>
            </w:r>
            <w:r>
              <w:rPr>
                <w:rFonts w:eastAsia="Helvetica" w:hAnsi="Helvetica" w:cs="Helvetica"/>
                <w:color w:val="000000"/>
                <w:sz w:val="18"/>
                <w:szCs w:val="18"/>
              </w:rPr>
              <w:br/>
              <w:t>N = 923</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96C69C5"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5 &amp; over D</w:t>
            </w:r>
            <w:r>
              <w:rPr>
                <w:rFonts w:eastAsia="Helvetica" w:hAnsi="Helvetica" w:cs="Helvetica"/>
                <w:color w:val="000000"/>
                <w:sz w:val="18"/>
                <w:szCs w:val="18"/>
              </w:rPr>
              <w:t xml:space="preserve">, </w:t>
            </w:r>
            <w:r>
              <w:rPr>
                <w:rFonts w:eastAsia="Helvetica" w:hAnsi="Helvetica" w:cs="Helvetica"/>
                <w:color w:val="000000"/>
                <w:sz w:val="18"/>
                <w:szCs w:val="18"/>
              </w:rPr>
              <w:br/>
              <w:t>N = 4</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2AAC5"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Under 5 D</w:t>
            </w:r>
            <w:r>
              <w:rPr>
                <w:rFonts w:eastAsia="Helvetica" w:hAnsi="Helvetica" w:cs="Helvetica"/>
                <w:color w:val="000000"/>
                <w:sz w:val="18"/>
                <w:szCs w:val="18"/>
              </w:rPr>
              <w:t xml:space="preserve">, </w:t>
            </w:r>
            <w:r>
              <w:rPr>
                <w:rFonts w:eastAsia="Helvetica" w:hAnsi="Helvetica" w:cs="Helvetica"/>
                <w:color w:val="000000"/>
                <w:sz w:val="18"/>
                <w:szCs w:val="18"/>
              </w:rPr>
              <w:br/>
              <w:t>N = 2</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FFE194F" w14:textId="77777777" w:rsidR="00687982"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eastAsia="Helvetica" w:hAnsi="Helvetica" w:cs="Helvetica"/>
                <w:b/>
                <w:color w:val="000000"/>
                <w:sz w:val="18"/>
                <w:szCs w:val="18"/>
              </w:rPr>
              <w:t>N = 639</w:t>
            </w:r>
            <w:r>
              <w:rPr>
                <w:rFonts w:eastAsia="Helvetica" w:hAnsi="Helvetica" w:cs="Helvetica"/>
                <w:color w:val="000000"/>
                <w:sz w:val="18"/>
                <w:szCs w:val="18"/>
                <w:vertAlign w:val="superscript"/>
              </w:rPr>
              <w:t>1</w:t>
            </w:r>
          </w:p>
        </w:tc>
      </w:tr>
      <w:tr w:rsidR="00687982" w14:paraId="3D2E14FA"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9E37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Acute Flaccid Paralysis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90C7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0648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9</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DA8C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1697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7950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5E25A02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791F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Acute rheumatic fever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711B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F455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2F1F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8895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9797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578DD10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E9F0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Cholera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7069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39F4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3106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951E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7E8E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69A9D8E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9232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Congenital rubella syndrome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77E8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E647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0746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E917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EB03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32</w:t>
            </w:r>
          </w:p>
        </w:tc>
      </w:tr>
      <w:tr w:rsidR="00687982" w14:paraId="6A1DF7B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23FD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Diphtheria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766C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FCEE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1DE5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CA38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B252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w:t>
            </w:r>
          </w:p>
        </w:tc>
      </w:tr>
      <w:tr w:rsidR="00687982" w14:paraId="4021DB9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5866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Enteric fever (typhoid or paratyphoid fever)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192C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8BE1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0BA5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87FF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28FC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12</w:t>
            </w:r>
          </w:p>
        </w:tc>
      </w:tr>
      <w:tr w:rsidR="00687982" w14:paraId="4E2FB49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13E9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Food borne illness outbreak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A0D6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1024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06FA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80CB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BD6E3"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r>
      <w:tr w:rsidR="00687982" w14:paraId="14FFAD0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F842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Listeriosis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EC091"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E24B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3302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764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820D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w:t>
            </w:r>
          </w:p>
        </w:tc>
      </w:tr>
      <w:tr w:rsidR="00687982" w14:paraId="7FF8D7E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E64E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Malaria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1A69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0E34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C986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061E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84EE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183</w:t>
            </w:r>
          </w:p>
        </w:tc>
      </w:tr>
      <w:tr w:rsidR="00687982" w14:paraId="01BD3E4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F91D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Measles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B6FC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BEA6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B50D8"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964D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EFF1A"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47</w:t>
            </w:r>
          </w:p>
        </w:tc>
      </w:tr>
      <w:tr w:rsidR="00687982" w14:paraId="795CEEA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9C5E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Meningococcal Disease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9E3E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A12A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B624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6C33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C0B5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w:t>
            </w:r>
          </w:p>
        </w:tc>
      </w:tr>
      <w:tr w:rsidR="00687982" w14:paraId="6B01649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DB21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Pertussis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6531B"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F0D8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78C6C"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2FFE5"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FED5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64</w:t>
            </w:r>
          </w:p>
        </w:tc>
      </w:tr>
      <w:tr w:rsidR="00687982" w14:paraId="2ACA68D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CFF6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Rabies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EC05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5FD6E"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862C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1D224"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7A039"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w:t>
            </w:r>
          </w:p>
        </w:tc>
      </w:tr>
      <w:tr w:rsidR="00687982" w14:paraId="7F159D1A"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2243062" w14:textId="77777777" w:rsidR="00687982"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eastAsia="Helvetica" w:hAnsi="Helvetica" w:cs="Helvetica"/>
                <w:color w:val="000000"/>
                <w:sz w:val="18"/>
                <w:szCs w:val="18"/>
              </w:rPr>
              <w:t>Rubella</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160EF40"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81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EC7474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141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E079277"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38AC74F"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E0CE0B6"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Helvetica" w:hAnsi="Helvetica" w:cs="Helvetica"/>
                <w:color w:val="000000"/>
                <w:sz w:val="18"/>
                <w:szCs w:val="18"/>
              </w:rPr>
              <w:t>285</w:t>
            </w:r>
          </w:p>
        </w:tc>
      </w:tr>
      <w:tr w:rsidR="00687982" w14:paraId="4EF7CCC8" w14:textId="77777777">
        <w:trPr>
          <w:jc w:val="center"/>
        </w:trPr>
        <w:tc>
          <w:tcPr>
            <w:tcW w:w="0" w:type="auto"/>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B38D95D" w14:textId="77777777" w:rsidR="006879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Helvetica" w:hAnsi="Helvetica" w:cs="Helvetica"/>
                <w:color w:val="000000"/>
                <w:sz w:val="18"/>
                <w:szCs w:val="18"/>
                <w:vertAlign w:val="superscript"/>
              </w:rPr>
              <w:t>1</w:t>
            </w:r>
            <w:r>
              <w:rPr>
                <w:rFonts w:eastAsia="Helvetica" w:hAnsi="Helvetica" w:cs="Helvetica"/>
                <w:color w:val="000000"/>
                <w:sz w:val="18"/>
                <w:szCs w:val="18"/>
              </w:rPr>
              <w:t xml:space="preserve">A = Cases who are alive. </w:t>
            </w:r>
            <w:r>
              <w:rPr>
                <w:rFonts w:eastAsia="Helvetica" w:hAnsi="Helvetica" w:cs="Helvetica"/>
                <w:color w:val="000000"/>
                <w:sz w:val="18"/>
                <w:szCs w:val="18"/>
              </w:rPr>
              <w:br/>
              <w:t>D = Cases who are deceased.</w:t>
            </w:r>
          </w:p>
        </w:tc>
      </w:tr>
    </w:tbl>
    <w:p w14:paraId="792DE504" w14:textId="07954507" w:rsidR="00687982" w:rsidRDefault="00000000">
      <w:r>
        <w:br w:type="page"/>
      </w:r>
    </w:p>
    <w:p w14:paraId="7FC24F01" w14:textId="77777777" w:rsidR="00687982" w:rsidRDefault="00000000">
      <w:pPr>
        <w:pStyle w:val="BodyText"/>
      </w:pPr>
      <w:bookmarkStart w:id="33" w:name="appendix-no.5-data-wrangling-statistics."/>
      <w:bookmarkEnd w:id="31"/>
      <w:r>
        <w:rPr>
          <w:b/>
          <w:bCs/>
        </w:rPr>
        <w:lastRenderedPageBreak/>
        <w:t>END</w:t>
      </w:r>
      <w:bookmarkEnd w:id="26"/>
      <w:bookmarkEnd w:id="33"/>
    </w:p>
    <w:sectPr w:rsidR="00687982" w:rsidSect="00C63DBA">
      <w:headerReference w:type="first" r:id="rId12"/>
      <w:pgSz w:w="15840" w:h="12240" w:orient="landscape"/>
      <w:pgMar w:top="978" w:right="1080" w:bottom="1440" w:left="1080" w:header="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56DCC" w14:textId="77777777" w:rsidR="00C63DBA" w:rsidRDefault="00C63DBA">
      <w:pPr>
        <w:spacing w:after="0"/>
      </w:pPr>
      <w:r>
        <w:separator/>
      </w:r>
    </w:p>
  </w:endnote>
  <w:endnote w:type="continuationSeparator" w:id="0">
    <w:p w14:paraId="62781CC0" w14:textId="77777777" w:rsidR="00C63DBA" w:rsidRDefault="00C63D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2FBEB" w14:textId="77777777" w:rsidR="00C63DBA" w:rsidRDefault="00C63DBA">
      <w:r>
        <w:separator/>
      </w:r>
    </w:p>
  </w:footnote>
  <w:footnote w:type="continuationSeparator" w:id="0">
    <w:p w14:paraId="65E6E2D2" w14:textId="77777777" w:rsidR="00C63DBA" w:rsidRDefault="00C6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3C874" w14:textId="77777777" w:rsidR="00247C77" w:rsidRDefault="00000000" w:rsidP="003A1CE4">
    <w:pPr>
      <w:pStyle w:val="Header"/>
      <w:ind w:left="-1440"/>
    </w:pPr>
    <w:r>
      <w:rPr>
        <w:noProof/>
      </w:rPr>
      <w:drawing>
        <wp:inline distT="0" distB="0" distL="0" distR="0" wp14:anchorId="24CB8BAD" wp14:editId="2FBA283E">
          <wp:extent cx="10236110" cy="1733794"/>
          <wp:effectExtent l="0" t="0" r="635" b="6350"/>
          <wp:docPr id="579388430" name="Picture 579388430" descr="A green rectangle with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88430" name="Picture 579388430" descr="A green rectangle with a triangle&#10;&#10;Description automatically generated"/>
                  <pic:cNvPicPr>
                    <a:picLocks noChangeAspect="1" noChangeArrowheads="1"/>
                  </pic:cNvPicPr>
                </pic:nvPicPr>
                <pic:blipFill>
                  <a:blip r:embed="rId1"/>
                  <a:stretch>
                    <a:fillRect/>
                  </a:stretch>
                </pic:blipFill>
                <pic:spPr bwMode="auto">
                  <a:xfrm>
                    <a:off x="0" y="0"/>
                    <a:ext cx="10255773" cy="1737124"/>
                  </a:xfrm>
                  <a:prstGeom prst="rect">
                    <a:avLst/>
                  </a:prstGeom>
                  <a:noFill/>
                  <a:ln w="9525">
                    <a:noFill/>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7A57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7DC6E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5CC6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DC02A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D0CA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C005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2A19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420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F4F7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92CC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948B7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BFF25B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CE77875"/>
    <w:multiLevelType w:val="hybridMultilevel"/>
    <w:tmpl w:val="DBF630A8"/>
    <w:lvl w:ilvl="0" w:tplc="B61AAF7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E05896"/>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6A5822"/>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98D1725"/>
    <w:multiLevelType w:val="hybridMultilevel"/>
    <w:tmpl w:val="3EB2BAB4"/>
    <w:lvl w:ilvl="0" w:tplc="57E44D2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9831774">
    <w:abstractNumId w:val="10"/>
  </w:num>
  <w:num w:numId="2" w16cid:durableId="725488214">
    <w:abstractNumId w:val="11"/>
  </w:num>
  <w:num w:numId="3" w16cid:durableId="1476025675">
    <w:abstractNumId w:val="11"/>
  </w:num>
  <w:num w:numId="4" w16cid:durableId="1177310258">
    <w:abstractNumId w:val="11"/>
  </w:num>
  <w:num w:numId="5" w16cid:durableId="428701770">
    <w:abstractNumId w:val="0"/>
  </w:num>
  <w:num w:numId="6" w16cid:durableId="841359851">
    <w:abstractNumId w:val="1"/>
  </w:num>
  <w:num w:numId="7" w16cid:durableId="278534182">
    <w:abstractNumId w:val="2"/>
  </w:num>
  <w:num w:numId="8" w16cid:durableId="1285847263">
    <w:abstractNumId w:val="3"/>
  </w:num>
  <w:num w:numId="9" w16cid:durableId="287401002">
    <w:abstractNumId w:val="8"/>
  </w:num>
  <w:num w:numId="10" w16cid:durableId="671568521">
    <w:abstractNumId w:val="4"/>
  </w:num>
  <w:num w:numId="11" w16cid:durableId="1639335196">
    <w:abstractNumId w:val="5"/>
  </w:num>
  <w:num w:numId="12" w16cid:durableId="1003632561">
    <w:abstractNumId w:val="6"/>
  </w:num>
  <w:num w:numId="13" w16cid:durableId="1955553382">
    <w:abstractNumId w:val="7"/>
  </w:num>
  <w:num w:numId="14" w16cid:durableId="970941081">
    <w:abstractNumId w:val="9"/>
  </w:num>
  <w:num w:numId="15" w16cid:durableId="470905599">
    <w:abstractNumId w:val="15"/>
  </w:num>
  <w:num w:numId="16" w16cid:durableId="1215383887">
    <w:abstractNumId w:val="12"/>
  </w:num>
  <w:num w:numId="17" w16cid:durableId="2076198096">
    <w:abstractNumId w:val="14"/>
  </w:num>
  <w:num w:numId="18" w16cid:durableId="2057974093">
    <w:abstractNumId w:val="13"/>
  </w:num>
  <w:num w:numId="19" w16cid:durableId="1938562927">
    <w:abstractNumId w:val="10"/>
  </w:num>
  <w:num w:numId="20" w16cid:durableId="1723628396">
    <w:abstractNumId w:val="11"/>
  </w:num>
  <w:num w:numId="21" w16cid:durableId="928275226">
    <w:abstractNumId w:val="11"/>
  </w:num>
  <w:num w:numId="22" w16cid:durableId="732858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82"/>
    <w:rsid w:val="00247C77"/>
    <w:rsid w:val="00314787"/>
    <w:rsid w:val="00333EED"/>
    <w:rsid w:val="00462054"/>
    <w:rsid w:val="00687982"/>
    <w:rsid w:val="008157B4"/>
    <w:rsid w:val="0084393E"/>
    <w:rsid w:val="00933B86"/>
    <w:rsid w:val="00A84172"/>
    <w:rsid w:val="00AA4106"/>
    <w:rsid w:val="00C63DBA"/>
    <w:rsid w:val="00D17563"/>
    <w:rsid w:val="00D3074F"/>
    <w:rsid w:val="00D82B7B"/>
    <w:rsid w:val="00F26F7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FA507"/>
  <w15:docId w15:val="{1C5D0D17-0D0C-1247-9664-8AF6B835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3354"/>
    <w:rPr>
      <w:rFonts w:ascii="Century Gothic" w:hAnsi="Century Gothic"/>
      <w:sz w:val="20"/>
    </w:rPr>
  </w:style>
  <w:style w:type="paragraph" w:styleId="Heading1">
    <w:name w:val="heading 1"/>
    <w:basedOn w:val="Normal"/>
    <w:next w:val="BodyText"/>
    <w:uiPriority w:val="9"/>
    <w:qFormat/>
    <w:rsid w:val="002F09EF"/>
    <w:pPr>
      <w:keepNext/>
      <w:keepLines/>
      <w:spacing w:before="480" w:after="0"/>
      <w:outlineLvl w:val="0"/>
    </w:pPr>
    <w:rPr>
      <w:rFonts w:eastAsiaTheme="majorEastAsia" w:cstheme="majorBidi"/>
      <w:b/>
      <w:bCs/>
      <w:color w:val="000000" w:themeColor="text1"/>
    </w:rPr>
  </w:style>
  <w:style w:type="paragraph" w:styleId="Heading2">
    <w:name w:val="heading 2"/>
    <w:basedOn w:val="Heading1"/>
    <w:next w:val="BodyText"/>
    <w:uiPriority w:val="9"/>
    <w:unhideWhenUsed/>
    <w:qFormat/>
    <w:rsid w:val="00273EF4"/>
    <w:pPr>
      <w:outlineLvl w:val="1"/>
    </w:pPr>
  </w:style>
  <w:style w:type="paragraph" w:styleId="Heading3">
    <w:name w:val="heading 3"/>
    <w:basedOn w:val="Heading2"/>
    <w:next w:val="BodyText"/>
    <w:uiPriority w:val="9"/>
    <w:unhideWhenUsed/>
    <w:qFormat/>
    <w:rsid w:val="00273EF4"/>
    <w:pPr>
      <w:outlineLvl w:val="2"/>
    </w:pPr>
  </w:style>
  <w:style w:type="paragraph" w:styleId="Heading4">
    <w:name w:val="heading 4"/>
    <w:basedOn w:val="Heading3"/>
    <w:next w:val="BodyText"/>
    <w:uiPriority w:val="9"/>
    <w:unhideWhenUsed/>
    <w:qFormat/>
    <w:rsid w:val="00273EF4"/>
    <w:pPr>
      <w:outlineLvl w:val="3"/>
    </w:p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09EF"/>
    <w:pPr>
      <w:spacing w:before="180" w:after="180"/>
    </w:pPr>
  </w:style>
  <w:style w:type="paragraph" w:customStyle="1" w:styleId="FirstParagraph">
    <w:name w:val="First Paragraph"/>
    <w:basedOn w:val="BodyText"/>
    <w:next w:val="BodyText"/>
    <w:qFormat/>
    <w:rsid w:val="002F09EF"/>
  </w:style>
  <w:style w:type="paragraph" w:customStyle="1" w:styleId="Compact">
    <w:name w:val="Compact"/>
    <w:basedOn w:val="BodyText"/>
    <w:qFormat/>
    <w:pPr>
      <w:spacing w:before="36" w:after="36"/>
    </w:pPr>
  </w:style>
  <w:style w:type="paragraph" w:styleId="Title">
    <w:name w:val="Title"/>
    <w:basedOn w:val="Normal"/>
    <w:next w:val="BodyText"/>
    <w:qFormat/>
    <w:rsid w:val="00784D76"/>
    <w:pPr>
      <w:keepNext/>
      <w:keepLines/>
      <w:spacing w:after="240"/>
      <w:ind w:left="-2268" w:right="-2268"/>
      <w:jc w:val="center"/>
    </w:pPr>
    <w:rPr>
      <w:rFonts w:eastAsiaTheme="majorEastAsia" w:cstheme="majorBidi"/>
      <w:b/>
      <w:bCs/>
      <w:color w:val="9BBB59" w:themeColor="accent3"/>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F09EF"/>
    <w:pPr>
      <w:keepNext/>
      <w:keepLines/>
      <w:jc w:val="center"/>
    </w:pPr>
    <w:rPr>
      <w:rFonts w:ascii="Century Gothic" w:hAnsi="Century Gothic"/>
    </w:r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Cs w:val="20"/>
    </w:rPr>
  </w:style>
  <w:style w:type="paragraph" w:customStyle="1" w:styleId="Abstract">
    <w:name w:val="Abstract"/>
    <w:basedOn w:val="Normal"/>
    <w:next w:val="BodyText"/>
    <w:qFormat/>
    <w:pPr>
      <w:keepNext/>
      <w:keepLines/>
      <w:spacing w:before="1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F09EF"/>
    <w:pPr>
      <w:keepNext/>
    </w:pPr>
    <w:rPr>
      <w:sz w:val="14"/>
    </w:rPr>
  </w:style>
  <w:style w:type="paragraph" w:customStyle="1" w:styleId="ImageCaption">
    <w:name w:val="Image Caption"/>
    <w:basedOn w:val="Caption"/>
    <w:rsid w:val="002F09EF"/>
    <w:rPr>
      <w:sz w:val="14"/>
    </w:rPr>
  </w:style>
  <w:style w:type="paragraph" w:customStyle="1" w:styleId="Figure">
    <w:name w:val="Figure"/>
    <w:basedOn w:val="Normal"/>
  </w:style>
  <w:style w:type="paragraph" w:customStyle="1" w:styleId="CaptionedFigure">
    <w:name w:val="Captioned Figure"/>
    <w:basedOn w:val="Figure"/>
    <w:rsid w:val="00813354"/>
    <w:pPr>
      <w:keepNext/>
    </w:pPr>
  </w:style>
  <w:style w:type="character" w:customStyle="1" w:styleId="CaptionChar">
    <w:name w:val="Caption Char"/>
    <w:basedOn w:val="DefaultParagraphFont"/>
    <w:link w:val="Caption"/>
    <w:rPr>
      <w:rFonts w:ascii="Century Gothic" w:hAnsi="Century Gothic"/>
      <w:sz w:val="20"/>
    </w:rPr>
  </w:style>
  <w:style w:type="character" w:customStyle="1" w:styleId="VerbatimChar">
    <w:name w:val="Verbatim Char"/>
    <w:basedOn w:val="CaptionChar"/>
    <w:link w:val="SourceCode"/>
    <w:rPr>
      <w:rFonts w:ascii="Consolas" w:hAnsi="Consolas"/>
      <w:sz w:val="22"/>
    </w:rPr>
  </w:style>
  <w:style w:type="paragraph" w:styleId="Header">
    <w:name w:val="header"/>
    <w:basedOn w:val="Normal"/>
    <w:link w:val="HeaderChar"/>
    <w:rsid w:val="003A1CE4"/>
    <w:pPr>
      <w:tabs>
        <w:tab w:val="center" w:pos="4513"/>
        <w:tab w:val="right" w:pos="9026"/>
      </w:tabs>
      <w:spacing w:after="0"/>
    </w:pPr>
  </w:style>
  <w:style w:type="character" w:styleId="FootnoteReference">
    <w:name w:val="footnote reference"/>
    <w:basedOn w:val="CaptionChar"/>
    <w:rPr>
      <w:rFonts w:ascii="Century Gothic" w:hAnsi="Century Gothic"/>
      <w:sz w:val="20"/>
      <w:vertAlign w:val="superscript"/>
    </w:rPr>
  </w:style>
  <w:style w:type="character" w:styleId="Hyperlink">
    <w:name w:val="Hyperlink"/>
    <w:basedOn w:val="CaptionChar"/>
    <w:uiPriority w:val="99"/>
    <w:rPr>
      <w:rFonts w:ascii="Century Gothic" w:hAnsi="Century Gothic"/>
      <w:color w:val="4F81BD" w:themeColor="accent1"/>
      <w:sz w:val="20"/>
    </w:rPr>
  </w:style>
  <w:style w:type="paragraph" w:styleId="TOCHeading">
    <w:name w:val="TOC Heading"/>
    <w:basedOn w:val="Heading1"/>
    <w:next w:val="BodyText"/>
    <w:uiPriority w:val="39"/>
    <w:unhideWhenUsed/>
    <w:qFormat/>
    <w:rsid w:val="002F09EF"/>
    <w:pPr>
      <w:spacing w:before="240" w:line="259" w:lineRule="auto"/>
      <w:outlineLvl w:val="9"/>
    </w:pPr>
    <w:rPr>
      <w:szCs w:val="2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2F09EF"/>
    <w:pPr>
      <w:spacing w:after="100"/>
    </w:pPr>
  </w:style>
  <w:style w:type="paragraph" w:styleId="TOC2">
    <w:name w:val="toc 2"/>
    <w:basedOn w:val="Normal"/>
    <w:next w:val="Normal"/>
    <w:autoRedefine/>
    <w:uiPriority w:val="39"/>
    <w:rsid w:val="002F09EF"/>
    <w:pPr>
      <w:spacing w:after="100"/>
      <w:ind w:left="240"/>
    </w:pPr>
  </w:style>
  <w:style w:type="paragraph" w:styleId="TOC3">
    <w:name w:val="toc 3"/>
    <w:basedOn w:val="Normal"/>
    <w:next w:val="Normal"/>
    <w:autoRedefine/>
    <w:uiPriority w:val="39"/>
    <w:rsid w:val="002F09EF"/>
    <w:pPr>
      <w:spacing w:after="100"/>
      <w:ind w:left="480"/>
    </w:pPr>
  </w:style>
  <w:style w:type="character" w:customStyle="1" w:styleId="HeaderChar">
    <w:name w:val="Header Char"/>
    <w:basedOn w:val="DefaultParagraphFont"/>
    <w:link w:val="Header"/>
    <w:rsid w:val="003A1CE4"/>
    <w:rPr>
      <w:rFonts w:ascii="Century Gothic" w:hAnsi="Century Gothic"/>
      <w:sz w:val="20"/>
    </w:rPr>
  </w:style>
  <w:style w:type="character" w:customStyle="1" w:styleId="BodyTextChar">
    <w:name w:val="Body Text Char"/>
    <w:basedOn w:val="DefaultParagraphFont"/>
    <w:link w:val="BodyText"/>
    <w:rsid w:val="002F09EF"/>
    <w:rPr>
      <w:rFonts w:ascii="Century Gothic" w:hAnsi="Century Gothic"/>
      <w:sz w:val="20"/>
    </w:rPr>
  </w:style>
  <w:style w:type="paragraph" w:styleId="Footer">
    <w:name w:val="footer"/>
    <w:basedOn w:val="Normal"/>
    <w:link w:val="FooterChar"/>
    <w:rsid w:val="003A1CE4"/>
    <w:pPr>
      <w:tabs>
        <w:tab w:val="center" w:pos="4513"/>
        <w:tab w:val="right" w:pos="9026"/>
      </w:tabs>
      <w:spacing w:after="0"/>
    </w:pPr>
  </w:style>
  <w:style w:type="character" w:customStyle="1" w:styleId="FooterChar">
    <w:name w:val="Footer Char"/>
    <w:basedOn w:val="DefaultParagraphFont"/>
    <w:link w:val="Footer"/>
    <w:rsid w:val="003A1CE4"/>
    <w:rPr>
      <w:rFonts w:ascii="Century Gothic" w:hAnsi="Century Gothic"/>
      <w:sz w:val="20"/>
    </w:rPr>
  </w:style>
  <w:style w:type="numbering" w:customStyle="1" w:styleId="CurrentList1">
    <w:name w:val="Current List1"/>
    <w:uiPriority w:val="99"/>
    <w:rsid w:val="00563E2D"/>
    <w:pPr>
      <w:numPr>
        <w:numId w:val="17"/>
      </w:numPr>
    </w:pPr>
  </w:style>
  <w:style w:type="numbering" w:customStyle="1" w:styleId="CurrentList2">
    <w:name w:val="Current List2"/>
    <w:uiPriority w:val="99"/>
    <w:rsid w:val="00563E2D"/>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Users/brianbrummer/Desktop/SAFETP/CLA/23.NMC_reporting_clean/www.nmc.nicd.ac.z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brianbrummer/Desktop/SAFETP/CLA/23.NMC_reporting_clean/excel_users/us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Century Gothic" panose="020B0502020202020204" pitchFamily="34" charset="0"/>
                <a:ea typeface="+mn-ea"/>
                <a:cs typeface="+mn-cs"/>
              </a:defRPr>
            </a:pPr>
            <a:r>
              <a:rPr lang="en-US"/>
              <a:t>Authorised users and average active users of the NMC Reporting App by month of notification, December 2020-June 2023</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entury Gothic" panose="020B0502020202020204" pitchFamily="34" charset="0"/>
              <a:ea typeface="+mn-ea"/>
              <a:cs typeface="+mn-cs"/>
            </a:defRPr>
          </a:pPr>
          <a:endParaRPr lang="en-US"/>
        </a:p>
      </c:txPr>
    </c:title>
    <c:autoTitleDeleted val="0"/>
    <c:plotArea>
      <c:layout/>
      <c:barChart>
        <c:barDir val="col"/>
        <c:grouping val="clustered"/>
        <c:varyColors val="0"/>
        <c:ser>
          <c:idx val="0"/>
          <c:order val="0"/>
          <c:tx>
            <c:strRef>
              <c:f>Users!$P$33</c:f>
              <c:strCache>
                <c:ptCount val="1"/>
                <c:pt idx="0">
                  <c:v>Average active users</c:v>
                </c:pt>
              </c:strCache>
            </c:strRef>
          </c:tx>
          <c:spPr>
            <a:solidFill>
              <a:schemeClr val="accent6">
                <a:lumMod val="75000"/>
              </a:schemeClr>
            </a:solidFill>
            <a:ln>
              <a:solidFill>
                <a:schemeClr val="accent6">
                  <a:lumMod val="75000"/>
                </a:schemeClr>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entury Gothic" panose="020B0502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Users!$N$36:$O$71</c:f>
              <c:multiLvlStrCache>
                <c:ptCount val="36"/>
                <c:lvl>
                  <c:pt idx="0">
                    <c:v>Dec</c:v>
                  </c:pt>
                  <c:pt idx="1">
                    <c:v>Jan</c:v>
                  </c:pt>
                  <c:pt idx="2">
                    <c:v>Feb</c:v>
                  </c:pt>
                  <c:pt idx="3">
                    <c:v>Mar</c:v>
                  </c:pt>
                  <c:pt idx="4">
                    <c:v>Apr</c:v>
                  </c:pt>
                  <c:pt idx="5">
                    <c:v>May</c:v>
                  </c:pt>
                  <c:pt idx="6">
                    <c:v>Jun</c:v>
                  </c:pt>
                  <c:pt idx="7">
                    <c:v>Jul</c:v>
                  </c:pt>
                  <c:pt idx="8">
                    <c:v>Aug</c:v>
                  </c:pt>
                  <c:pt idx="9">
                    <c:v>Sep</c:v>
                  </c:pt>
                  <c:pt idx="10">
                    <c:v>Oct</c:v>
                  </c:pt>
                  <c:pt idx="11">
                    <c:v>Nov</c:v>
                  </c:pt>
                  <c:pt idx="12">
                    <c:v>Dec</c:v>
                  </c:pt>
                  <c:pt idx="13">
                    <c:v>Jan</c:v>
                  </c:pt>
                  <c:pt idx="14">
                    <c:v>Feb</c:v>
                  </c:pt>
                  <c:pt idx="15">
                    <c:v>Mar</c:v>
                  </c:pt>
                  <c:pt idx="16">
                    <c:v>Apr</c:v>
                  </c:pt>
                  <c:pt idx="17">
                    <c:v>May</c:v>
                  </c:pt>
                  <c:pt idx="18">
                    <c:v>Jun</c:v>
                  </c:pt>
                  <c:pt idx="19">
                    <c:v>Jul</c:v>
                  </c:pt>
                  <c:pt idx="20">
                    <c:v>Aug</c:v>
                  </c:pt>
                  <c:pt idx="21">
                    <c:v>Sep</c:v>
                  </c:pt>
                  <c:pt idx="22">
                    <c:v>Oct</c:v>
                  </c:pt>
                  <c:pt idx="23">
                    <c:v>Nov</c:v>
                  </c:pt>
                  <c:pt idx="24">
                    <c:v>Dec</c:v>
                  </c:pt>
                  <c:pt idx="25">
                    <c:v>Jan </c:v>
                  </c:pt>
                  <c:pt idx="26">
                    <c:v>Feb</c:v>
                  </c:pt>
                  <c:pt idx="27">
                    <c:v>Mar</c:v>
                  </c:pt>
                  <c:pt idx="28">
                    <c:v>Apr</c:v>
                  </c:pt>
                  <c:pt idx="29">
                    <c:v>May</c:v>
                  </c:pt>
                  <c:pt idx="30">
                    <c:v>Jun</c:v>
                  </c:pt>
                  <c:pt idx="31">
                    <c:v>Jul</c:v>
                  </c:pt>
                  <c:pt idx="32">
                    <c:v>Aug</c:v>
                  </c:pt>
                  <c:pt idx="33">
                    <c:v>Sep</c:v>
                  </c:pt>
                  <c:pt idx="34">
                    <c:v>Oct</c:v>
                  </c:pt>
                  <c:pt idx="35">
                    <c:v>Nov</c:v>
                  </c:pt>
                </c:lvl>
                <c:lvl>
                  <c:pt idx="1">
                    <c:v>2021</c:v>
                  </c:pt>
                  <c:pt idx="13">
                    <c:v>2022</c:v>
                  </c:pt>
                  <c:pt idx="25">
                    <c:v>2023</c:v>
                  </c:pt>
                </c:lvl>
              </c:multiLvlStrCache>
              <c:extLst/>
            </c:multiLvlStrRef>
          </c:cat>
          <c:val>
            <c:numRef>
              <c:f>Users!$P$36:$P$71</c:f>
              <c:numCache>
                <c:formatCode>General</c:formatCode>
                <c:ptCount val="36"/>
                <c:pt idx="0">
                  <c:v>9</c:v>
                </c:pt>
                <c:pt idx="1">
                  <c:v>19</c:v>
                </c:pt>
                <c:pt idx="2">
                  <c:v>39</c:v>
                </c:pt>
                <c:pt idx="3">
                  <c:v>57</c:v>
                </c:pt>
                <c:pt idx="4">
                  <c:v>86</c:v>
                </c:pt>
                <c:pt idx="5">
                  <c:v>128</c:v>
                </c:pt>
                <c:pt idx="6">
                  <c:v>195</c:v>
                </c:pt>
                <c:pt idx="7">
                  <c:v>248</c:v>
                </c:pt>
                <c:pt idx="8">
                  <c:v>266</c:v>
                </c:pt>
                <c:pt idx="9">
                  <c:v>236</c:v>
                </c:pt>
                <c:pt idx="10">
                  <c:v>154</c:v>
                </c:pt>
                <c:pt idx="11">
                  <c:v>156</c:v>
                </c:pt>
                <c:pt idx="12">
                  <c:v>315</c:v>
                </c:pt>
                <c:pt idx="13">
                  <c:v>259</c:v>
                </c:pt>
                <c:pt idx="14">
                  <c:v>247</c:v>
                </c:pt>
                <c:pt idx="15">
                  <c:v>214</c:v>
                </c:pt>
                <c:pt idx="16">
                  <c:v>200</c:v>
                </c:pt>
                <c:pt idx="17">
                  <c:v>325</c:v>
                </c:pt>
                <c:pt idx="18">
                  <c:v>279</c:v>
                </c:pt>
                <c:pt idx="19">
                  <c:v>289</c:v>
                </c:pt>
                <c:pt idx="20">
                  <c:v>312</c:v>
                </c:pt>
                <c:pt idx="21">
                  <c:v>322</c:v>
                </c:pt>
                <c:pt idx="22">
                  <c:v>311</c:v>
                </c:pt>
                <c:pt idx="23">
                  <c:v>374</c:v>
                </c:pt>
                <c:pt idx="24">
                  <c:v>214</c:v>
                </c:pt>
                <c:pt idx="25">
                  <c:v>289</c:v>
                </c:pt>
                <c:pt idx="26">
                  <c:v>336</c:v>
                </c:pt>
                <c:pt idx="27">
                  <c:v>371</c:v>
                </c:pt>
                <c:pt idx="28">
                  <c:v>303</c:v>
                </c:pt>
                <c:pt idx="29">
                  <c:v>402</c:v>
                </c:pt>
                <c:pt idx="30">
                  <c:v>404</c:v>
                </c:pt>
                <c:pt idx="31">
                  <c:v>338</c:v>
                </c:pt>
                <c:pt idx="32">
                  <c:v>397</c:v>
                </c:pt>
                <c:pt idx="33">
                  <c:v>396</c:v>
                </c:pt>
                <c:pt idx="34">
                  <c:v>439</c:v>
                </c:pt>
                <c:pt idx="35">
                  <c:v>445</c:v>
                </c:pt>
              </c:numCache>
              <c:extLst/>
            </c:numRef>
          </c:val>
          <c:extLst>
            <c:ext xmlns:c16="http://schemas.microsoft.com/office/drawing/2014/chart" uri="{C3380CC4-5D6E-409C-BE32-E72D297353CC}">
              <c16:uniqueId val="{00000000-82DF-5C46-936A-9AB2A0352AAC}"/>
            </c:ext>
          </c:extLst>
        </c:ser>
        <c:dLbls>
          <c:showLegendKey val="0"/>
          <c:showVal val="0"/>
          <c:showCatName val="0"/>
          <c:showSerName val="0"/>
          <c:showPercent val="0"/>
          <c:showBubbleSize val="0"/>
        </c:dLbls>
        <c:gapWidth val="150"/>
        <c:axId val="793196383"/>
        <c:axId val="793196799"/>
      </c:barChart>
      <c:lineChart>
        <c:grouping val="standard"/>
        <c:varyColors val="0"/>
        <c:ser>
          <c:idx val="1"/>
          <c:order val="1"/>
          <c:tx>
            <c:strRef>
              <c:f>Users!$Q$33</c:f>
              <c:strCache>
                <c:ptCount val="1"/>
                <c:pt idx="0">
                  <c:v>Authorised users</c:v>
                </c:pt>
              </c:strCache>
            </c:strRef>
          </c:tx>
          <c:spPr>
            <a:ln w="28575" cap="rnd">
              <a:solidFill>
                <a:srgbClr val="0070C0"/>
              </a:solidFill>
              <a:round/>
            </a:ln>
            <a:effectLst/>
          </c:spPr>
          <c:marker>
            <c:symbol val="none"/>
          </c:marker>
          <c:cat>
            <c:multiLvlStrRef>
              <c:f>Users!$N$36:$O$71</c:f>
              <c:multiLvlStrCache>
                <c:ptCount val="36"/>
                <c:lvl>
                  <c:pt idx="0">
                    <c:v>Dec</c:v>
                  </c:pt>
                  <c:pt idx="1">
                    <c:v>Jan</c:v>
                  </c:pt>
                  <c:pt idx="2">
                    <c:v>Feb</c:v>
                  </c:pt>
                  <c:pt idx="3">
                    <c:v>Mar</c:v>
                  </c:pt>
                  <c:pt idx="4">
                    <c:v>Apr</c:v>
                  </c:pt>
                  <c:pt idx="5">
                    <c:v>May</c:v>
                  </c:pt>
                  <c:pt idx="6">
                    <c:v>Jun</c:v>
                  </c:pt>
                  <c:pt idx="7">
                    <c:v>Jul</c:v>
                  </c:pt>
                  <c:pt idx="8">
                    <c:v>Aug</c:v>
                  </c:pt>
                  <c:pt idx="9">
                    <c:v>Sep</c:v>
                  </c:pt>
                  <c:pt idx="10">
                    <c:v>Oct</c:v>
                  </c:pt>
                  <c:pt idx="11">
                    <c:v>Nov</c:v>
                  </c:pt>
                  <c:pt idx="12">
                    <c:v>Dec</c:v>
                  </c:pt>
                  <c:pt idx="13">
                    <c:v>Jan</c:v>
                  </c:pt>
                  <c:pt idx="14">
                    <c:v>Feb</c:v>
                  </c:pt>
                  <c:pt idx="15">
                    <c:v>Mar</c:v>
                  </c:pt>
                  <c:pt idx="16">
                    <c:v>Apr</c:v>
                  </c:pt>
                  <c:pt idx="17">
                    <c:v>May</c:v>
                  </c:pt>
                  <c:pt idx="18">
                    <c:v>Jun</c:v>
                  </c:pt>
                  <c:pt idx="19">
                    <c:v>Jul</c:v>
                  </c:pt>
                  <c:pt idx="20">
                    <c:v>Aug</c:v>
                  </c:pt>
                  <c:pt idx="21">
                    <c:v>Sep</c:v>
                  </c:pt>
                  <c:pt idx="22">
                    <c:v>Oct</c:v>
                  </c:pt>
                  <c:pt idx="23">
                    <c:v>Nov</c:v>
                  </c:pt>
                  <c:pt idx="24">
                    <c:v>Dec</c:v>
                  </c:pt>
                  <c:pt idx="25">
                    <c:v>Jan </c:v>
                  </c:pt>
                  <c:pt idx="26">
                    <c:v>Feb</c:v>
                  </c:pt>
                  <c:pt idx="27">
                    <c:v>Mar</c:v>
                  </c:pt>
                  <c:pt idx="28">
                    <c:v>Apr</c:v>
                  </c:pt>
                  <c:pt idx="29">
                    <c:v>May</c:v>
                  </c:pt>
                  <c:pt idx="30">
                    <c:v>Jun</c:v>
                  </c:pt>
                  <c:pt idx="31">
                    <c:v>Jul</c:v>
                  </c:pt>
                  <c:pt idx="32">
                    <c:v>Aug</c:v>
                  </c:pt>
                  <c:pt idx="33">
                    <c:v>Sep</c:v>
                  </c:pt>
                  <c:pt idx="34">
                    <c:v>Oct</c:v>
                  </c:pt>
                  <c:pt idx="35">
                    <c:v>Nov</c:v>
                  </c:pt>
                </c:lvl>
                <c:lvl>
                  <c:pt idx="1">
                    <c:v>2021</c:v>
                  </c:pt>
                  <c:pt idx="13">
                    <c:v>2022</c:v>
                  </c:pt>
                  <c:pt idx="25">
                    <c:v>2023</c:v>
                  </c:pt>
                </c:lvl>
              </c:multiLvlStrCache>
              <c:extLst/>
            </c:multiLvlStrRef>
          </c:cat>
          <c:val>
            <c:numRef>
              <c:f>Users!$Q$36:$Q$71</c:f>
              <c:numCache>
                <c:formatCode>General</c:formatCode>
                <c:ptCount val="36"/>
                <c:pt idx="0">
                  <c:v>16</c:v>
                </c:pt>
                <c:pt idx="1">
                  <c:v>72</c:v>
                </c:pt>
                <c:pt idx="2">
                  <c:v>134</c:v>
                </c:pt>
                <c:pt idx="3">
                  <c:v>179</c:v>
                </c:pt>
                <c:pt idx="4">
                  <c:v>561</c:v>
                </c:pt>
                <c:pt idx="5">
                  <c:v>385</c:v>
                </c:pt>
                <c:pt idx="6">
                  <c:v>508</c:v>
                </c:pt>
                <c:pt idx="7">
                  <c:v>416</c:v>
                </c:pt>
                <c:pt idx="8">
                  <c:v>488</c:v>
                </c:pt>
                <c:pt idx="9">
                  <c:v>531</c:v>
                </c:pt>
                <c:pt idx="10">
                  <c:v>293</c:v>
                </c:pt>
                <c:pt idx="11">
                  <c:v>389</c:v>
                </c:pt>
                <c:pt idx="12">
                  <c:v>539</c:v>
                </c:pt>
                <c:pt idx="13">
                  <c:v>406</c:v>
                </c:pt>
                <c:pt idx="14">
                  <c:v>652</c:v>
                </c:pt>
                <c:pt idx="15">
                  <c:v>428</c:v>
                </c:pt>
                <c:pt idx="16">
                  <c:v>468</c:v>
                </c:pt>
                <c:pt idx="17">
                  <c:v>747</c:v>
                </c:pt>
                <c:pt idx="18">
                  <c:v>988</c:v>
                </c:pt>
                <c:pt idx="19">
                  <c:v>1075</c:v>
                </c:pt>
                <c:pt idx="20">
                  <c:v>1186</c:v>
                </c:pt>
                <c:pt idx="21">
                  <c:v>963</c:v>
                </c:pt>
                <c:pt idx="22">
                  <c:v>994</c:v>
                </c:pt>
                <c:pt idx="23">
                  <c:v>974</c:v>
                </c:pt>
                <c:pt idx="24">
                  <c:v>249</c:v>
                </c:pt>
                <c:pt idx="25">
                  <c:v>581</c:v>
                </c:pt>
                <c:pt idx="26">
                  <c:v>722</c:v>
                </c:pt>
                <c:pt idx="27">
                  <c:v>1061</c:v>
                </c:pt>
                <c:pt idx="28">
                  <c:v>839</c:v>
                </c:pt>
                <c:pt idx="29">
                  <c:v>878</c:v>
                </c:pt>
                <c:pt idx="30">
                  <c:v>974</c:v>
                </c:pt>
                <c:pt idx="31">
                  <c:v>657</c:v>
                </c:pt>
                <c:pt idx="32">
                  <c:v>908</c:v>
                </c:pt>
                <c:pt idx="33">
                  <c:v>679</c:v>
                </c:pt>
                <c:pt idx="34">
                  <c:v>810</c:v>
                </c:pt>
                <c:pt idx="35">
                  <c:v>727</c:v>
                </c:pt>
              </c:numCache>
              <c:extLst/>
            </c:numRef>
          </c:val>
          <c:smooth val="0"/>
          <c:extLst>
            <c:ext xmlns:c16="http://schemas.microsoft.com/office/drawing/2014/chart" uri="{C3380CC4-5D6E-409C-BE32-E72D297353CC}">
              <c16:uniqueId val="{00000001-82DF-5C46-936A-9AB2A0352AAC}"/>
            </c:ext>
          </c:extLst>
        </c:ser>
        <c:dLbls>
          <c:showLegendKey val="0"/>
          <c:showVal val="0"/>
          <c:showCatName val="0"/>
          <c:showSerName val="0"/>
          <c:showPercent val="0"/>
          <c:showBubbleSize val="0"/>
        </c:dLbls>
        <c:marker val="1"/>
        <c:smooth val="0"/>
        <c:axId val="793196383"/>
        <c:axId val="793196799"/>
      </c:lineChart>
      <c:catAx>
        <c:axId val="793196383"/>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Century Gothic" panose="020B0502020202020204" pitchFamily="34" charset="0"/>
                    <a:ea typeface="+mn-ea"/>
                    <a:cs typeface="+mn-cs"/>
                  </a:defRPr>
                </a:pPr>
                <a:r>
                  <a:rPr lang="en-US"/>
                  <a:t>Month of notification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entury Gothic" panose="020B0502020202020204" pitchFamily="34"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entury Gothic" panose="020B0502020202020204" pitchFamily="34" charset="0"/>
                <a:ea typeface="+mn-ea"/>
                <a:cs typeface="+mn-cs"/>
              </a:defRPr>
            </a:pPr>
            <a:endParaRPr lang="en-US"/>
          </a:p>
        </c:txPr>
        <c:crossAx val="793196799"/>
        <c:crosses val="autoZero"/>
        <c:auto val="1"/>
        <c:lblAlgn val="ctr"/>
        <c:lblOffset val="100"/>
        <c:noMultiLvlLbl val="0"/>
      </c:catAx>
      <c:valAx>
        <c:axId val="793196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entury Gothic" panose="020B0502020202020204" pitchFamily="34" charset="0"/>
                    <a:ea typeface="+mn-ea"/>
                    <a:cs typeface="+mn-cs"/>
                  </a:defRPr>
                </a:pPr>
                <a:r>
                  <a:rPr lang="en-US"/>
                  <a:t>Users (No.)</a:t>
                </a:r>
              </a:p>
            </c:rich>
          </c:tx>
          <c:layout>
            <c:manualLayout>
              <c:xMode val="edge"/>
              <c:yMode val="edge"/>
              <c:x val="1.4398848092152628E-2"/>
              <c:y val="0.3190693404703722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entury Gothic" panose="020B0502020202020204" pitchFamily="34"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entury Gothic" panose="020B0502020202020204" pitchFamily="34" charset="0"/>
                <a:ea typeface="+mn-ea"/>
                <a:cs typeface="+mn-cs"/>
              </a:defRPr>
            </a:pPr>
            <a:endParaRPr lang="en-US"/>
          </a:p>
        </c:txPr>
        <c:crossAx val="793196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entury Gothic" panose="020B0502020202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0" i="0">
          <a:solidFill>
            <a:sysClr val="windowText" lastClr="000000"/>
          </a:solidFill>
          <a:latin typeface="Century Gothic" panose="020B0502020202020204"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21</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NOTIFIABLE MEDICAL CONDITIONS SURVEILLANCE SYSTEM</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NOTIFIABLE MEDICAL CONDITIONS SURVEILLANCE SYSTEM</dc:title>
  <dc:creator>the National Institute for Communicable Diseases</dc:creator>
  <cp:keywords/>
  <cp:lastModifiedBy>Brian Brummer</cp:lastModifiedBy>
  <cp:revision>2</cp:revision>
  <dcterms:created xsi:type="dcterms:W3CDTF">2024-02-01T09:46:00Z</dcterms:created>
  <dcterms:modified xsi:type="dcterms:W3CDTF">2024-02-01T09:46:00Z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lastDelim">
    <vt:lpwstr>, </vt:lpwstr>
  </property>
  <property fmtid="{D5CDD505-2E9C-101B-9397-08002B2CF9AE}" pid="27" name="linkReferences">
    <vt:lpwstr>False</vt:lpwstr>
  </property>
  <property fmtid="{D5CDD505-2E9C-101B-9397-08002B2CF9AE}" pid="28" name="listItemTitleDelim">
    <vt:lpwstr>.</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ItemTemplate">
    <vt:lpwstr>lofItemTitleilistItemTitleDelimt </vt:lpwstr>
  </property>
  <property fmtid="{D5CDD505-2E9C-101B-9397-08002B2CF9AE}" pid="33" name="lofItemTitle">
    <vt:lpwstr/>
  </property>
  <property fmtid="{D5CDD505-2E9C-101B-9397-08002B2CF9AE}" pid="34" name="lofTitle">
    <vt:lpwstr>List of Figures</vt:lpwstr>
  </property>
  <property fmtid="{D5CDD505-2E9C-101B-9397-08002B2CF9AE}" pid="35" name="lolItemTemplate">
    <vt:lpwstr>lolItemTitleilistItemTitleDelimt </vt:lpwstr>
  </property>
  <property fmtid="{D5CDD505-2E9C-101B-9397-08002B2CF9AE}" pid="36" name="lolItemTitle">
    <vt:lpwstr/>
  </property>
  <property fmtid="{D5CDD505-2E9C-101B-9397-08002B2CF9AE}" pid="37" name="lolTitle">
    <vt:lpwstr>List of Listings</vt:lpwstr>
  </property>
  <property fmtid="{D5CDD505-2E9C-101B-9397-08002B2CF9AE}" pid="38" name="lotItemTemplate">
    <vt:lpwstr>lotItemTitleilistItemTitleDelimt </vt:lpwstr>
  </property>
  <property fmtid="{D5CDD505-2E9C-101B-9397-08002B2CF9AE}" pid="39" name="lotItemTitle">
    <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output">
    <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